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C9FFC">
      <w:pPr>
        <w:kinsoku/>
        <w:wordWrap w:val="0"/>
        <w:spacing w:line="360" w:lineRule="auto"/>
        <w:jc w:val="center"/>
        <w:outlineLvl w:val="0"/>
        <w:rPr>
          <w:rFonts w:hint="eastAsia" w:asciiTheme="minorEastAsia" w:hAnsiTheme="minorEastAsia" w:eastAsiaTheme="minorEastAsia" w:cstheme="minorEastAsia"/>
          <w:spacing w:val="-2"/>
          <w:sz w:val="52"/>
          <w:szCs w:val="52"/>
          <w:lang w:eastAsia="zh-CN"/>
        </w:rPr>
      </w:pPr>
    </w:p>
    <w:p w14:paraId="6BBA2A00">
      <w:pPr>
        <w:kinsoku/>
        <w:wordWrap w:val="0"/>
        <w:spacing w:line="360" w:lineRule="auto"/>
        <w:jc w:val="center"/>
        <w:outlineLvl w:val="0"/>
        <w:rPr>
          <w:rFonts w:asciiTheme="minorEastAsia" w:hAnsiTheme="minorEastAsia" w:eastAsiaTheme="minorEastAsia" w:cstheme="minorEastAsia"/>
          <w:sz w:val="52"/>
          <w:szCs w:val="52"/>
        </w:rPr>
      </w:pPr>
      <w:r>
        <w:rPr>
          <w:rFonts w:hint="eastAsia" w:asciiTheme="minorEastAsia" w:hAnsiTheme="minorEastAsia" w:eastAsiaTheme="minorEastAsia" w:cstheme="minorEastAsia"/>
          <w:spacing w:val="-2"/>
          <w:sz w:val="52"/>
          <w:szCs w:val="52"/>
          <w:lang w:eastAsia="zh-CN"/>
        </w:rPr>
        <w:t>南阳市</w:t>
      </w:r>
      <w:r>
        <w:rPr>
          <w:rFonts w:hint="eastAsia" w:asciiTheme="minorEastAsia" w:hAnsiTheme="minorEastAsia" w:eastAsiaTheme="minorEastAsia" w:cstheme="minorEastAsia"/>
          <w:spacing w:val="-2"/>
          <w:sz w:val="52"/>
          <w:szCs w:val="52"/>
        </w:rPr>
        <w:t>政府采购项目</w:t>
      </w:r>
    </w:p>
    <w:p w14:paraId="4269291E">
      <w:pPr>
        <w:kinsoku/>
        <w:wordWrap w:val="0"/>
        <w:spacing w:line="360" w:lineRule="auto"/>
        <w:jc w:val="center"/>
        <w:rPr>
          <w:rFonts w:asciiTheme="minorEastAsia" w:hAnsiTheme="minorEastAsia" w:eastAsiaTheme="minorEastAsia" w:cstheme="minorEastAsia"/>
          <w:sz w:val="52"/>
          <w:szCs w:val="52"/>
        </w:rPr>
      </w:pPr>
      <w:r>
        <w:rPr>
          <w:rFonts w:hint="eastAsia" w:asciiTheme="minorEastAsia" w:hAnsiTheme="minorEastAsia" w:eastAsiaTheme="minorEastAsia" w:cstheme="minorEastAsia"/>
          <w:spacing w:val="-3"/>
          <w:sz w:val="52"/>
          <w:szCs w:val="52"/>
        </w:rPr>
        <w:t>公开招标文件</w:t>
      </w:r>
    </w:p>
    <w:p w14:paraId="74EB57C3">
      <w:pPr>
        <w:kinsoku/>
        <w:wordWrap w:val="0"/>
        <w:spacing w:line="316" w:lineRule="auto"/>
        <w:jc w:val="both"/>
        <w:rPr>
          <w:rFonts w:asciiTheme="minorEastAsia" w:hAnsiTheme="minorEastAsia" w:eastAsiaTheme="minorEastAsia" w:cstheme="minorEastAsia"/>
        </w:rPr>
      </w:pPr>
    </w:p>
    <w:p w14:paraId="5EC95733">
      <w:pPr>
        <w:kinsoku/>
        <w:wordWrap w:val="0"/>
        <w:spacing w:line="316" w:lineRule="auto"/>
        <w:jc w:val="both"/>
        <w:rPr>
          <w:rFonts w:asciiTheme="minorEastAsia" w:hAnsiTheme="minorEastAsia" w:eastAsiaTheme="minorEastAsia" w:cstheme="minorEastAsia"/>
        </w:rPr>
      </w:pPr>
    </w:p>
    <w:p w14:paraId="7E88584F">
      <w:pPr>
        <w:kinsoku/>
        <w:wordWrap w:val="0"/>
        <w:spacing w:line="317" w:lineRule="auto"/>
        <w:jc w:val="both"/>
        <w:rPr>
          <w:rFonts w:asciiTheme="minorEastAsia" w:hAnsiTheme="minorEastAsia" w:eastAsiaTheme="minorEastAsia" w:cstheme="minorEastAsia"/>
        </w:rPr>
      </w:pPr>
    </w:p>
    <w:p w14:paraId="28340FD5">
      <w:pPr>
        <w:kinsoku/>
        <w:wordWrap w:val="0"/>
        <w:spacing w:line="360" w:lineRule="auto"/>
        <w:jc w:val="both"/>
        <w:rPr>
          <w:rFonts w:asciiTheme="minorEastAsia" w:hAnsiTheme="minorEastAsia" w:eastAsiaTheme="minorEastAsia" w:cstheme="minorEastAsia"/>
          <w:b/>
          <w:bCs/>
          <w:spacing w:val="-17"/>
          <w:sz w:val="36"/>
          <w:szCs w:val="36"/>
        </w:rPr>
      </w:pPr>
    </w:p>
    <w:p w14:paraId="22C10BA2">
      <w:pPr>
        <w:kinsoku/>
        <w:wordWrap w:val="0"/>
        <w:spacing w:line="360" w:lineRule="auto"/>
        <w:jc w:val="both"/>
        <w:rPr>
          <w:rFonts w:asciiTheme="minorEastAsia" w:hAnsiTheme="minorEastAsia" w:eastAsiaTheme="minorEastAsia" w:cstheme="minorEastAsia"/>
          <w:b/>
          <w:bCs/>
          <w:spacing w:val="-17"/>
          <w:sz w:val="36"/>
          <w:szCs w:val="36"/>
        </w:rPr>
      </w:pPr>
    </w:p>
    <w:p w14:paraId="6267A5B7">
      <w:pPr>
        <w:wordWrap w:val="0"/>
        <w:spacing w:line="249" w:lineRule="auto"/>
        <w:jc w:val="both"/>
        <w:rPr>
          <w:lang w:eastAsia="zh-CN"/>
        </w:rPr>
      </w:pPr>
    </w:p>
    <w:p w14:paraId="162FBF56">
      <w:pPr>
        <w:wordWrap w:val="0"/>
        <w:spacing w:line="249" w:lineRule="auto"/>
        <w:jc w:val="both"/>
        <w:rPr>
          <w:lang w:eastAsia="zh-CN"/>
        </w:rPr>
      </w:pPr>
    </w:p>
    <w:p w14:paraId="3600347E">
      <w:pPr>
        <w:pStyle w:val="6"/>
        <w:wordWrap w:val="0"/>
        <w:spacing w:line="360" w:lineRule="auto"/>
        <w:ind w:firstLine="287" w:firstLineChars="100"/>
        <w:jc w:val="both"/>
        <w:rPr>
          <w:rFonts w:hint="default"/>
          <w:b w:val="0"/>
          <w:bCs w:val="0"/>
          <w:spacing w:val="-17"/>
          <w:sz w:val="32"/>
          <w:szCs w:val="32"/>
          <w:u w:val="single"/>
          <w:lang w:val="en-US" w:eastAsia="zh-CN"/>
        </w:rPr>
      </w:pPr>
      <w:r>
        <w:rPr>
          <w:rFonts w:hint="eastAsia"/>
          <w:b/>
          <w:bCs/>
          <w:spacing w:val="-17"/>
          <w:sz w:val="32"/>
          <w:szCs w:val="32"/>
          <w:lang w:eastAsia="zh-CN"/>
        </w:rPr>
        <w:t>项目名称：</w:t>
      </w:r>
      <w:r>
        <w:rPr>
          <w:rFonts w:hint="eastAsia"/>
          <w:b w:val="0"/>
          <w:bCs w:val="0"/>
          <w:spacing w:val="-17"/>
          <w:sz w:val="32"/>
          <w:szCs w:val="32"/>
          <w:u w:val="single"/>
          <w:lang w:eastAsia="zh-CN"/>
        </w:rPr>
        <w:t>南阳市第一中学校附属初级中学校</w:t>
      </w:r>
      <w:r>
        <w:rPr>
          <w:rFonts w:hint="eastAsia"/>
          <w:b w:val="0"/>
          <w:bCs w:val="0"/>
          <w:spacing w:val="-17"/>
          <w:sz w:val="32"/>
          <w:szCs w:val="32"/>
          <w:u w:val="single"/>
          <w:lang w:val="en-US" w:eastAsia="zh-CN"/>
        </w:rPr>
        <w:t xml:space="preserve"> </w:t>
      </w:r>
    </w:p>
    <w:p w14:paraId="73B62E65">
      <w:pPr>
        <w:pStyle w:val="6"/>
        <w:wordWrap w:val="0"/>
        <w:spacing w:line="360" w:lineRule="auto"/>
        <w:ind w:firstLine="1716" w:firstLineChars="600"/>
        <w:jc w:val="both"/>
        <w:rPr>
          <w:rFonts w:hint="default" w:ascii="宋体" w:hAnsi="宋体" w:eastAsia="宋体" w:cs="宋体"/>
          <w:bCs/>
          <w:color w:val="000000"/>
          <w:kern w:val="0"/>
          <w:sz w:val="32"/>
          <w:szCs w:val="32"/>
          <w:u w:val="single"/>
          <w:lang w:val="en-US" w:eastAsia="zh-CN"/>
        </w:rPr>
      </w:pPr>
      <w:r>
        <w:rPr>
          <w:rFonts w:hint="eastAsia"/>
          <w:b w:val="0"/>
          <w:bCs w:val="0"/>
          <w:spacing w:val="-17"/>
          <w:sz w:val="32"/>
          <w:szCs w:val="32"/>
          <w:u w:val="single"/>
          <w:lang w:eastAsia="zh-CN"/>
        </w:rPr>
        <w:t>校园监控及广播系统升级改造项目</w:t>
      </w:r>
      <w:r>
        <w:rPr>
          <w:rFonts w:hint="eastAsia"/>
          <w:b w:val="0"/>
          <w:bCs w:val="0"/>
          <w:spacing w:val="-17"/>
          <w:sz w:val="32"/>
          <w:szCs w:val="32"/>
          <w:u w:val="single"/>
          <w:lang w:val="en-US" w:eastAsia="zh-CN"/>
        </w:rPr>
        <w:t xml:space="preserve"> </w:t>
      </w:r>
    </w:p>
    <w:p w14:paraId="5C0C2BE9">
      <w:pPr>
        <w:wordWrap w:val="0"/>
        <w:spacing w:line="360" w:lineRule="auto"/>
        <w:ind w:firstLine="287" w:firstLineChars="100"/>
        <w:jc w:val="both"/>
        <w:rPr>
          <w:rFonts w:ascii="宋体" w:hAnsi="宋体" w:eastAsia="宋体" w:cs="宋体"/>
          <w:spacing w:val="-15"/>
          <w:sz w:val="24"/>
          <w:szCs w:val="24"/>
          <w:lang w:eastAsia="zh-CN"/>
        </w:rPr>
      </w:pPr>
      <w:r>
        <w:rPr>
          <w:rFonts w:hint="eastAsia" w:ascii="宋体" w:hAnsi="宋体" w:eastAsia="宋体" w:cs="宋体"/>
          <w:b/>
          <w:bCs/>
          <w:spacing w:val="-17"/>
          <w:sz w:val="32"/>
          <w:szCs w:val="32"/>
          <w:lang w:eastAsia="zh-CN"/>
        </w:rPr>
        <w:t>项目编号：</w:t>
      </w:r>
      <w:r>
        <w:rPr>
          <w:rFonts w:hint="eastAsia" w:ascii="宋体" w:hAnsi="宋体" w:eastAsia="宋体" w:cs="宋体"/>
          <w:spacing w:val="-17"/>
          <w:sz w:val="32"/>
          <w:szCs w:val="32"/>
          <w:u w:val="single"/>
          <w:lang w:eastAsia="zh-CN"/>
        </w:rPr>
        <w:t xml:space="preserve"> </w:t>
      </w:r>
      <w:r>
        <w:rPr>
          <w:rFonts w:hint="eastAsia" w:ascii="宋体" w:hAnsi="宋体" w:eastAsia="宋体" w:cs="宋体"/>
          <w:spacing w:val="-17"/>
          <w:sz w:val="32"/>
          <w:szCs w:val="32"/>
          <w:u w:val="single"/>
          <w:lang w:val="en-US" w:eastAsia="zh-CN"/>
        </w:rPr>
        <w:t xml:space="preserve">  南阳政采公开-2026-37      </w:t>
      </w:r>
      <w:r>
        <w:rPr>
          <w:rFonts w:hint="eastAsia" w:ascii="宋体" w:hAnsi="宋体" w:eastAsia="宋体" w:cs="宋体"/>
          <w:b/>
          <w:bCs/>
          <w:spacing w:val="-17"/>
          <w:sz w:val="32"/>
          <w:szCs w:val="32"/>
          <w:lang w:eastAsia="zh-CN"/>
        </w:rPr>
        <w:t xml:space="preserve">  </w:t>
      </w:r>
      <w:r>
        <w:rPr>
          <w:rFonts w:hint="eastAsia" w:ascii="宋体" w:hAnsi="宋体" w:eastAsia="宋体" w:cs="宋体"/>
          <w:spacing w:val="-15"/>
          <w:sz w:val="24"/>
          <w:szCs w:val="24"/>
          <w:lang w:eastAsia="zh-CN"/>
        </w:rPr>
        <w:t xml:space="preserve">               </w:t>
      </w:r>
    </w:p>
    <w:p w14:paraId="410A641C">
      <w:pPr>
        <w:wordWrap w:val="0"/>
        <w:spacing w:line="360" w:lineRule="auto"/>
        <w:ind w:firstLine="287" w:firstLineChars="100"/>
        <w:jc w:val="both"/>
        <w:rPr>
          <w:rFonts w:ascii="宋体" w:hAnsi="宋体" w:eastAsia="宋体" w:cs="宋体"/>
          <w:b/>
          <w:bCs/>
          <w:spacing w:val="-17"/>
          <w:sz w:val="32"/>
          <w:szCs w:val="32"/>
          <w:lang w:eastAsia="zh-CN"/>
        </w:rPr>
      </w:pPr>
      <w:r>
        <w:rPr>
          <w:rFonts w:hint="eastAsia" w:ascii="宋体" w:hAnsi="宋体" w:eastAsia="宋体" w:cs="宋体"/>
          <w:b/>
          <w:bCs/>
          <w:spacing w:val="-17"/>
          <w:sz w:val="32"/>
          <w:szCs w:val="32"/>
          <w:lang w:eastAsia="zh-CN"/>
        </w:rPr>
        <w:t>采 购 人：</w:t>
      </w:r>
      <w:r>
        <w:rPr>
          <w:rFonts w:hint="eastAsia" w:ascii="宋体" w:hAnsi="宋体" w:eastAsia="宋体" w:cs="宋体"/>
          <w:b/>
          <w:bCs/>
          <w:spacing w:val="-17"/>
          <w:sz w:val="32"/>
          <w:szCs w:val="32"/>
          <w:u w:val="single"/>
          <w:lang w:val="en-US" w:eastAsia="zh-CN"/>
        </w:rPr>
        <w:t xml:space="preserve"> </w:t>
      </w:r>
      <w:r>
        <w:rPr>
          <w:rFonts w:hint="eastAsia"/>
          <w:b w:val="0"/>
          <w:bCs w:val="0"/>
          <w:spacing w:val="-17"/>
          <w:sz w:val="32"/>
          <w:szCs w:val="32"/>
          <w:u w:val="single"/>
          <w:lang w:eastAsia="zh-CN"/>
        </w:rPr>
        <w:t>南阳市第一中学校附属初级中学校</w:t>
      </w:r>
      <w:r>
        <w:rPr>
          <w:rFonts w:hint="eastAsia" w:ascii="宋体" w:hAnsi="宋体" w:eastAsia="宋体" w:cs="宋体"/>
          <w:b w:val="0"/>
          <w:bCs w:val="0"/>
          <w:spacing w:val="-15"/>
          <w:sz w:val="24"/>
          <w:szCs w:val="24"/>
          <w:u w:val="single"/>
          <w:lang w:eastAsia="zh-CN"/>
        </w:rPr>
        <w:t xml:space="preserve"> </w:t>
      </w:r>
    </w:p>
    <w:p w14:paraId="1E4B2403">
      <w:pPr>
        <w:pStyle w:val="6"/>
        <w:wordWrap w:val="0"/>
        <w:spacing w:line="360" w:lineRule="auto"/>
        <w:ind w:firstLine="287" w:firstLineChars="100"/>
        <w:jc w:val="both"/>
        <w:outlineLvl w:val="1"/>
        <w:rPr>
          <w:rFonts w:hint="default"/>
          <w:spacing w:val="-17"/>
          <w:sz w:val="32"/>
          <w:szCs w:val="32"/>
          <w:lang w:val="en-US" w:eastAsia="zh-CN"/>
        </w:rPr>
      </w:pPr>
      <w:r>
        <w:rPr>
          <w:rFonts w:hint="eastAsia"/>
          <w:b/>
          <w:bCs/>
          <w:spacing w:val="-17"/>
          <w:sz w:val="32"/>
          <w:szCs w:val="32"/>
          <w:lang w:eastAsia="zh-CN"/>
        </w:rPr>
        <w:t>采购代理机构：</w:t>
      </w:r>
      <w:r>
        <w:rPr>
          <w:rFonts w:hint="eastAsia"/>
          <w:spacing w:val="-17"/>
          <w:sz w:val="32"/>
          <w:szCs w:val="32"/>
          <w:u w:val="single"/>
          <w:lang w:eastAsia="zh-CN"/>
        </w:rPr>
        <w:t>南阳市公共资源交易中心</w:t>
      </w:r>
      <w:r>
        <w:rPr>
          <w:rFonts w:hint="eastAsia"/>
          <w:spacing w:val="-17"/>
          <w:sz w:val="32"/>
          <w:szCs w:val="32"/>
          <w:u w:val="single"/>
          <w:lang w:val="en-US" w:eastAsia="zh-CN"/>
        </w:rPr>
        <w:t xml:space="preserve"> </w:t>
      </w:r>
    </w:p>
    <w:p w14:paraId="5057C91F">
      <w:pPr>
        <w:wordWrap w:val="0"/>
        <w:spacing w:line="360" w:lineRule="auto"/>
        <w:jc w:val="both"/>
        <w:rPr>
          <w:rFonts w:ascii="宋体" w:hAnsi="宋体" w:eastAsia="宋体" w:cs="宋体"/>
          <w:b/>
          <w:bCs/>
          <w:spacing w:val="-17"/>
          <w:sz w:val="32"/>
          <w:szCs w:val="32"/>
          <w:u w:val="single"/>
          <w:lang w:eastAsia="zh-CN"/>
        </w:rPr>
      </w:pPr>
    </w:p>
    <w:p w14:paraId="72D039F6">
      <w:pPr>
        <w:wordWrap w:val="0"/>
        <w:spacing w:line="360" w:lineRule="auto"/>
        <w:jc w:val="both"/>
        <w:rPr>
          <w:rFonts w:ascii="宋体" w:hAnsi="宋体" w:eastAsia="宋体" w:cs="宋体"/>
          <w:b/>
          <w:bCs/>
          <w:spacing w:val="-17"/>
          <w:sz w:val="32"/>
          <w:szCs w:val="32"/>
          <w:u w:val="single"/>
          <w:lang w:eastAsia="zh-CN"/>
        </w:rPr>
      </w:pPr>
    </w:p>
    <w:p w14:paraId="518A28A2">
      <w:pPr>
        <w:pStyle w:val="37"/>
        <w:ind w:firstLine="3186" w:firstLineChars="900"/>
        <w:rPr>
          <w:rFonts w:hint="eastAsia"/>
          <w:color w:val="auto"/>
          <w:spacing w:val="-3"/>
          <w:sz w:val="36"/>
          <w:szCs w:val="36"/>
          <w:highlight w:val="none"/>
          <w:lang w:val="en-US" w:eastAsia="zh-CN"/>
        </w:rPr>
      </w:pPr>
    </w:p>
    <w:p w14:paraId="30DF14CC">
      <w:pPr>
        <w:pStyle w:val="37"/>
        <w:ind w:firstLine="3186" w:firstLineChars="900"/>
        <w:rPr>
          <w:rFonts w:hint="default"/>
          <w:color w:val="auto"/>
          <w:highlight w:val="none"/>
          <w:lang w:val="en-US"/>
        </w:rPr>
        <w:sectPr>
          <w:pgSz w:w="11907" w:h="16840"/>
          <w:pgMar w:top="1440" w:right="1800" w:bottom="1440" w:left="1800" w:header="878" w:footer="0" w:gutter="0"/>
          <w:cols w:space="720" w:num="1"/>
        </w:sectPr>
      </w:pPr>
      <w:r>
        <w:rPr>
          <w:rFonts w:hint="eastAsia"/>
          <w:color w:val="auto"/>
          <w:spacing w:val="-3"/>
          <w:sz w:val="36"/>
          <w:szCs w:val="36"/>
          <w:highlight w:val="none"/>
          <w:lang w:val="en-US" w:eastAsia="zh-CN"/>
        </w:rPr>
        <w:t>2026年8月</w:t>
      </w:r>
    </w:p>
    <w:p w14:paraId="2415F14C">
      <w:pPr>
        <w:keepNext w:val="0"/>
        <w:keepLines w:val="0"/>
        <w:pageBreakBefore w:val="0"/>
        <w:kinsoku/>
        <w:wordWrap w:val="0"/>
        <w:overflowPunct/>
        <w:topLinePunct w:val="0"/>
        <w:bidi w:val="0"/>
        <w:spacing w:line="274" w:lineRule="auto"/>
        <w:jc w:val="both"/>
        <w:rPr>
          <w:rFonts w:hint="eastAsia" w:asciiTheme="minorEastAsia" w:hAnsiTheme="minorEastAsia" w:eastAsiaTheme="minorEastAsia" w:cstheme="minorEastAsia"/>
          <w:sz w:val="21"/>
        </w:rPr>
      </w:pPr>
    </w:p>
    <w:sdt>
      <w:sdtPr>
        <w:rPr>
          <w:rFonts w:hint="eastAsia" w:asciiTheme="minorEastAsia" w:hAnsiTheme="minorEastAsia" w:eastAsiaTheme="minorEastAsia" w:cstheme="minorEastAsia"/>
          <w:sz w:val="21"/>
          <w:szCs w:val="21"/>
        </w:rPr>
        <w:id w:val="2"/>
        <w:docPartObj>
          <w:docPartGallery w:val="Table of Contents"/>
          <w:docPartUnique/>
        </w:docPartObj>
      </w:sdtPr>
      <w:sdtEndPr>
        <w:rPr>
          <w:rFonts w:hint="eastAsia" w:asciiTheme="minorEastAsia" w:hAnsiTheme="minorEastAsia" w:eastAsiaTheme="minorEastAsia" w:cstheme="minorEastAsia"/>
          <w:sz w:val="28"/>
          <w:szCs w:val="28"/>
          <w:lang w:val="en-US"/>
        </w:rPr>
      </w:sdtEndPr>
      <w:sdtContent>
        <w:p w14:paraId="2CC0EAC0">
          <w:pPr>
            <w:pStyle w:val="6"/>
            <w:keepNext w:val="0"/>
            <w:keepLines w:val="0"/>
            <w:pageBreakBefore w:val="0"/>
            <w:kinsoku/>
            <w:wordWrap w:val="0"/>
            <w:overflowPunct/>
            <w:topLinePunct w:val="0"/>
            <w:bidi w:val="0"/>
            <w:spacing w:before="353" w:line="222" w:lineRule="auto"/>
            <w:ind w:left="3716"/>
            <w:jc w:val="both"/>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42"/>
              <w:sz w:val="44"/>
              <w:szCs w:val="44"/>
              <w14:textOutline w14:w="2306" w14:cap="flat" w14:cmpd="sng">
                <w14:solidFill>
                  <w14:srgbClr w14:val="000000"/>
                </w14:solidFill>
                <w14:prstDash w14:val="solid"/>
                <w14:miter w14:val="0"/>
              </w14:textOutline>
            </w:rPr>
            <w:t>目</w:t>
          </w:r>
          <w:r>
            <w:rPr>
              <w:rFonts w:hint="eastAsia" w:asciiTheme="minorEastAsia" w:hAnsiTheme="minorEastAsia" w:eastAsiaTheme="minorEastAsia" w:cstheme="minorEastAsia"/>
              <w:spacing w:val="-42"/>
              <w:sz w:val="44"/>
              <w:szCs w:val="44"/>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42"/>
              <w:sz w:val="44"/>
              <w:szCs w:val="44"/>
              <w14:textOutline w14:w="2306" w14:cap="flat" w14:cmpd="sng">
                <w14:solidFill>
                  <w14:srgbClr w14:val="000000"/>
                </w14:solidFill>
                <w14:prstDash w14:val="solid"/>
                <w14:miter w14:val="0"/>
              </w14:textOutline>
            </w:rPr>
            <w:t>录</w:t>
          </w:r>
        </w:p>
        <w:p w14:paraId="3E25CFC7">
          <w:pPr>
            <w:pStyle w:val="6"/>
            <w:keepNext w:val="0"/>
            <w:keepLines w:val="0"/>
            <w:pageBreakBefore w:val="0"/>
            <w:kinsoku/>
            <w:wordWrap w:val="0"/>
            <w:overflowPunct/>
            <w:topLinePunct w:val="0"/>
            <w:bidi w:val="0"/>
            <w:jc w:val="both"/>
            <w:rPr>
              <w:rFonts w:hint="eastAsia"/>
              <w:shd w:val="clear" w:color="FFFFFF" w:fill="D9D9D9"/>
            </w:rPr>
          </w:pPr>
        </w:p>
        <w:p w14:paraId="4D7A6634">
          <w:pPr>
            <w:pStyle w:val="6"/>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第一章</w:t>
          </w:r>
          <w:r>
            <w:rPr>
              <w:rFonts w:hint="eastAsia"/>
              <w:sz w:val="28"/>
              <w:szCs w:val="28"/>
              <w:lang w:val="en-US" w:eastAsia="zh-CN"/>
            </w:rPr>
            <w:t xml:space="preserve"> </w:t>
          </w:r>
          <w:r>
            <w:rPr>
              <w:rFonts w:hint="eastAsia"/>
              <w:sz w:val="28"/>
              <w:szCs w:val="28"/>
              <w:lang w:eastAsia="zh-CN"/>
            </w:rPr>
            <w:t>公开招标公告</w:t>
          </w:r>
        </w:p>
        <w:p w14:paraId="168A436A">
          <w:pPr>
            <w:pStyle w:val="6"/>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w:t>
          </w:r>
          <w:r>
            <w:rPr>
              <w:rFonts w:hint="eastAsia"/>
              <w:sz w:val="28"/>
              <w:szCs w:val="28"/>
              <w:lang w:val="en-US" w:eastAsia="zh-CN"/>
            </w:rPr>
            <w:t>二</w:t>
          </w:r>
          <w:r>
            <w:rPr>
              <w:rFonts w:hint="eastAsia"/>
              <w:sz w:val="28"/>
              <w:szCs w:val="28"/>
            </w:rPr>
            <w:t>章</w:t>
          </w:r>
          <w:r>
            <w:rPr>
              <w:rFonts w:hint="eastAsia"/>
              <w:sz w:val="28"/>
              <w:szCs w:val="28"/>
              <w:lang w:val="en-US" w:eastAsia="zh-CN"/>
            </w:rPr>
            <w:t xml:space="preserve"> </w:t>
          </w:r>
          <w:r>
            <w:rPr>
              <w:rFonts w:hint="eastAsia"/>
              <w:sz w:val="28"/>
              <w:szCs w:val="28"/>
            </w:rPr>
            <w:t>采购需求</w:t>
          </w:r>
        </w:p>
        <w:p w14:paraId="69076CD6">
          <w:pPr>
            <w:pStyle w:val="6"/>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w:t>
          </w:r>
          <w:r>
            <w:rPr>
              <w:rFonts w:hint="eastAsia"/>
              <w:sz w:val="28"/>
              <w:szCs w:val="28"/>
              <w:lang w:val="en-US" w:eastAsia="zh-CN"/>
            </w:rPr>
            <w:t>三</w:t>
          </w:r>
          <w:r>
            <w:rPr>
              <w:rFonts w:hint="eastAsia"/>
              <w:sz w:val="28"/>
              <w:szCs w:val="28"/>
            </w:rPr>
            <w:t>章</w:t>
          </w:r>
          <w:r>
            <w:rPr>
              <w:rFonts w:hint="eastAsia"/>
              <w:sz w:val="28"/>
              <w:szCs w:val="28"/>
              <w:lang w:val="en-US" w:eastAsia="zh-CN"/>
            </w:rPr>
            <w:t xml:space="preserve"> </w:t>
          </w:r>
          <w:r>
            <w:rPr>
              <w:rFonts w:hint="eastAsia"/>
              <w:sz w:val="28"/>
              <w:szCs w:val="28"/>
            </w:rPr>
            <w:t>投标人须知</w:t>
          </w:r>
        </w:p>
        <w:p w14:paraId="0D30588B">
          <w:pPr>
            <w:pStyle w:val="6"/>
            <w:keepNext w:val="0"/>
            <w:keepLines w:val="0"/>
            <w:pageBreakBefore w:val="0"/>
            <w:kinsoku/>
            <w:wordWrap w:val="0"/>
            <w:overflowPunct/>
            <w:topLinePunct w:val="0"/>
            <w:bidi w:val="0"/>
            <w:spacing w:line="360" w:lineRule="auto"/>
            <w:jc w:val="both"/>
            <w:rPr>
              <w:rFonts w:hint="eastAsia"/>
              <w:sz w:val="28"/>
              <w:szCs w:val="28"/>
              <w:lang w:val="en-US" w:eastAsia="zh-CN"/>
            </w:rPr>
          </w:pPr>
          <w:r>
            <w:rPr>
              <w:rFonts w:hint="eastAsia"/>
              <w:sz w:val="28"/>
              <w:szCs w:val="28"/>
            </w:rPr>
            <w:t>第</w:t>
          </w:r>
          <w:r>
            <w:rPr>
              <w:rFonts w:hint="eastAsia"/>
              <w:sz w:val="28"/>
              <w:szCs w:val="28"/>
              <w:lang w:val="en-US" w:eastAsia="zh-CN"/>
            </w:rPr>
            <w:t>四</w:t>
          </w:r>
          <w:r>
            <w:rPr>
              <w:rFonts w:hint="eastAsia"/>
              <w:sz w:val="28"/>
              <w:szCs w:val="28"/>
            </w:rPr>
            <w:t>章</w:t>
          </w:r>
          <w:r>
            <w:rPr>
              <w:rFonts w:hint="eastAsia"/>
              <w:sz w:val="28"/>
              <w:szCs w:val="28"/>
              <w:lang w:val="en-US" w:eastAsia="zh-CN"/>
            </w:rPr>
            <w:t xml:space="preserve"> 开、</w:t>
          </w:r>
          <w:r>
            <w:rPr>
              <w:rFonts w:hint="eastAsia"/>
              <w:sz w:val="28"/>
              <w:szCs w:val="28"/>
            </w:rPr>
            <w:t>评标程序、评标方法和评标标准</w:t>
          </w:r>
        </w:p>
        <w:p w14:paraId="74AB1363">
          <w:pPr>
            <w:pStyle w:val="6"/>
            <w:keepNext w:val="0"/>
            <w:keepLines w:val="0"/>
            <w:pageBreakBefore w:val="0"/>
            <w:kinsoku/>
            <w:wordWrap w:val="0"/>
            <w:overflowPunct/>
            <w:topLinePunct w:val="0"/>
            <w:bidi w:val="0"/>
            <w:spacing w:line="360" w:lineRule="auto"/>
            <w:jc w:val="both"/>
            <w:rPr>
              <w:rFonts w:hint="eastAsia"/>
              <w:sz w:val="28"/>
              <w:szCs w:val="28"/>
              <w:lang w:val="en-US" w:eastAsia="zh-CN"/>
            </w:rPr>
          </w:pPr>
          <w:r>
            <w:rPr>
              <w:rFonts w:hint="eastAsia"/>
              <w:sz w:val="28"/>
              <w:szCs w:val="28"/>
            </w:rPr>
            <w:t>第</w:t>
          </w:r>
          <w:r>
            <w:rPr>
              <w:rFonts w:hint="eastAsia"/>
              <w:sz w:val="28"/>
              <w:szCs w:val="28"/>
              <w:lang w:val="en-US" w:eastAsia="zh-CN"/>
            </w:rPr>
            <w:t>五</w:t>
          </w:r>
          <w:r>
            <w:rPr>
              <w:rFonts w:hint="eastAsia"/>
              <w:sz w:val="28"/>
              <w:szCs w:val="28"/>
            </w:rPr>
            <w:t>章</w:t>
          </w:r>
          <w:r>
            <w:rPr>
              <w:rFonts w:hint="eastAsia"/>
              <w:sz w:val="28"/>
              <w:szCs w:val="28"/>
              <w:lang w:val="en-US" w:eastAsia="zh-CN"/>
            </w:rPr>
            <w:t xml:space="preserve"> </w:t>
          </w:r>
          <w:r>
            <w:rPr>
              <w:rFonts w:hint="eastAsia"/>
              <w:sz w:val="28"/>
              <w:szCs w:val="28"/>
              <w:lang w:eastAsia="zh-CN"/>
            </w:rPr>
            <w:t>政府采购合同（草案）</w:t>
          </w:r>
        </w:p>
        <w:p w14:paraId="4AEC450D">
          <w:pPr>
            <w:pStyle w:val="6"/>
            <w:keepNext w:val="0"/>
            <w:keepLines w:val="0"/>
            <w:pageBreakBefore w:val="0"/>
            <w:kinsoku/>
            <w:wordWrap w:val="0"/>
            <w:overflowPunct/>
            <w:topLinePunct w:val="0"/>
            <w:bidi w:val="0"/>
            <w:spacing w:line="360" w:lineRule="auto"/>
            <w:jc w:val="both"/>
            <w:rPr>
              <w:rFonts w:hint="eastAsia"/>
              <w:sz w:val="28"/>
              <w:szCs w:val="28"/>
            </w:rPr>
          </w:pPr>
          <w:r>
            <w:rPr>
              <w:rFonts w:hint="eastAsia"/>
              <w:sz w:val="28"/>
              <w:szCs w:val="28"/>
            </w:rPr>
            <w:t>第</w:t>
          </w:r>
          <w:r>
            <w:rPr>
              <w:rFonts w:hint="eastAsia"/>
              <w:sz w:val="28"/>
              <w:szCs w:val="28"/>
              <w:lang w:val="en-US" w:eastAsia="zh-CN"/>
            </w:rPr>
            <w:t>六</w:t>
          </w:r>
          <w:r>
            <w:rPr>
              <w:rFonts w:hint="eastAsia"/>
              <w:sz w:val="28"/>
              <w:szCs w:val="28"/>
            </w:rPr>
            <w:t>章</w:t>
          </w:r>
          <w:r>
            <w:rPr>
              <w:rFonts w:hint="eastAsia"/>
              <w:sz w:val="28"/>
              <w:szCs w:val="28"/>
              <w:lang w:val="en-US" w:eastAsia="zh-CN"/>
            </w:rPr>
            <w:t xml:space="preserve"> </w:t>
          </w:r>
          <w:r>
            <w:rPr>
              <w:rFonts w:hint="eastAsia"/>
              <w:sz w:val="28"/>
              <w:szCs w:val="28"/>
            </w:rPr>
            <w:t>投标文件格式</w:t>
          </w:r>
        </w:p>
      </w:sdtContent>
    </w:sdt>
    <w:p w14:paraId="29843182">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321ED4F5">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393CF4FC">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18651E71">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0A611FFC">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56E336EC">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691A5008">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5F909798">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79410B21">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ED1769E">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246090E">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580FDE5">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7C2ED30">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993F7C6">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9CF83F3">
      <w:pPr>
        <w:pStyle w:val="6"/>
        <w:keepNext w:val="0"/>
        <w:keepLines w:val="0"/>
        <w:pageBreakBefore w:val="0"/>
        <w:kinsoku/>
        <w:wordWrap w:val="0"/>
        <w:overflowPunct/>
        <w:topLinePunct w:val="0"/>
        <w:bidi w:val="0"/>
        <w:spacing w:before="353" w:line="360" w:lineRule="auto"/>
        <w:jc w:val="center"/>
        <w:rPr>
          <w:spacing w:val="-6"/>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第一章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t>公开招标公告</w:t>
      </w:r>
    </w:p>
    <w:p w14:paraId="0A6A9C5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p>
    <w:p w14:paraId="5DFFBCA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r>
        <w:rPr>
          <w:spacing w:val="-6"/>
          <w:sz w:val="24"/>
          <w:szCs w:val="24"/>
        </w:rPr>
        <w:t>采购人拟就下述项目以</w:t>
      </w:r>
      <w:r>
        <w:rPr>
          <w:rFonts w:hint="eastAsia"/>
          <w:spacing w:val="-6"/>
          <w:sz w:val="24"/>
          <w:szCs w:val="24"/>
          <w:lang w:val="en-US" w:eastAsia="zh-CN"/>
        </w:rPr>
        <w:t>公开</w:t>
      </w:r>
      <w:r>
        <w:rPr>
          <w:spacing w:val="-6"/>
          <w:sz w:val="24"/>
          <w:szCs w:val="24"/>
        </w:rPr>
        <w:t>招标方式组织采购活动，</w:t>
      </w:r>
      <w:r>
        <w:rPr>
          <w:rFonts w:hint="eastAsia"/>
          <w:spacing w:val="-6"/>
          <w:sz w:val="24"/>
          <w:szCs w:val="24"/>
          <w:lang w:eastAsia="zh-CN"/>
        </w:rPr>
        <w:t>欢迎潜在投标人</w:t>
      </w:r>
      <w:r>
        <w:rPr>
          <w:spacing w:val="-6"/>
          <w:sz w:val="24"/>
          <w:szCs w:val="24"/>
        </w:rPr>
        <w:t>参与本项目投标。</w:t>
      </w:r>
    </w:p>
    <w:p w14:paraId="0786EA2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一、项目基本情况</w:t>
      </w:r>
    </w:p>
    <w:p w14:paraId="7C06B27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pacing w:val="-25"/>
          <w:sz w:val="24"/>
          <w:szCs w:val="24"/>
        </w:rPr>
        <w:t>1.项目编号：</w:t>
      </w:r>
      <w:r>
        <w:rPr>
          <w:rFonts w:hint="eastAsia" w:asciiTheme="minorEastAsia" w:hAnsiTheme="minorEastAsia" w:eastAsiaTheme="minorEastAsia" w:cstheme="minorEastAsia"/>
          <w:color w:val="auto"/>
          <w:spacing w:val="-25"/>
          <w:sz w:val="24"/>
          <w:szCs w:val="24"/>
          <w:lang w:val="en-US" w:eastAsia="zh-CN"/>
        </w:rPr>
        <w:t>南阳政采公开-2026-37</w:t>
      </w:r>
    </w:p>
    <w:p w14:paraId="122A6B2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color w:val="auto"/>
          <w:spacing w:val="-24"/>
          <w:sz w:val="24"/>
          <w:szCs w:val="24"/>
          <w:lang w:val="en-US" w:eastAsia="zh-CN"/>
        </w:rPr>
      </w:pPr>
      <w:r>
        <w:rPr>
          <w:rFonts w:hint="eastAsia" w:asciiTheme="minorEastAsia" w:hAnsiTheme="minorEastAsia" w:eastAsiaTheme="minorEastAsia" w:cstheme="minorEastAsia"/>
          <w:color w:val="auto"/>
          <w:spacing w:val="-24"/>
          <w:sz w:val="24"/>
          <w:szCs w:val="24"/>
        </w:rPr>
        <w:t>2.项目名称：</w:t>
      </w:r>
      <w:r>
        <w:rPr>
          <w:rFonts w:hint="eastAsia" w:asciiTheme="minorEastAsia" w:hAnsiTheme="minorEastAsia" w:eastAsiaTheme="minorEastAsia" w:cstheme="minorEastAsia"/>
          <w:color w:val="auto"/>
          <w:spacing w:val="-24"/>
          <w:sz w:val="24"/>
          <w:szCs w:val="24"/>
          <w:lang w:eastAsia="zh-CN"/>
        </w:rPr>
        <w:t>南阳市第一中学校附属初级中学校校园监控及广播系统升级改造项目</w:t>
      </w:r>
    </w:p>
    <w:p w14:paraId="67A0A3F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rPr>
        <w:t>3.项目预算金额</w:t>
      </w:r>
      <w:r>
        <w:rPr>
          <w:rFonts w:hint="eastAsia" w:asciiTheme="minorEastAsia" w:hAnsiTheme="minorEastAsia" w:eastAsiaTheme="minorEastAsia" w:cstheme="minorEastAsia"/>
          <w:color w:val="auto"/>
          <w:spacing w:val="-14"/>
          <w:sz w:val="24"/>
          <w:szCs w:val="24"/>
          <w:highlight w:val="none"/>
        </w:rPr>
        <w:t>：</w:t>
      </w:r>
      <w:r>
        <w:rPr>
          <w:rFonts w:hint="eastAsia" w:asciiTheme="minorEastAsia" w:hAnsiTheme="minorEastAsia" w:eastAsiaTheme="minorEastAsia" w:cstheme="minorEastAsia"/>
          <w:color w:val="auto"/>
          <w:spacing w:val="-14"/>
          <w:sz w:val="24"/>
          <w:szCs w:val="24"/>
          <w:highlight w:val="none"/>
          <w:u w:val="single"/>
          <w:lang w:val="en-US" w:eastAsia="zh-CN"/>
        </w:rPr>
        <w:t xml:space="preserve"> 105.612  </w:t>
      </w:r>
      <w:r>
        <w:rPr>
          <w:rFonts w:hint="eastAsia" w:asciiTheme="minorEastAsia" w:hAnsiTheme="minorEastAsia" w:eastAsiaTheme="minorEastAsia" w:cstheme="minorEastAsia"/>
          <w:color w:val="auto"/>
          <w:spacing w:val="-14"/>
          <w:sz w:val="24"/>
          <w:szCs w:val="24"/>
          <w:highlight w:val="none"/>
        </w:rPr>
        <w:t>万元、项目最高限价（如有</w:t>
      </w:r>
      <w:r>
        <w:rPr>
          <w:rFonts w:hint="eastAsia" w:asciiTheme="minorEastAsia" w:hAnsiTheme="minorEastAsia" w:eastAsiaTheme="minorEastAsia" w:cstheme="minorEastAsia"/>
          <w:color w:val="auto"/>
          <w:spacing w:val="5"/>
          <w:sz w:val="24"/>
          <w:szCs w:val="24"/>
          <w:highlight w:val="none"/>
        </w:rPr>
        <w:t>）：</w:t>
      </w:r>
      <w:r>
        <w:rPr>
          <w:rFonts w:hint="eastAsia" w:asciiTheme="minorEastAsia" w:hAnsiTheme="minorEastAsia" w:eastAsiaTheme="minorEastAsia" w:cstheme="minorEastAsia"/>
          <w:color w:val="auto"/>
          <w:spacing w:val="5"/>
          <w:sz w:val="24"/>
          <w:szCs w:val="24"/>
          <w:highlight w:val="none"/>
          <w:u w:val="single"/>
          <w:lang w:val="en-US" w:eastAsia="zh-CN"/>
        </w:rPr>
        <w:t xml:space="preserve"> </w:t>
      </w:r>
      <w:r>
        <w:rPr>
          <w:rFonts w:hint="eastAsia" w:asciiTheme="minorEastAsia" w:hAnsiTheme="minorEastAsia" w:eastAsiaTheme="minorEastAsia" w:cstheme="minorEastAsia"/>
          <w:color w:val="auto"/>
          <w:spacing w:val="-14"/>
          <w:sz w:val="24"/>
          <w:szCs w:val="24"/>
          <w:highlight w:val="none"/>
          <w:u w:val="single"/>
          <w:lang w:val="en-US" w:eastAsia="zh-CN"/>
        </w:rPr>
        <w:t>105.612</w:t>
      </w:r>
      <w:r>
        <w:rPr>
          <w:rFonts w:hint="eastAsia" w:asciiTheme="minorEastAsia" w:hAnsiTheme="minorEastAsia" w:eastAsiaTheme="minorEastAsia" w:cstheme="minorEastAsia"/>
          <w:spacing w:val="-14"/>
          <w:sz w:val="24"/>
          <w:szCs w:val="24"/>
          <w:highlight w:val="none"/>
          <w:u w:val="single"/>
          <w:lang w:val="en-US" w:eastAsia="zh-CN"/>
        </w:rPr>
        <w:t xml:space="preserve"> </w:t>
      </w:r>
      <w:r>
        <w:rPr>
          <w:rFonts w:hint="eastAsia" w:asciiTheme="minorEastAsia" w:hAnsiTheme="minorEastAsia" w:eastAsiaTheme="minorEastAsia" w:cstheme="minorEastAsia"/>
          <w:color w:val="auto"/>
          <w:spacing w:val="5"/>
          <w:sz w:val="24"/>
          <w:szCs w:val="24"/>
          <w:highlight w:val="none"/>
          <w:u w:val="single"/>
          <w:lang w:val="en-US" w:eastAsia="zh-CN"/>
        </w:rPr>
        <w:t xml:space="preserve"> </w:t>
      </w:r>
      <w:r>
        <w:rPr>
          <w:rFonts w:hint="eastAsia" w:asciiTheme="minorEastAsia" w:hAnsiTheme="minorEastAsia" w:eastAsiaTheme="minorEastAsia" w:cstheme="minorEastAsia"/>
          <w:color w:val="auto"/>
          <w:spacing w:val="-14"/>
          <w:sz w:val="24"/>
          <w:szCs w:val="24"/>
          <w:highlight w:val="none"/>
        </w:rPr>
        <w:t>万元</w:t>
      </w:r>
    </w:p>
    <w:p w14:paraId="18F48C52">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4.采购需求：</w:t>
      </w:r>
    </w:p>
    <w:tbl>
      <w:tblPr>
        <w:tblStyle w:val="35"/>
        <w:tblW w:w="809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24"/>
        <w:gridCol w:w="4078"/>
        <w:gridCol w:w="1279"/>
        <w:gridCol w:w="1417"/>
      </w:tblGrid>
      <w:tr w14:paraId="06028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trPr>
        <w:tc>
          <w:tcPr>
            <w:tcW w:w="1324" w:type="dxa"/>
            <w:vAlign w:val="center"/>
          </w:tcPr>
          <w:p w14:paraId="5585E06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包号</w:t>
            </w:r>
          </w:p>
        </w:tc>
        <w:tc>
          <w:tcPr>
            <w:tcW w:w="4078" w:type="dxa"/>
            <w:vAlign w:val="center"/>
          </w:tcPr>
          <w:p w14:paraId="14340EC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包</w:t>
            </w:r>
            <w:r>
              <w:rPr>
                <w:rFonts w:hint="eastAsia" w:asciiTheme="minorEastAsia" w:hAnsiTheme="minorEastAsia" w:eastAsiaTheme="minorEastAsia" w:cstheme="minorEastAsia"/>
                <w:spacing w:val="7"/>
                <w:sz w:val="24"/>
                <w:szCs w:val="24"/>
              </w:rPr>
              <w:t>名称</w:t>
            </w:r>
          </w:p>
        </w:tc>
        <w:tc>
          <w:tcPr>
            <w:tcW w:w="1279" w:type="dxa"/>
            <w:vAlign w:val="center"/>
          </w:tcPr>
          <w:p w14:paraId="1745B6A9">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t>包预算</w:t>
            </w:r>
          </w:p>
          <w:p w14:paraId="3239BC41">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万</w:t>
            </w:r>
            <w:r>
              <w:rPr>
                <w:rFonts w:hint="eastAsia" w:asciiTheme="minorEastAsia" w:hAnsiTheme="minorEastAsia" w:eastAsiaTheme="minorEastAsia" w:cstheme="minorEastAsia"/>
                <w:sz w:val="24"/>
                <w:szCs w:val="24"/>
              </w:rPr>
              <w:t>元）</w:t>
            </w:r>
          </w:p>
        </w:tc>
        <w:tc>
          <w:tcPr>
            <w:tcW w:w="1417" w:type="dxa"/>
            <w:vAlign w:val="center"/>
          </w:tcPr>
          <w:p w14:paraId="6D50EF3C">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14"/>
                <w:sz w:val="24"/>
                <w:szCs w:val="24"/>
              </w:rPr>
            </w:pPr>
            <w:r>
              <w:rPr>
                <w:rFonts w:hint="eastAsia" w:asciiTheme="minorEastAsia" w:hAnsiTheme="minorEastAsia" w:eastAsiaTheme="minorEastAsia" w:cstheme="minorEastAsia"/>
                <w:color w:val="auto"/>
                <w:spacing w:val="-14"/>
                <w:sz w:val="24"/>
                <w:szCs w:val="24"/>
              </w:rPr>
              <w:t>最高限价</w:t>
            </w:r>
          </w:p>
          <w:p w14:paraId="4EE8F1A7">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万</w:t>
            </w:r>
            <w:r>
              <w:rPr>
                <w:rFonts w:hint="eastAsia" w:asciiTheme="minorEastAsia" w:hAnsiTheme="minorEastAsia" w:eastAsiaTheme="minorEastAsia" w:cstheme="minorEastAsia"/>
                <w:sz w:val="24"/>
                <w:szCs w:val="24"/>
              </w:rPr>
              <w:t>元）</w:t>
            </w:r>
          </w:p>
        </w:tc>
      </w:tr>
      <w:tr w14:paraId="7D72F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0" w:hRule="atLeast"/>
        </w:trPr>
        <w:tc>
          <w:tcPr>
            <w:tcW w:w="1324" w:type="dxa"/>
            <w:vAlign w:val="center"/>
          </w:tcPr>
          <w:p w14:paraId="35DA3126">
            <w:pPr>
              <w:pStyle w:val="36"/>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spacing w:val="-6"/>
                <w:sz w:val="24"/>
                <w:szCs w:val="24"/>
                <w:u w:val="none"/>
                <w:lang w:val="en-US" w:eastAsia="zh-CN"/>
              </w:rPr>
            </w:pPr>
            <w:r>
              <w:rPr>
                <w:rFonts w:hint="eastAsia"/>
                <w:spacing w:val="-6"/>
                <w:sz w:val="24"/>
                <w:szCs w:val="24"/>
                <w:u w:val="none"/>
                <w:lang w:val="en-US" w:eastAsia="zh-CN"/>
              </w:rPr>
              <w:t>南阳政采公开</w:t>
            </w:r>
          </w:p>
          <w:p w14:paraId="4D23BB58">
            <w:pPr>
              <w:pStyle w:val="36"/>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z w:val="24"/>
                <w:szCs w:val="24"/>
                <w:lang w:val="en-US"/>
              </w:rPr>
            </w:pPr>
            <w:r>
              <w:rPr>
                <w:rFonts w:hint="eastAsia"/>
                <w:spacing w:val="-6"/>
                <w:sz w:val="24"/>
                <w:szCs w:val="24"/>
                <w:u w:val="none"/>
                <w:lang w:val="en-US" w:eastAsia="zh-CN"/>
              </w:rPr>
              <w:t>-2026-37</w:t>
            </w:r>
          </w:p>
        </w:tc>
        <w:tc>
          <w:tcPr>
            <w:tcW w:w="4078" w:type="dxa"/>
            <w:vAlign w:val="center"/>
          </w:tcPr>
          <w:p w14:paraId="12BB0079">
            <w:pPr>
              <w:pStyle w:val="36"/>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南阳市第一中学校附属初级中学校校园监控及广播系统升级改造项目</w:t>
            </w:r>
          </w:p>
        </w:tc>
        <w:tc>
          <w:tcPr>
            <w:tcW w:w="1279" w:type="dxa"/>
            <w:vAlign w:val="center"/>
          </w:tcPr>
          <w:p w14:paraId="69B2DBBD">
            <w:pPr>
              <w:pStyle w:val="36"/>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color w:val="auto"/>
                <w:spacing w:val="-14"/>
                <w:sz w:val="24"/>
                <w:szCs w:val="24"/>
                <w:highlight w:val="none"/>
                <w:u w:val="single"/>
                <w:lang w:val="en-US" w:eastAsia="zh-CN"/>
              </w:rPr>
              <w:t xml:space="preserve">105.612  </w:t>
            </w:r>
          </w:p>
        </w:tc>
        <w:tc>
          <w:tcPr>
            <w:tcW w:w="1417" w:type="dxa"/>
            <w:vAlign w:val="center"/>
          </w:tcPr>
          <w:p w14:paraId="34757DB1">
            <w:pPr>
              <w:pStyle w:val="36"/>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pacing w:val="5"/>
                <w:sz w:val="24"/>
                <w:szCs w:val="24"/>
                <w:highlight w:val="none"/>
                <w:u w:val="single"/>
                <w:lang w:val="en-US" w:eastAsia="zh-CN"/>
              </w:rPr>
            </w:pPr>
            <w:r>
              <w:rPr>
                <w:rFonts w:hint="eastAsia" w:asciiTheme="minorEastAsia" w:hAnsiTheme="minorEastAsia" w:eastAsiaTheme="minorEastAsia" w:cstheme="minorEastAsia"/>
                <w:color w:val="auto"/>
                <w:spacing w:val="-14"/>
                <w:sz w:val="24"/>
                <w:szCs w:val="24"/>
                <w:highlight w:val="none"/>
                <w:u w:val="single"/>
                <w:lang w:val="en-US" w:eastAsia="zh-CN"/>
              </w:rPr>
              <w:t xml:space="preserve"> 105.612 </w:t>
            </w:r>
          </w:p>
        </w:tc>
      </w:tr>
    </w:tbl>
    <w:p w14:paraId="09FA3D4D">
      <w:pPr>
        <w:pStyle w:val="31"/>
        <w:numPr>
          <w:ilvl w:val="2"/>
          <w:numId w:val="0"/>
        </w:numPr>
        <w:ind w:leftChars="0"/>
        <w:rPr>
          <w:rFonts w:hint="eastAsia"/>
        </w:rPr>
      </w:pPr>
    </w:p>
    <w:p w14:paraId="7FACF1E1">
      <w:pPr>
        <w:pStyle w:val="6"/>
        <w:keepNext w:val="0"/>
        <w:keepLines w:val="0"/>
        <w:pageBreakBefore w:val="0"/>
        <w:widowControl/>
        <w:numPr>
          <w:ilvl w:val="0"/>
          <w:numId w:val="2"/>
        </w:numPr>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采购清单</w:t>
      </w:r>
    </w:p>
    <w:tbl>
      <w:tblPr>
        <w:tblStyle w:val="22"/>
        <w:tblW w:w="49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7"/>
        <w:gridCol w:w="3769"/>
        <w:gridCol w:w="1729"/>
        <w:gridCol w:w="1864"/>
      </w:tblGrid>
      <w:tr w14:paraId="345B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tblHeader/>
          <w:jc w:val="center"/>
        </w:trPr>
        <w:tc>
          <w:tcPr>
            <w:tcW w:w="617" w:type="pct"/>
            <w:noWrap w:val="0"/>
            <w:vAlign w:val="center"/>
          </w:tcPr>
          <w:p w14:paraId="5F5A7BBC">
            <w:pPr>
              <w:widowControl w:val="0"/>
              <w:snapToGrid w:val="0"/>
              <w:ind w:left="0" w:leftChars="0" w:right="0" w:rightChars="0" w:firstLine="0" w:firstLineChars="0"/>
              <w:jc w:val="center"/>
              <w:rPr>
                <w:rFonts w:hint="eastAsia"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序号</w:t>
            </w:r>
          </w:p>
        </w:tc>
        <w:tc>
          <w:tcPr>
            <w:tcW w:w="2243" w:type="pct"/>
            <w:noWrap w:val="0"/>
            <w:vAlign w:val="center"/>
          </w:tcPr>
          <w:p w14:paraId="147F3F2C">
            <w:pPr>
              <w:widowControl w:val="0"/>
              <w:snapToGrid w:val="0"/>
              <w:ind w:left="0" w:leftChars="0" w:right="0" w:rightChars="0" w:firstLine="0" w:firstLineChars="0"/>
              <w:jc w:val="center"/>
              <w:rPr>
                <w:rFonts w:hint="eastAsia"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产品名称</w:t>
            </w:r>
          </w:p>
        </w:tc>
        <w:tc>
          <w:tcPr>
            <w:tcW w:w="1029" w:type="pct"/>
            <w:noWrap w:val="0"/>
            <w:vAlign w:val="center"/>
          </w:tcPr>
          <w:p w14:paraId="1783C01A">
            <w:pPr>
              <w:widowControl w:val="0"/>
              <w:snapToGrid w:val="0"/>
              <w:ind w:left="0" w:leftChars="0" w:right="0" w:rightChars="0" w:firstLine="0" w:firstLineChars="0"/>
              <w:jc w:val="center"/>
              <w:rPr>
                <w:rFonts w:hint="eastAsia"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单位</w:t>
            </w:r>
          </w:p>
        </w:tc>
        <w:tc>
          <w:tcPr>
            <w:tcW w:w="1109" w:type="pct"/>
            <w:noWrap w:val="0"/>
            <w:vAlign w:val="center"/>
          </w:tcPr>
          <w:p w14:paraId="66BC124C">
            <w:pPr>
              <w:widowControl w:val="0"/>
              <w:snapToGrid w:val="0"/>
              <w:ind w:left="0" w:leftChars="0" w:right="0" w:rightChars="0" w:firstLine="0" w:firstLineChars="0"/>
              <w:jc w:val="center"/>
              <w:rPr>
                <w:rFonts w:hint="eastAsia" w:ascii="宋体" w:hAnsi="宋体" w:eastAsia="宋体" w:cs="宋体"/>
                <w:b/>
                <w:bCs/>
                <w:i w:val="0"/>
                <w:iCs w:val="0"/>
                <w:sz w:val="21"/>
                <w:szCs w:val="21"/>
                <w:vertAlign w:val="baseline"/>
                <w:lang w:val="en-US" w:eastAsia="zh-CN"/>
              </w:rPr>
            </w:pPr>
            <w:r>
              <w:rPr>
                <w:rFonts w:hint="eastAsia" w:ascii="宋体" w:hAnsi="宋体" w:eastAsia="宋体" w:cs="宋体"/>
                <w:b/>
                <w:bCs/>
                <w:i w:val="0"/>
                <w:iCs w:val="0"/>
                <w:sz w:val="21"/>
                <w:szCs w:val="21"/>
                <w:vertAlign w:val="baseline"/>
                <w:lang w:val="en-US" w:eastAsia="zh-CN"/>
              </w:rPr>
              <w:t>数量</w:t>
            </w:r>
          </w:p>
        </w:tc>
      </w:tr>
      <w:tr w14:paraId="796D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617" w:type="pct"/>
            <w:noWrap w:val="0"/>
            <w:vAlign w:val="center"/>
          </w:tcPr>
          <w:p w14:paraId="43A6E630">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3769" w:type="dxa"/>
            <w:noWrap w:val="0"/>
            <w:vAlign w:val="center"/>
          </w:tcPr>
          <w:p w14:paraId="6B5CFFD0">
            <w:pPr>
              <w:keepNext w:val="0"/>
              <w:keepLines w:val="0"/>
              <w:widowControl/>
              <w:suppressLineNumbers w:val="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color w:val="000000"/>
                <w:kern w:val="0"/>
                <w:sz w:val="22"/>
                <w:szCs w:val="22"/>
                <w:lang w:bidi="ar"/>
              </w:rPr>
              <w:t>IP网络广播系统服务器</w:t>
            </w:r>
          </w:p>
        </w:tc>
        <w:tc>
          <w:tcPr>
            <w:tcW w:w="1729" w:type="dxa"/>
            <w:noWrap w:val="0"/>
            <w:vAlign w:val="center"/>
          </w:tcPr>
          <w:p w14:paraId="79DBE320">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864" w:type="dxa"/>
            <w:noWrap w:val="0"/>
            <w:vAlign w:val="center"/>
          </w:tcPr>
          <w:p w14:paraId="7824D73C">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r>
      <w:tr w14:paraId="73182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617" w:type="pct"/>
            <w:noWrap w:val="0"/>
            <w:vAlign w:val="center"/>
          </w:tcPr>
          <w:p w14:paraId="5A3F0879">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3769" w:type="dxa"/>
            <w:noWrap w:val="0"/>
            <w:vAlign w:val="center"/>
          </w:tcPr>
          <w:p w14:paraId="2B44ACFE">
            <w:pPr>
              <w:keepNext w:val="0"/>
              <w:keepLines w:val="0"/>
              <w:widowControl/>
              <w:suppressLineNumbers w:val="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color w:val="000000"/>
                <w:kern w:val="0"/>
                <w:sz w:val="22"/>
                <w:szCs w:val="22"/>
                <w:lang w:bidi="ar"/>
              </w:rPr>
              <w:t>IP网络广播系统管理软件</w:t>
            </w:r>
          </w:p>
        </w:tc>
        <w:tc>
          <w:tcPr>
            <w:tcW w:w="1729" w:type="dxa"/>
            <w:noWrap w:val="0"/>
            <w:vAlign w:val="center"/>
          </w:tcPr>
          <w:p w14:paraId="3A6EAD6D">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1864" w:type="dxa"/>
            <w:noWrap w:val="0"/>
            <w:vAlign w:val="center"/>
          </w:tcPr>
          <w:p w14:paraId="04FD3866">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r>
      <w:tr w14:paraId="4B93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617" w:type="pct"/>
            <w:noWrap w:val="0"/>
            <w:vAlign w:val="center"/>
          </w:tcPr>
          <w:p w14:paraId="58017369">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3769" w:type="dxa"/>
            <w:noWrap w:val="0"/>
            <w:vAlign w:val="center"/>
          </w:tcPr>
          <w:p w14:paraId="2D19B6CE">
            <w:pPr>
              <w:keepNext w:val="0"/>
              <w:keepLines w:val="0"/>
              <w:widowControl/>
              <w:suppressLineNumbers w:val="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color w:val="000000"/>
                <w:kern w:val="0"/>
                <w:sz w:val="22"/>
                <w:szCs w:val="22"/>
                <w:lang w:bidi="ar"/>
              </w:rPr>
              <w:t>IP广播移动分控APP软件</w:t>
            </w:r>
          </w:p>
        </w:tc>
        <w:tc>
          <w:tcPr>
            <w:tcW w:w="1729" w:type="dxa"/>
            <w:noWrap w:val="0"/>
            <w:vAlign w:val="center"/>
          </w:tcPr>
          <w:p w14:paraId="590566C2">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1864" w:type="dxa"/>
            <w:noWrap w:val="0"/>
            <w:vAlign w:val="center"/>
          </w:tcPr>
          <w:p w14:paraId="3ADC1064">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r>
      <w:tr w14:paraId="6D63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617" w:type="pct"/>
            <w:noWrap w:val="0"/>
            <w:vAlign w:val="center"/>
          </w:tcPr>
          <w:p w14:paraId="50EB544A">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3769" w:type="dxa"/>
            <w:noWrap w:val="0"/>
            <w:vAlign w:val="center"/>
          </w:tcPr>
          <w:p w14:paraId="217C6FE8">
            <w:pPr>
              <w:keepNext w:val="0"/>
              <w:keepLines w:val="0"/>
              <w:widowControl/>
              <w:suppressLineNumbers w:val="0"/>
              <w:jc w:val="left"/>
              <w:textAlignment w:val="center"/>
              <w:rPr>
                <w:rFonts w:hint="eastAsia" w:ascii="宋体" w:hAnsi="宋体" w:eastAsia="宋体" w:cs="宋体"/>
                <w:b w:val="0"/>
                <w:bCs w:val="0"/>
                <w:sz w:val="24"/>
                <w:szCs w:val="24"/>
                <w:lang w:val="en-US" w:eastAsia="zh-CN"/>
              </w:rPr>
            </w:pPr>
            <w:r>
              <w:rPr>
                <w:rFonts w:hint="eastAsia" w:ascii="宋体" w:hAnsi="宋体" w:eastAsia="宋体" w:cs="宋体"/>
                <w:i w:val="0"/>
                <w:iCs w:val="0"/>
                <w:color w:val="000000"/>
                <w:kern w:val="0"/>
                <w:sz w:val="22"/>
                <w:szCs w:val="22"/>
                <w:u w:val="none"/>
                <w:lang w:val="en-US" w:eastAsia="zh-CN" w:bidi="ar"/>
              </w:rPr>
              <w:t>室外防水声柱</w:t>
            </w:r>
          </w:p>
        </w:tc>
        <w:tc>
          <w:tcPr>
            <w:tcW w:w="1729" w:type="dxa"/>
            <w:noWrap w:val="0"/>
            <w:vAlign w:val="center"/>
          </w:tcPr>
          <w:p w14:paraId="31E602E3">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只</w:t>
            </w:r>
          </w:p>
        </w:tc>
        <w:tc>
          <w:tcPr>
            <w:tcW w:w="1864" w:type="dxa"/>
            <w:noWrap w:val="0"/>
            <w:vAlign w:val="center"/>
          </w:tcPr>
          <w:p w14:paraId="46256C19">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6</w:t>
            </w:r>
          </w:p>
        </w:tc>
      </w:tr>
      <w:tr w14:paraId="0172E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617" w:type="pct"/>
            <w:noWrap w:val="0"/>
            <w:vAlign w:val="center"/>
          </w:tcPr>
          <w:p w14:paraId="1FA0881A">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3769" w:type="dxa"/>
            <w:noWrap w:val="0"/>
            <w:vAlign w:val="center"/>
          </w:tcPr>
          <w:p w14:paraId="0C863D7F">
            <w:pPr>
              <w:keepNext w:val="0"/>
              <w:keepLines w:val="0"/>
              <w:widowControl/>
              <w:suppressLineNumbers w:val="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auto"/>
                <w:kern w:val="0"/>
                <w:sz w:val="22"/>
                <w:szCs w:val="22"/>
                <w:u w:val="none"/>
                <w:lang w:val="en-US" w:eastAsia="zh-CN" w:bidi="ar"/>
              </w:rPr>
              <w:t>多功能网络解码音箱</w:t>
            </w:r>
          </w:p>
        </w:tc>
        <w:tc>
          <w:tcPr>
            <w:tcW w:w="1729" w:type="dxa"/>
            <w:noWrap w:val="0"/>
            <w:vAlign w:val="center"/>
          </w:tcPr>
          <w:p w14:paraId="1FA8D7D7">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只</w:t>
            </w:r>
          </w:p>
        </w:tc>
        <w:tc>
          <w:tcPr>
            <w:tcW w:w="1864" w:type="dxa"/>
            <w:noWrap w:val="0"/>
            <w:vAlign w:val="center"/>
          </w:tcPr>
          <w:p w14:paraId="11294028">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73</w:t>
            </w:r>
          </w:p>
        </w:tc>
      </w:tr>
      <w:tr w14:paraId="7922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617" w:type="pct"/>
            <w:noWrap w:val="0"/>
            <w:vAlign w:val="center"/>
          </w:tcPr>
          <w:p w14:paraId="6C18717F">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3769" w:type="dxa"/>
            <w:noWrap w:val="0"/>
            <w:vAlign w:val="center"/>
          </w:tcPr>
          <w:p w14:paraId="2AF7923A">
            <w:pPr>
              <w:keepNext w:val="0"/>
              <w:keepLines w:val="0"/>
              <w:widowControl/>
              <w:suppressLineNumbers w:val="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auto"/>
                <w:kern w:val="0"/>
                <w:sz w:val="22"/>
                <w:szCs w:val="22"/>
                <w:u w:val="none"/>
                <w:lang w:val="en-US" w:eastAsia="zh-CN" w:bidi="ar"/>
              </w:rPr>
              <w:t>室外音箱</w:t>
            </w:r>
          </w:p>
        </w:tc>
        <w:tc>
          <w:tcPr>
            <w:tcW w:w="1729" w:type="dxa"/>
            <w:noWrap w:val="0"/>
            <w:vAlign w:val="center"/>
          </w:tcPr>
          <w:p w14:paraId="69E275B9">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只</w:t>
            </w:r>
          </w:p>
        </w:tc>
        <w:tc>
          <w:tcPr>
            <w:tcW w:w="1864" w:type="dxa"/>
            <w:noWrap w:val="0"/>
            <w:vAlign w:val="center"/>
          </w:tcPr>
          <w:p w14:paraId="6E5DEFF3">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4</w:t>
            </w:r>
          </w:p>
        </w:tc>
      </w:tr>
      <w:tr w14:paraId="49AE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617" w:type="pct"/>
            <w:noWrap w:val="0"/>
            <w:vAlign w:val="center"/>
          </w:tcPr>
          <w:p w14:paraId="433F19C7">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3769" w:type="dxa"/>
            <w:noWrap w:val="0"/>
            <w:vAlign w:val="center"/>
          </w:tcPr>
          <w:p w14:paraId="39CA5ECE">
            <w:pPr>
              <w:keepNext w:val="0"/>
              <w:keepLines w:val="0"/>
              <w:widowControl/>
              <w:suppressLineNumbers w:val="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网络室外声柱</w:t>
            </w:r>
          </w:p>
        </w:tc>
        <w:tc>
          <w:tcPr>
            <w:tcW w:w="1729" w:type="dxa"/>
            <w:noWrap w:val="0"/>
            <w:vAlign w:val="center"/>
          </w:tcPr>
          <w:p w14:paraId="41D66EE6">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只</w:t>
            </w:r>
          </w:p>
        </w:tc>
        <w:tc>
          <w:tcPr>
            <w:tcW w:w="1864" w:type="dxa"/>
            <w:noWrap w:val="0"/>
            <w:vAlign w:val="center"/>
          </w:tcPr>
          <w:p w14:paraId="63C80AD1">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4</w:t>
            </w:r>
          </w:p>
        </w:tc>
      </w:tr>
      <w:tr w14:paraId="65918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617" w:type="pct"/>
            <w:noWrap w:val="0"/>
            <w:vAlign w:val="center"/>
          </w:tcPr>
          <w:p w14:paraId="0BE4ADA7">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3769" w:type="dxa"/>
            <w:noWrap w:val="0"/>
            <w:vAlign w:val="center"/>
          </w:tcPr>
          <w:p w14:paraId="5613509A">
            <w:pPr>
              <w:keepNext w:val="0"/>
              <w:keepLines w:val="0"/>
              <w:widowControl/>
              <w:suppressLineNumbers w:val="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auto"/>
                <w:kern w:val="0"/>
                <w:sz w:val="22"/>
                <w:szCs w:val="22"/>
                <w:u w:val="none"/>
                <w:lang w:val="en-US" w:eastAsia="zh-CN" w:bidi="ar"/>
              </w:rPr>
              <w:t>IP定压功放</w:t>
            </w:r>
          </w:p>
        </w:tc>
        <w:tc>
          <w:tcPr>
            <w:tcW w:w="1729" w:type="dxa"/>
            <w:noWrap w:val="0"/>
            <w:vAlign w:val="center"/>
          </w:tcPr>
          <w:p w14:paraId="6CBD8A60">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864" w:type="dxa"/>
            <w:noWrap w:val="0"/>
            <w:vAlign w:val="center"/>
          </w:tcPr>
          <w:p w14:paraId="4F6219F4">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r>
      <w:tr w14:paraId="670D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617" w:type="pct"/>
            <w:noWrap w:val="0"/>
            <w:vAlign w:val="center"/>
          </w:tcPr>
          <w:p w14:paraId="70516A36">
            <w:pPr>
              <w:widowControl w:val="0"/>
              <w:numPr>
                <w:ilvl w:val="0"/>
                <w:numId w:val="3"/>
              </w:numPr>
              <w:tabs>
                <w:tab w:val="clear" w:pos="0"/>
              </w:tabs>
              <w:snapToGrid w:val="0"/>
              <w:ind w:left="0" w:leftChars="0" w:right="0" w:rightChars="0" w:firstLine="0" w:firstLineChars="0"/>
              <w:jc w:val="center"/>
              <w:rPr>
                <w:rFonts w:hint="eastAsia" w:ascii="宋体" w:hAnsi="宋体" w:eastAsia="宋体" w:cs="宋体"/>
                <w:b w:val="0"/>
                <w:bCs w:val="0"/>
                <w:i w:val="0"/>
                <w:iCs w:val="0"/>
                <w:sz w:val="21"/>
                <w:szCs w:val="21"/>
                <w:vertAlign w:val="baseline"/>
                <w:lang w:val="en-US" w:eastAsia="zh-CN"/>
              </w:rPr>
            </w:pPr>
          </w:p>
        </w:tc>
        <w:tc>
          <w:tcPr>
            <w:tcW w:w="3769" w:type="dxa"/>
            <w:noWrap w:val="0"/>
            <w:vAlign w:val="center"/>
          </w:tcPr>
          <w:p w14:paraId="3BF1AE47">
            <w:pPr>
              <w:keepNext w:val="0"/>
              <w:keepLines w:val="0"/>
              <w:widowControl/>
              <w:suppressLineNumbers w:val="0"/>
              <w:jc w:val="left"/>
              <w:textAlignment w:val="center"/>
              <w:rPr>
                <w:rFonts w:hint="eastAsia"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auto"/>
                <w:kern w:val="0"/>
                <w:sz w:val="22"/>
                <w:szCs w:val="22"/>
                <w:u w:val="none"/>
                <w:lang w:val="en-US" w:eastAsia="zh-CN" w:bidi="ar"/>
              </w:rPr>
              <w:t>功放</w:t>
            </w:r>
          </w:p>
        </w:tc>
        <w:tc>
          <w:tcPr>
            <w:tcW w:w="1729" w:type="dxa"/>
            <w:noWrap w:val="0"/>
            <w:vAlign w:val="center"/>
          </w:tcPr>
          <w:p w14:paraId="700EDE69">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864" w:type="dxa"/>
            <w:noWrap w:val="0"/>
            <w:vAlign w:val="center"/>
          </w:tcPr>
          <w:p w14:paraId="1BA7679E">
            <w:pPr>
              <w:keepNext w:val="0"/>
              <w:keepLines w:val="0"/>
              <w:widowControl/>
              <w:suppressLineNumbers w:val="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t>2</w:t>
            </w:r>
          </w:p>
        </w:tc>
      </w:tr>
      <w:tr w14:paraId="148CA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exact"/>
          <w:jc w:val="center"/>
        </w:trPr>
        <w:tc>
          <w:tcPr>
            <w:tcW w:w="617" w:type="pct"/>
            <w:noWrap w:val="0"/>
            <w:vAlign w:val="center"/>
          </w:tcPr>
          <w:p w14:paraId="128FBC11">
            <w:pPr>
              <w:widowControl w:val="0"/>
              <w:numPr>
                <w:ilvl w:val="0"/>
                <w:numId w:val="0"/>
              </w:numPr>
              <w:snapToGrid w:val="0"/>
              <w:ind w:leftChars="0" w:right="0" w:rightChars="0"/>
              <w:jc w:val="both"/>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w:t>
            </w:r>
          </w:p>
        </w:tc>
        <w:tc>
          <w:tcPr>
            <w:tcW w:w="2243" w:type="pct"/>
            <w:noWrap w:val="0"/>
            <w:vAlign w:val="center"/>
          </w:tcPr>
          <w:p w14:paraId="5037E2AA">
            <w:pPr>
              <w:keepNext w:val="0"/>
              <w:keepLines w:val="0"/>
              <w:pageBreakBefore w:val="0"/>
              <w:widowControl w:val="0"/>
              <w:suppressLineNumbers w:val="0"/>
              <w:kinsoku/>
              <w:wordWrap w:val="0"/>
              <w:overflowPunct w:val="0"/>
              <w:topLinePunct/>
              <w:autoSpaceDE/>
              <w:autoSpaceDN/>
              <w:bidi w:val="0"/>
              <w:adjustRightInd/>
              <w:snapToGrid w:val="0"/>
              <w:spacing w:beforeAutospacing="0" w:afterAutospacing="0" w:line="240" w:lineRule="auto"/>
              <w:ind w:left="0" w:leftChars="0" w:right="0" w:rightChars="0" w:firstLine="0" w:firstLineChars="0"/>
              <w:jc w:val="left"/>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w:t>
            </w:r>
          </w:p>
        </w:tc>
        <w:tc>
          <w:tcPr>
            <w:tcW w:w="1029" w:type="pct"/>
            <w:noWrap w:val="0"/>
            <w:vAlign w:val="center"/>
          </w:tcPr>
          <w:p w14:paraId="71B7552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w:t>
            </w:r>
          </w:p>
        </w:tc>
        <w:tc>
          <w:tcPr>
            <w:tcW w:w="1109" w:type="pct"/>
            <w:noWrap w:val="0"/>
            <w:vAlign w:val="center"/>
          </w:tcPr>
          <w:p w14:paraId="35BD627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sz w:val="21"/>
                <w:szCs w:val="21"/>
                <w:vertAlign w:val="baseline"/>
                <w:lang w:val="en-US" w:eastAsia="zh-CN"/>
              </w:rPr>
            </w:pPr>
            <w:r>
              <w:rPr>
                <w:rFonts w:hint="eastAsia" w:ascii="宋体" w:hAnsi="宋体" w:eastAsia="宋体" w:cs="宋体"/>
                <w:b w:val="0"/>
                <w:bCs w:val="0"/>
                <w:i w:val="0"/>
                <w:iCs w:val="0"/>
                <w:sz w:val="21"/>
                <w:szCs w:val="21"/>
                <w:vertAlign w:val="baseline"/>
                <w:lang w:val="en-US" w:eastAsia="zh-CN"/>
              </w:rPr>
              <w:t>..</w:t>
            </w:r>
          </w:p>
        </w:tc>
      </w:tr>
    </w:tbl>
    <w:p w14:paraId="736C34A8">
      <w:pPr>
        <w:pStyle w:val="15"/>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210" w:firstLineChars="100"/>
        <w:textAlignment w:val="baseline"/>
        <w:rPr>
          <w:rFonts w:hint="eastAsia"/>
          <w:b w:val="0"/>
          <w:bCs w:val="0"/>
          <w:lang w:val="en-US" w:eastAsia="zh-CN"/>
        </w:rPr>
      </w:pPr>
      <w:r>
        <w:rPr>
          <w:rFonts w:hint="eastAsia"/>
          <w:b w:val="0"/>
          <w:bCs w:val="0"/>
          <w:lang w:val="en-US" w:eastAsia="zh-CN"/>
        </w:rPr>
        <w:t>共计60项详见采购文件第二部分。</w:t>
      </w:r>
    </w:p>
    <w:p w14:paraId="46AE040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239" w:firstLineChars="100"/>
        <w:jc w:val="both"/>
        <w:textAlignment w:val="baseline"/>
        <w:outlineLvl w:val="9"/>
        <w:rPr>
          <w:rFonts w:hint="eastAsia" w:asciiTheme="minorEastAsia" w:hAnsiTheme="minorEastAsia" w:eastAsiaTheme="minorEastAsia" w:cstheme="minorEastAsia"/>
          <w:color w:val="auto"/>
          <w:spacing w:val="-1"/>
          <w:sz w:val="24"/>
          <w:szCs w:val="24"/>
          <w:highlight w:val="none"/>
          <w:u w:val="single"/>
          <w:lang w:val="en-US" w:eastAsia="zh-CN"/>
        </w:rPr>
      </w:pPr>
      <w:r>
        <w:rPr>
          <w:rFonts w:hint="eastAsia" w:asciiTheme="minorEastAsia" w:hAnsiTheme="minorEastAsia" w:eastAsiaTheme="minorEastAsia" w:cstheme="minorEastAsia"/>
          <w:b/>
          <w:bCs/>
          <w:spacing w:val="-1"/>
          <w:sz w:val="24"/>
          <w:szCs w:val="24"/>
          <w:highlight w:val="none"/>
        </w:rPr>
        <w:t>本项目核心产品为</w:t>
      </w:r>
      <w:r>
        <w:rPr>
          <w:rFonts w:hint="eastAsia" w:asciiTheme="minorEastAsia" w:hAnsiTheme="minorEastAsia" w:eastAsiaTheme="minorEastAsia" w:cstheme="minorEastAsia"/>
          <w:b/>
          <w:bCs/>
          <w:spacing w:val="-1"/>
          <w:sz w:val="24"/>
          <w:szCs w:val="24"/>
          <w:highlight w:val="none"/>
          <w:lang w:eastAsia="zh-CN"/>
        </w:rPr>
        <w:t>：</w:t>
      </w:r>
      <w:r>
        <w:rPr>
          <w:rFonts w:hint="eastAsia" w:asciiTheme="minorEastAsia" w:hAnsiTheme="minorEastAsia" w:eastAsiaTheme="minorEastAsia" w:cstheme="minorEastAsia"/>
          <w:b/>
          <w:bCs/>
          <w:color w:val="auto"/>
          <w:spacing w:val="-1"/>
          <w:sz w:val="24"/>
          <w:szCs w:val="24"/>
          <w:highlight w:val="none"/>
          <w:u w:val="single"/>
          <w:lang w:val="en-US" w:eastAsia="zh-CN"/>
        </w:rPr>
        <w:t xml:space="preserve">    网络存储设备</w:t>
      </w:r>
      <w:r>
        <w:rPr>
          <w:rFonts w:hint="eastAsia" w:asciiTheme="minorEastAsia" w:hAnsiTheme="minorEastAsia" w:eastAsiaTheme="minorEastAsia" w:cstheme="minorEastAsia"/>
          <w:color w:val="auto"/>
          <w:spacing w:val="-1"/>
          <w:sz w:val="24"/>
          <w:szCs w:val="24"/>
          <w:highlight w:val="none"/>
          <w:u w:val="single"/>
          <w:lang w:val="en-US" w:eastAsia="zh-CN"/>
        </w:rPr>
        <w:t xml:space="preserve">  </w:t>
      </w:r>
    </w:p>
    <w:p w14:paraId="29F66D5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239" w:firstLineChars="100"/>
        <w:jc w:val="both"/>
        <w:textAlignment w:val="baseline"/>
        <w:outlineLvl w:val="9"/>
        <w:rPr>
          <w:rFonts w:hint="default"/>
          <w:highlight w:val="none"/>
          <w:lang w:val="en-US" w:eastAsia="zh-CN"/>
        </w:rPr>
      </w:pPr>
      <w:r>
        <w:rPr>
          <w:rFonts w:hint="eastAsia" w:asciiTheme="minorEastAsia" w:hAnsiTheme="minorEastAsia" w:eastAsiaTheme="minorEastAsia" w:cstheme="minorEastAsia"/>
          <w:b/>
          <w:bCs/>
          <w:color w:val="auto"/>
          <w:spacing w:val="-1"/>
          <w:sz w:val="24"/>
          <w:szCs w:val="24"/>
          <w:highlight w:val="none"/>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b/>
          <w:bCs/>
          <w:color w:val="auto"/>
          <w:spacing w:val="-1"/>
          <w:sz w:val="24"/>
          <w:szCs w:val="24"/>
          <w:highlight w:val="none"/>
          <w:lang w:eastAsia="zh-CN"/>
        </w:rPr>
        <w:t>。</w:t>
      </w:r>
    </w:p>
    <w:p w14:paraId="16364AA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default" w:asciiTheme="minorEastAsia" w:hAnsiTheme="minorEastAsia" w:eastAsiaTheme="minorEastAsia" w:cstheme="minorEastAsia"/>
          <w:color w:val="auto"/>
          <w:spacing w:val="-5"/>
          <w:sz w:val="24"/>
          <w:szCs w:val="24"/>
          <w:highlight w:val="none"/>
          <w:u w:val="singl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6</w:t>
      </w:r>
      <w:r>
        <w:rPr>
          <w:rFonts w:hint="eastAsia" w:asciiTheme="minorEastAsia" w:hAnsiTheme="minorEastAsia" w:eastAsiaTheme="minorEastAsia" w:cstheme="minorEastAsia"/>
          <w:color w:val="auto"/>
          <w:spacing w:val="-5"/>
          <w:sz w:val="24"/>
          <w:szCs w:val="24"/>
          <w:highlight w:val="none"/>
        </w:rPr>
        <w:t>.合同履行期限：</w:t>
      </w:r>
      <w:r>
        <w:rPr>
          <w:rFonts w:hint="eastAsia" w:asciiTheme="minorEastAsia" w:hAnsiTheme="minorEastAsia" w:eastAsiaTheme="minorEastAsia" w:cstheme="minorEastAsia"/>
          <w:color w:val="auto"/>
          <w:spacing w:val="-5"/>
          <w:sz w:val="24"/>
          <w:szCs w:val="24"/>
          <w:highlight w:val="none"/>
          <w:u w:val="single"/>
          <w:lang w:val="en-US" w:eastAsia="zh-CN"/>
        </w:rPr>
        <w:t>30天</w:t>
      </w:r>
    </w:p>
    <w:p w14:paraId="025C95D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pacing w:val="-5"/>
          <w:sz w:val="24"/>
          <w:szCs w:val="24"/>
          <w:highlight w:val="none"/>
          <w:lang w:val="en-US" w:eastAsia="zh-CN"/>
        </w:rPr>
      </w:pPr>
      <w:r>
        <w:rPr>
          <w:rFonts w:hint="eastAsia" w:asciiTheme="minorEastAsia" w:hAnsiTheme="minorEastAsia" w:eastAsiaTheme="minorEastAsia" w:cstheme="minorEastAsia"/>
          <w:spacing w:val="-5"/>
          <w:sz w:val="24"/>
          <w:szCs w:val="24"/>
          <w:highlight w:val="none"/>
          <w:lang w:val="en-US" w:eastAsia="zh-CN"/>
        </w:rPr>
        <w:t>7</w:t>
      </w:r>
      <w:r>
        <w:rPr>
          <w:rFonts w:hint="eastAsia" w:asciiTheme="minorEastAsia" w:hAnsiTheme="minorEastAsia" w:eastAsiaTheme="minorEastAsia" w:cstheme="minorEastAsia"/>
          <w:spacing w:val="-5"/>
          <w:sz w:val="24"/>
          <w:szCs w:val="24"/>
          <w:highlight w:val="none"/>
        </w:rPr>
        <w:t>.本项目是否</w:t>
      </w:r>
      <w:r>
        <w:rPr>
          <w:rFonts w:hint="eastAsia" w:asciiTheme="minorEastAsia" w:hAnsiTheme="minorEastAsia" w:eastAsiaTheme="minorEastAsia" w:cstheme="minorEastAsia"/>
          <w:spacing w:val="-5"/>
          <w:sz w:val="24"/>
          <w:szCs w:val="24"/>
          <w:highlight w:val="none"/>
          <w:lang w:val="en-US" w:eastAsia="zh-CN"/>
        </w:rPr>
        <w:t>接受联合体投标：否。</w:t>
      </w:r>
    </w:p>
    <w:p w14:paraId="1E6755BA">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1"/>
        </w:rPr>
      </w:pPr>
    </w:p>
    <w:p w14:paraId="16BCC43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投标人具备的</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资格要求（须同时满足）</w:t>
      </w:r>
    </w:p>
    <w:p w14:paraId="3CF08281">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1.注册于中华人民共和国境内，具有独立承担民事责任能力；</w:t>
      </w:r>
    </w:p>
    <w:p w14:paraId="1F1273DA">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2.具有良好的商业信誉和健全的财务会计制度；</w:t>
      </w:r>
    </w:p>
    <w:p w14:paraId="57ACA6C8">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3.具有履行合同所必需的设备和专业技术能力；</w:t>
      </w:r>
    </w:p>
    <w:p w14:paraId="6E2E766F">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4.有依法缴纳税收和社会保障资金的良好记录；</w:t>
      </w:r>
    </w:p>
    <w:p w14:paraId="2513AD1C">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5.参加政府采购活动前三年内，在经营活动中没有重大违法记录；</w:t>
      </w:r>
    </w:p>
    <w:p w14:paraId="214D42A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val="en-US" w:eastAsia="zh-CN"/>
        </w:rPr>
        <w:t>〔2016〕</w:t>
      </w:r>
      <w:r>
        <w:rPr>
          <w:rFonts w:hint="eastAsia" w:asciiTheme="minorEastAsia" w:hAnsiTheme="minorEastAsia" w:eastAsiaTheme="minorEastAsia" w:cstheme="minorEastAsia"/>
          <w:snapToGrid w:val="0"/>
          <w:color w:val="000000"/>
          <w:spacing w:val="-14"/>
          <w:kern w:val="0"/>
          <w:sz w:val="24"/>
          <w:szCs w:val="24"/>
          <w:lang w:val="en-US" w:eastAsia="zh-CN" w:bidi="ar-SA"/>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115D31CB">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7.遵守国家有关法律、法规、规章。</w:t>
      </w:r>
    </w:p>
    <w:p w14:paraId="15D7EC6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14:paraId="5F3E426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落实政府采购政策需满足的资格要求：</w:t>
      </w:r>
    </w:p>
    <w:p w14:paraId="4C04363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lang w:val="en-US" w:eastAsia="zh-CN"/>
        </w:rPr>
        <w:t>1.</w:t>
      </w:r>
      <w:r>
        <w:rPr>
          <w:rFonts w:hint="eastAsia" w:asciiTheme="minorEastAsia" w:hAnsiTheme="minorEastAsia" w:eastAsiaTheme="minorEastAsia" w:cstheme="minorEastAsia"/>
          <w:color w:val="auto"/>
          <w:spacing w:val="1"/>
          <w:sz w:val="24"/>
          <w:szCs w:val="24"/>
        </w:rPr>
        <w:t>中小企业政策</w:t>
      </w:r>
    </w:p>
    <w:p w14:paraId="359A625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lang w:eastAsia="zh-CN"/>
        </w:rPr>
        <w:t>☑</w:t>
      </w:r>
      <w:r>
        <w:rPr>
          <w:rFonts w:hint="eastAsia" w:asciiTheme="minorEastAsia" w:hAnsiTheme="minorEastAsia" w:eastAsiaTheme="minorEastAsia" w:cstheme="minorEastAsia"/>
          <w:color w:val="auto"/>
          <w:spacing w:val="1"/>
          <w:sz w:val="24"/>
          <w:szCs w:val="24"/>
          <w:highlight w:val="none"/>
        </w:rPr>
        <w:t>本项目不专门面向中小企业预留采购份额。</w:t>
      </w:r>
    </w:p>
    <w:p w14:paraId="2C2E2D9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28" w:firstLineChars="200"/>
        <w:jc w:val="both"/>
        <w:textAlignment w:val="baseline"/>
        <w:rPr>
          <w:rFonts w:hint="eastAsia" w:asciiTheme="minorEastAsia" w:hAnsiTheme="minorEastAsia" w:eastAsiaTheme="minorEastAsia" w:cstheme="minorEastAsia"/>
          <w:color w:val="auto"/>
          <w:spacing w:val="-2"/>
          <w:position w:val="17"/>
          <w:sz w:val="24"/>
          <w:szCs w:val="24"/>
        </w:rPr>
      </w:pPr>
      <w:r>
        <w:rPr>
          <w:rFonts w:hint="eastAsia" w:asciiTheme="minorEastAsia" w:hAnsiTheme="minorEastAsia" w:eastAsiaTheme="minorEastAsia" w:cstheme="minorEastAsia"/>
          <w:color w:val="auto"/>
          <w:spacing w:val="12"/>
          <w:position w:val="17"/>
          <w:sz w:val="24"/>
          <w:szCs w:val="24"/>
          <w:highlight w:val="none"/>
          <w:lang w:eastAsia="zh-CN"/>
        </w:rPr>
        <w:t>□</w:t>
      </w:r>
      <w:r>
        <w:rPr>
          <w:rFonts w:hint="eastAsia" w:asciiTheme="minorEastAsia" w:hAnsiTheme="minorEastAsia" w:eastAsiaTheme="minorEastAsia" w:cstheme="minorEastAsia"/>
          <w:color w:val="auto"/>
          <w:spacing w:val="12"/>
          <w:position w:val="17"/>
          <w:sz w:val="24"/>
          <w:szCs w:val="24"/>
          <w:highlight w:val="none"/>
        </w:rPr>
        <w:t>本项目专门面向中小企业采购。</w:t>
      </w:r>
      <w:r>
        <w:rPr>
          <w:rFonts w:hint="eastAsia" w:asciiTheme="minorEastAsia" w:hAnsiTheme="minorEastAsia" w:eastAsiaTheme="minorEastAsia" w:cstheme="minorEastAsia"/>
          <w:color w:val="auto"/>
          <w:spacing w:val="-2"/>
          <w:position w:val="17"/>
          <w:sz w:val="24"/>
          <w:szCs w:val="24"/>
          <w:highlight w:val="none"/>
        </w:rPr>
        <w:t>即：</w:t>
      </w:r>
      <w:r>
        <w:rPr>
          <w:rFonts w:hint="eastAsia" w:asciiTheme="minorEastAsia" w:hAnsiTheme="minorEastAsia" w:eastAsiaTheme="minorEastAsia" w:cstheme="minorEastAsia"/>
          <w:color w:val="auto"/>
          <w:spacing w:val="-2"/>
          <w:position w:val="17"/>
          <w:sz w:val="24"/>
          <w:szCs w:val="24"/>
          <w:lang w:val="en-US" w:eastAsia="zh-CN"/>
        </w:rPr>
        <w:t>提</w:t>
      </w:r>
      <w:r>
        <w:rPr>
          <w:rFonts w:hint="eastAsia" w:asciiTheme="minorEastAsia" w:hAnsiTheme="minorEastAsia" w:eastAsiaTheme="minorEastAsia" w:cstheme="minorEastAsia"/>
          <w:color w:val="auto"/>
          <w:spacing w:val="-2"/>
          <w:position w:val="17"/>
          <w:sz w:val="24"/>
          <w:szCs w:val="24"/>
        </w:rPr>
        <w:t>供的货物全部由符合政策要求的中小</w:t>
      </w:r>
      <w:r>
        <w:rPr>
          <w:rFonts w:hint="eastAsia" w:asciiTheme="minorEastAsia" w:hAnsiTheme="minorEastAsia" w:eastAsiaTheme="minorEastAsia" w:cstheme="minorEastAsia"/>
          <w:color w:val="auto"/>
          <w:spacing w:val="1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企业制造、服务全部由符合政策要求的中小</w:t>
      </w:r>
      <w:r>
        <w:rPr>
          <w:rFonts w:hint="eastAsia" w:asciiTheme="minorEastAsia" w:hAnsiTheme="minorEastAsia" w:eastAsiaTheme="minorEastAsia" w:cstheme="minorEastAsia"/>
          <w:color w:val="auto"/>
          <w:spacing w:val="-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企业承接。</w:t>
      </w:r>
    </w:p>
    <w:p w14:paraId="14F85B2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color w:val="auto"/>
          <w:spacing w:val="-2"/>
          <w:position w:val="17"/>
          <w:sz w:val="24"/>
          <w:szCs w:val="24"/>
        </w:rPr>
      </w:pPr>
      <w:r>
        <w:rPr>
          <w:rFonts w:hint="eastAsia" w:asciiTheme="minorEastAsia" w:hAnsiTheme="minorEastAsia" w:eastAsiaTheme="minorEastAsia" w:cstheme="minorEastAsia"/>
          <w:color w:val="auto"/>
          <w:spacing w:val="-2"/>
          <w:position w:val="17"/>
          <w:sz w:val="24"/>
          <w:szCs w:val="24"/>
          <w:lang w:eastAsia="zh-CN"/>
        </w:rPr>
        <w:t>□</w:t>
      </w:r>
      <w:r>
        <w:rPr>
          <w:rFonts w:hint="eastAsia" w:asciiTheme="minorEastAsia" w:hAnsiTheme="minorEastAsia" w:eastAsiaTheme="minorEastAsia" w:cstheme="minorEastAsia"/>
          <w:color w:val="auto"/>
          <w:spacing w:val="-2"/>
          <w:position w:val="17"/>
          <w:sz w:val="24"/>
          <w:szCs w:val="24"/>
        </w:rPr>
        <w:t>本项目预留部分采购项目预算专门面向中小企业采购。对于预留份额，</w:t>
      </w:r>
      <w:r>
        <w:rPr>
          <w:rFonts w:hint="eastAsia" w:asciiTheme="minorEastAsia" w:hAnsiTheme="minorEastAsia" w:eastAsiaTheme="minorEastAsia" w:cstheme="minorEastAsia"/>
          <w:color w:val="auto"/>
          <w:spacing w:val="-2"/>
          <w:position w:val="17"/>
          <w:sz w:val="24"/>
          <w:szCs w:val="24"/>
          <w:lang w:val="en-US" w:eastAsia="zh-CN"/>
        </w:rPr>
        <w:t>提</w:t>
      </w:r>
      <w:r>
        <w:rPr>
          <w:rFonts w:hint="eastAsia" w:asciiTheme="minorEastAsia" w:hAnsiTheme="minorEastAsia" w:eastAsiaTheme="minorEastAsia" w:cstheme="minorEastAsia"/>
          <w:color w:val="auto"/>
          <w:spacing w:val="-2"/>
          <w:position w:val="17"/>
          <w:sz w:val="24"/>
          <w:szCs w:val="24"/>
        </w:rPr>
        <w:t>供的货物由符合政策要求的中小</w:t>
      </w:r>
      <w:r>
        <w:rPr>
          <w:rFonts w:hint="eastAsia" w:asciiTheme="minorEastAsia" w:hAnsiTheme="minorEastAsia" w:eastAsiaTheme="minorEastAsia" w:cstheme="minorEastAsia"/>
          <w:color w:val="auto"/>
          <w:spacing w:val="-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企业制造、服务由符合政策要求的中小</w:t>
      </w:r>
      <w:r>
        <w:rPr>
          <w:rFonts w:hint="eastAsia" w:asciiTheme="minorEastAsia" w:hAnsiTheme="minorEastAsia" w:eastAsiaTheme="minorEastAsia" w:cstheme="minorEastAsia"/>
          <w:color w:val="auto"/>
          <w:spacing w:val="-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企业承接。预留份额通过以下措施进行：</w:t>
      </w:r>
      <w:r>
        <w:rPr>
          <w:rFonts w:hint="eastAsia" w:asciiTheme="minorEastAsia" w:hAnsiTheme="minorEastAsia" w:eastAsiaTheme="minorEastAsia" w:cstheme="minorEastAsia"/>
          <w:color w:val="auto"/>
          <w:spacing w:val="-2"/>
          <w:position w:val="17"/>
          <w:sz w:val="24"/>
          <w:szCs w:val="24"/>
          <w:lang w:val="en-US" w:eastAsia="zh-CN"/>
        </w:rPr>
        <w:t>预留金额</w:t>
      </w:r>
      <w:r>
        <w:rPr>
          <w:rFonts w:hint="eastAsia" w:asciiTheme="minorEastAsia" w:hAnsiTheme="minorEastAsia" w:eastAsiaTheme="minorEastAsia" w:cstheme="minorEastAsia"/>
          <w:color w:val="auto"/>
          <w:spacing w:val="-2"/>
          <w:position w:val="17"/>
          <w:sz w:val="24"/>
          <w:szCs w:val="24"/>
          <w:u w:val="single"/>
          <w:lang w:val="en-US" w:eastAsia="zh-CN"/>
        </w:rPr>
        <w:t xml:space="preserve">   </w:t>
      </w:r>
      <w:r>
        <w:rPr>
          <w:rFonts w:hint="eastAsia" w:asciiTheme="minorEastAsia" w:hAnsiTheme="minorEastAsia" w:eastAsiaTheme="minorEastAsia" w:cstheme="minorEastAsia"/>
          <w:color w:val="auto"/>
          <w:spacing w:val="-2"/>
          <w:position w:val="17"/>
          <w:sz w:val="24"/>
          <w:szCs w:val="24"/>
          <w:lang w:val="en-US" w:eastAsia="zh-CN"/>
        </w:rPr>
        <w:t>万元或预留</w:t>
      </w:r>
      <w:r>
        <w:rPr>
          <w:rFonts w:hint="eastAsia" w:asciiTheme="minorEastAsia" w:hAnsiTheme="minorEastAsia" w:eastAsiaTheme="minorEastAsia" w:cstheme="minorEastAsia"/>
          <w:color w:val="auto"/>
          <w:spacing w:val="-2"/>
          <w:position w:val="17"/>
          <w:sz w:val="24"/>
          <w:szCs w:val="24"/>
          <w:u w:val="single"/>
          <w:lang w:val="en-US" w:eastAsia="zh-CN"/>
        </w:rPr>
        <w:t xml:space="preserve">   </w:t>
      </w:r>
      <w:r>
        <w:rPr>
          <w:rFonts w:hint="eastAsia" w:asciiTheme="minorEastAsia" w:hAnsiTheme="minorEastAsia" w:eastAsiaTheme="minorEastAsia" w:cstheme="minorEastAsia"/>
          <w:color w:val="auto"/>
          <w:spacing w:val="-2"/>
          <w:position w:val="17"/>
          <w:sz w:val="24"/>
          <w:szCs w:val="24"/>
          <w:lang w:val="en-US" w:eastAsia="zh-CN"/>
        </w:rPr>
        <w:t>%份额</w:t>
      </w:r>
      <w:r>
        <w:rPr>
          <w:rFonts w:hint="eastAsia" w:asciiTheme="minorEastAsia" w:hAnsiTheme="minorEastAsia" w:eastAsiaTheme="minorEastAsia" w:cstheme="minorEastAsia"/>
          <w:color w:val="auto"/>
          <w:spacing w:val="-2"/>
          <w:position w:val="17"/>
          <w:sz w:val="24"/>
          <w:szCs w:val="24"/>
        </w:rPr>
        <w:t>。</w:t>
      </w:r>
    </w:p>
    <w:p w14:paraId="7A31C97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2.</w:t>
      </w:r>
      <w:r>
        <w:rPr>
          <w:rFonts w:hint="eastAsia" w:asciiTheme="minorEastAsia" w:hAnsiTheme="minorEastAsia" w:eastAsiaTheme="minorEastAsia" w:cstheme="minorEastAsia"/>
          <w:spacing w:val="-2"/>
          <w:position w:val="17"/>
          <w:sz w:val="24"/>
          <w:szCs w:val="24"/>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6C324BC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本项目支持河南省政府采购合同融资政策</w:t>
      </w:r>
      <w:r>
        <w:rPr>
          <w:rFonts w:hint="eastAsia" w:asciiTheme="minorEastAsia" w:hAnsiTheme="minorEastAsia" w:eastAsiaTheme="minorEastAsia" w:cstheme="minorEastAsia"/>
          <w:spacing w:val="-2"/>
          <w:position w:val="17"/>
          <w:sz w:val="24"/>
          <w:szCs w:val="24"/>
          <w:lang w:val="en-US" w:eastAsia="zh-CN"/>
        </w:rPr>
        <w:t>和</w:t>
      </w:r>
      <w:r>
        <w:rPr>
          <w:rFonts w:hint="eastAsia" w:asciiTheme="minorEastAsia" w:hAnsiTheme="minorEastAsia" w:eastAsiaTheme="minorEastAsia" w:cstheme="minorEastAsia"/>
          <w:spacing w:val="-2"/>
          <w:position w:val="17"/>
          <w:sz w:val="24"/>
          <w:szCs w:val="24"/>
          <w:lang w:eastAsia="zh-CN"/>
        </w:rPr>
        <w:t>资格信用承诺制。</w:t>
      </w:r>
    </w:p>
    <w:p w14:paraId="62E0F7C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highlight w:val="none"/>
        </w:rPr>
      </w:pPr>
      <w:r>
        <w:rPr>
          <w:rFonts w:hint="eastAsia" w:asciiTheme="minorEastAsia" w:hAnsiTheme="minorEastAsia" w:eastAsiaTheme="minorEastAsia" w:cstheme="minorEastAsia"/>
          <w:spacing w:val="-5"/>
          <w:sz w:val="24"/>
          <w:szCs w:val="24"/>
          <w:highlight w:val="none"/>
          <w:lang w:val="en-US" w:eastAsia="zh-CN"/>
        </w:rPr>
        <w:t>4</w:t>
      </w:r>
      <w:r>
        <w:rPr>
          <w:rFonts w:hint="eastAsia" w:asciiTheme="minorEastAsia" w:hAnsiTheme="minorEastAsia" w:eastAsiaTheme="minorEastAsia" w:cstheme="minorEastAsia"/>
          <w:spacing w:val="-5"/>
          <w:sz w:val="24"/>
          <w:szCs w:val="24"/>
          <w:highlight w:val="none"/>
        </w:rPr>
        <w:t>.本项目是属于政府购买</w:t>
      </w:r>
      <w:r>
        <w:rPr>
          <w:rFonts w:hint="eastAsia" w:asciiTheme="minorEastAsia" w:hAnsiTheme="minorEastAsia" w:eastAsiaTheme="minorEastAsia" w:cstheme="minorEastAsia"/>
          <w:spacing w:val="-5"/>
          <w:sz w:val="24"/>
          <w:szCs w:val="24"/>
          <w:highlight w:val="none"/>
          <w:lang w:val="en-US" w:eastAsia="zh-CN"/>
        </w:rPr>
        <w:t>货物</w:t>
      </w:r>
      <w:r>
        <w:rPr>
          <w:rFonts w:hint="eastAsia" w:asciiTheme="minorEastAsia" w:hAnsiTheme="minorEastAsia" w:eastAsiaTheme="minorEastAsia" w:cstheme="minorEastAsia"/>
          <w:spacing w:val="-5"/>
          <w:sz w:val="24"/>
          <w:szCs w:val="24"/>
          <w:highlight w:val="none"/>
        </w:rPr>
        <w:t>：</w:t>
      </w:r>
    </w:p>
    <w:p w14:paraId="4973464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b w:val="0"/>
          <w:bCs w:val="0"/>
          <w:color w:val="auto"/>
          <w:spacing w:val="-2"/>
          <w:position w:val="17"/>
          <w:sz w:val="24"/>
          <w:szCs w:val="24"/>
          <w:lang w:eastAsia="zh-CN"/>
        </w:rPr>
      </w:pPr>
      <w:r>
        <w:rPr>
          <w:rFonts w:hint="eastAsia" w:asciiTheme="minorEastAsia" w:hAnsiTheme="minorEastAsia" w:eastAsiaTheme="minorEastAsia" w:cstheme="minorEastAsia"/>
          <w:b w:val="0"/>
          <w:bCs w:val="0"/>
          <w:spacing w:val="-2"/>
          <w:position w:val="17"/>
          <w:sz w:val="24"/>
          <w:szCs w:val="24"/>
          <w:lang w:eastAsia="zh-CN"/>
        </w:rPr>
        <w:t>□否□接受进口产品</w:t>
      </w:r>
      <w:r>
        <w:rPr>
          <w:rFonts w:hint="eastAsia" w:asciiTheme="minorEastAsia" w:hAnsiTheme="minorEastAsia" w:eastAsiaTheme="minorEastAsia" w:cstheme="minorEastAsia"/>
          <w:b w:val="0"/>
          <w:bCs w:val="0"/>
          <w:color w:val="auto"/>
          <w:spacing w:val="-2"/>
          <w:position w:val="17"/>
          <w:sz w:val="24"/>
          <w:szCs w:val="24"/>
          <w:lang w:eastAsia="zh-CN"/>
        </w:rPr>
        <w:t>☑</w:t>
      </w:r>
      <w:r>
        <w:rPr>
          <w:rFonts w:hint="eastAsia" w:asciiTheme="minorEastAsia" w:hAnsiTheme="minorEastAsia" w:eastAsiaTheme="minorEastAsia" w:cstheme="minorEastAsia"/>
          <w:b w:val="0"/>
          <w:bCs w:val="0"/>
          <w:color w:val="auto"/>
          <w:spacing w:val="-2"/>
          <w:position w:val="17"/>
          <w:sz w:val="24"/>
          <w:szCs w:val="24"/>
          <w:lang w:val="en-US" w:eastAsia="zh-CN"/>
        </w:rPr>
        <w:t>不</w:t>
      </w:r>
      <w:r>
        <w:rPr>
          <w:rFonts w:hint="eastAsia" w:asciiTheme="minorEastAsia" w:hAnsiTheme="minorEastAsia" w:eastAsiaTheme="minorEastAsia" w:cstheme="minorEastAsia"/>
          <w:b w:val="0"/>
          <w:bCs w:val="0"/>
          <w:color w:val="auto"/>
          <w:spacing w:val="-2"/>
          <w:position w:val="17"/>
          <w:sz w:val="24"/>
          <w:szCs w:val="24"/>
          <w:lang w:eastAsia="zh-CN"/>
        </w:rPr>
        <w:t>接受进口产品</w:t>
      </w:r>
    </w:p>
    <w:p w14:paraId="07E8C8B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b w:val="0"/>
          <w:bCs w:val="0"/>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eastAsia="zh-CN"/>
        </w:rPr>
        <w:t>（政府采购活动中既有本国产品又有非本国产品参与竞争的，依法对本国产品给予价格评审优惠，对本国产品的报价给予 20%的价格扣除，用扣除后的价格参与评审。）</w:t>
      </w:r>
    </w:p>
    <w:p w14:paraId="5E35B2A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2"/>
          <w:sz w:val="24"/>
          <w:szCs w:val="24"/>
        </w:rPr>
        <w:t>□是，公益一类事业单位、使用事业编制且由财政</w:t>
      </w:r>
      <w:r>
        <w:rPr>
          <w:rFonts w:hint="eastAsia" w:asciiTheme="minorEastAsia" w:hAnsiTheme="minorEastAsia" w:eastAsiaTheme="minorEastAsia" w:cstheme="minorEastAsia"/>
          <w:spacing w:val="-3"/>
          <w:sz w:val="24"/>
          <w:szCs w:val="24"/>
        </w:rPr>
        <w:t>拨款保障的群团组织，不得</w:t>
      </w:r>
      <w:r>
        <w:rPr>
          <w:rFonts w:hint="eastAsia" w:asciiTheme="minorEastAsia" w:hAnsiTheme="minorEastAsia" w:eastAsiaTheme="minorEastAsia" w:cstheme="minorEastAsia"/>
          <w:spacing w:val="-9"/>
          <w:sz w:val="24"/>
          <w:szCs w:val="24"/>
        </w:rPr>
        <w:t>作为承接主体</w:t>
      </w:r>
      <w:r>
        <w:rPr>
          <w:rFonts w:hint="eastAsia" w:asciiTheme="minorEastAsia" w:hAnsiTheme="minorEastAsia" w:eastAsiaTheme="minorEastAsia" w:cstheme="minorEastAsia"/>
          <w:spacing w:val="-12"/>
          <w:sz w:val="24"/>
          <w:szCs w:val="24"/>
        </w:rPr>
        <w:t>。</w:t>
      </w:r>
    </w:p>
    <w:p w14:paraId="5975C89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2F20194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四</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、获取招标文件</w:t>
      </w:r>
    </w:p>
    <w:p w14:paraId="0C2A510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28"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rPr>
        <w:t>1.</w:t>
      </w:r>
      <w:r>
        <w:rPr>
          <w:rFonts w:hint="eastAsia" w:asciiTheme="minorEastAsia" w:hAnsiTheme="minorEastAsia" w:eastAsiaTheme="minorEastAsia" w:cstheme="minorEastAsia"/>
          <w:color w:val="auto"/>
          <w:spacing w:val="-13"/>
          <w:sz w:val="24"/>
          <w:szCs w:val="24"/>
          <w:highlight w:val="none"/>
        </w:rPr>
        <w:t>时间：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8</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lang w:val="en-US" w:eastAsia="zh-CN"/>
        </w:rPr>
        <w:t xml:space="preserve"> </w:t>
      </w:r>
      <w:r>
        <w:rPr>
          <w:rFonts w:hint="eastAsia" w:asciiTheme="minorEastAsia" w:hAnsiTheme="minorEastAsia" w:eastAsiaTheme="minorEastAsia" w:cstheme="minorEastAsia"/>
          <w:color w:val="auto"/>
          <w:spacing w:val="-13"/>
          <w:sz w:val="24"/>
          <w:szCs w:val="24"/>
          <w:highlight w:val="none"/>
          <w:u w:val="single"/>
          <w:lang w:val="en-US" w:eastAsia="zh-CN"/>
        </w:rPr>
        <w:t>28</w:t>
      </w:r>
      <w:r>
        <w:rPr>
          <w:rFonts w:hint="eastAsia" w:asciiTheme="minorEastAsia" w:hAnsiTheme="minorEastAsia" w:eastAsiaTheme="minorEastAsia" w:cstheme="minorEastAsia"/>
          <w:color w:val="auto"/>
          <w:spacing w:val="-13"/>
          <w:sz w:val="24"/>
          <w:szCs w:val="24"/>
          <w:highlight w:val="none"/>
        </w:rPr>
        <w:t>日至</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9</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7</w:t>
      </w:r>
      <w:r>
        <w:rPr>
          <w:rFonts w:hint="eastAsia" w:asciiTheme="minorEastAsia" w:hAnsiTheme="minorEastAsia" w:eastAsiaTheme="minorEastAsia" w:cstheme="minorEastAsia"/>
          <w:color w:val="auto"/>
          <w:spacing w:val="-13"/>
          <w:sz w:val="24"/>
          <w:szCs w:val="24"/>
          <w:highlight w:val="none"/>
        </w:rPr>
        <w:t>日，</w:t>
      </w:r>
      <w:r>
        <w:rPr>
          <w:rFonts w:hint="eastAsia" w:asciiTheme="minorEastAsia" w:hAnsiTheme="minorEastAsia" w:eastAsiaTheme="minorEastAsia" w:cstheme="minorEastAsia"/>
          <w:color w:val="auto"/>
          <w:spacing w:val="-14"/>
          <w:sz w:val="24"/>
          <w:szCs w:val="24"/>
          <w:highlight w:val="none"/>
        </w:rPr>
        <w:t>每天上午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0:00 </w:t>
      </w:r>
      <w:r>
        <w:rPr>
          <w:rFonts w:hint="eastAsia" w:asciiTheme="minorEastAsia" w:hAnsiTheme="minorEastAsia" w:eastAsiaTheme="minorEastAsia" w:cstheme="minorEastAsia"/>
          <w:color w:val="auto"/>
          <w:spacing w:val="-14"/>
          <w:sz w:val="24"/>
          <w:szCs w:val="24"/>
          <w:highlight w:val="none"/>
        </w:rPr>
        <w:t>至</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12:00 </w:t>
      </w:r>
      <w:r>
        <w:rPr>
          <w:rFonts w:hint="eastAsia" w:asciiTheme="minorEastAsia" w:hAnsiTheme="minorEastAsia" w:eastAsiaTheme="minorEastAsia" w:cstheme="minorEastAsia"/>
          <w:color w:val="auto"/>
          <w:spacing w:val="-14"/>
          <w:sz w:val="24"/>
          <w:szCs w:val="24"/>
          <w:highlight w:val="none"/>
        </w:rPr>
        <w:t>，下午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12:00 </w:t>
      </w:r>
      <w:r>
        <w:rPr>
          <w:rFonts w:hint="eastAsia" w:asciiTheme="minorEastAsia" w:hAnsiTheme="minorEastAsia" w:eastAsiaTheme="minorEastAsia" w:cstheme="minorEastAsia"/>
          <w:color w:val="auto"/>
          <w:spacing w:val="-14"/>
          <w:sz w:val="24"/>
          <w:szCs w:val="24"/>
          <w:highlight w:val="none"/>
        </w:rPr>
        <w:t>至</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23:59 </w:t>
      </w:r>
      <w:r>
        <w:rPr>
          <w:rFonts w:hint="eastAsia" w:asciiTheme="minorEastAsia" w:hAnsiTheme="minorEastAsia" w:eastAsiaTheme="minorEastAsia" w:cstheme="minorEastAsia"/>
          <w:color w:val="auto"/>
          <w:spacing w:val="-14"/>
          <w:sz w:val="24"/>
          <w:szCs w:val="24"/>
          <w:highlight w:val="none"/>
        </w:rPr>
        <w:t>（北京时</w:t>
      </w:r>
      <w:r>
        <w:rPr>
          <w:rFonts w:hint="eastAsia" w:asciiTheme="minorEastAsia" w:hAnsiTheme="minorEastAsia" w:eastAsiaTheme="minorEastAsia" w:cstheme="minorEastAsia"/>
          <w:color w:val="auto"/>
          <w:spacing w:val="-15"/>
          <w:sz w:val="24"/>
          <w:szCs w:val="24"/>
          <w:highlight w:val="none"/>
        </w:rPr>
        <w:t>间，法定节假日除外）。</w:t>
      </w:r>
    </w:p>
    <w:p w14:paraId="0FD4F3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2.地点：全国公共资源交易平台(河南省·南阳市)（https://ggzyjy.nanyang.gov.cn）</w:t>
      </w:r>
    </w:p>
    <w:p w14:paraId="3427626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3.方式：使用普通电子交易系统，登录全国公共资源交易平台(河南省·南阳市)</w:t>
      </w:r>
    </w:p>
    <w:p w14:paraId="100BE229">
      <w:pPr>
        <w:keepNext w:val="0"/>
        <w:keepLines w:val="0"/>
        <w:pageBreakBefore w:val="0"/>
        <w:widowControl/>
        <w:numPr>
          <w:ilvl w:val="0"/>
          <w:numId w:val="0"/>
        </w:numPr>
        <w:kinsoku/>
        <w:wordWrap w:val="0"/>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https://ggzyjy.nanyang.gov.cn），注册后凭办理的企业身份认证锁（CA数字证书）登录会员系统按网上提示下载招标文件(*.nyzf格式)及资料（操作程序详见全国公共资源交易平台(河南省·南阳市)网站下载专区），电子交易系统技术支持电话：400-998-0000，CA数字证书技术支持：https://ggzyjy.nanyang.gov.cn/ptdl/011009/single.html。</w:t>
      </w:r>
    </w:p>
    <w:p w14:paraId="3396E7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4.售价：0元。</w:t>
      </w:r>
    </w:p>
    <w:p w14:paraId="11AD4B9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58A15067">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jc w:val="both"/>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五、投标文件的制作及上传</w:t>
      </w:r>
    </w:p>
    <w:p w14:paraId="520ABCE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使用普通电子交易系统。投标人须上传加密电子投标文件，电子投标文件需要使用投标文件制作工具制作，制作工具及操作手册可在全国公共资源交易平台(河南省·南阳市)“下载专区”中下载。加密电子投标文件应在招标文件规定的投标截止时间前到达交易系统。逾期到达交易系统的电子投标文件视为放弃本次投标。</w:t>
      </w:r>
    </w:p>
    <w:p w14:paraId="463558E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因投标人无需现场参与开标，所有准备工作需要自行到位。开标过程中如遇到紧急事项，可在不见面开标大厅中进行提出异议或文字交流，严重问题可拨打技术支持电话0377-61176137。不见面开标过程中，如因投标人准备不到位、网络问题等情况（30分钟内）无法及时解密，造成开标无法继续的，视为该投标人自动放弃投标，将被退回投标文件”。电子交易系统技术支持电话：400-998-0000。</w:t>
      </w:r>
    </w:p>
    <w:p w14:paraId="483B8C67">
      <w:pPr>
        <w:pStyle w:val="34"/>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p>
    <w:p w14:paraId="508D60D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六</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交投标文件截止时间、开标时间和地点</w:t>
      </w:r>
    </w:p>
    <w:p w14:paraId="0EAF5C9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auto"/>
          <w:spacing w:val="-14"/>
          <w:sz w:val="24"/>
          <w:szCs w:val="24"/>
          <w:highlight w:val="none"/>
        </w:rPr>
        <w:t>投标截止时间、开标时间：</w:t>
      </w:r>
      <w:r>
        <w:rPr>
          <w:rFonts w:hint="eastAsia" w:asciiTheme="minorEastAsia" w:hAnsiTheme="minorEastAsia" w:eastAsiaTheme="minorEastAsia" w:cstheme="minorEastAsia"/>
          <w:color w:val="auto"/>
          <w:spacing w:val="-14"/>
          <w:sz w:val="24"/>
          <w:szCs w:val="24"/>
          <w:highlight w:val="none"/>
          <w:u w:val="single"/>
          <w:lang w:val="en-US" w:eastAsia="zh-CN"/>
        </w:rPr>
        <w:t xml:space="preserve"> 2026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年</w:t>
      </w:r>
      <w:r>
        <w:rPr>
          <w:rFonts w:hint="eastAsia" w:asciiTheme="minorEastAsia" w:hAnsiTheme="minorEastAsia" w:eastAsiaTheme="minorEastAsia" w:cstheme="minorEastAsia"/>
          <w:snapToGrid w:val="0"/>
          <w:color w:val="auto"/>
          <w:spacing w:val="-4"/>
          <w:kern w:val="0"/>
          <w:sz w:val="24"/>
          <w:szCs w:val="24"/>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月</w:t>
      </w:r>
      <w:r>
        <w:rPr>
          <w:rFonts w:hint="eastAsia" w:asciiTheme="minorEastAsia" w:hAnsiTheme="minorEastAsia" w:eastAsiaTheme="minorEastAsia" w:cstheme="minorEastAsia"/>
          <w:snapToGrid w:val="0"/>
          <w:color w:val="auto"/>
          <w:spacing w:val="-4"/>
          <w:kern w:val="0"/>
          <w:sz w:val="24"/>
          <w:szCs w:val="24"/>
          <w:highlight w:val="none"/>
          <w:u w:val="single"/>
          <w:lang w:val="en-US" w:eastAsia="zh-CN" w:bidi="ar-SA"/>
        </w:rPr>
        <w:t xml:space="preserve"> 18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日</w:t>
      </w:r>
      <w:r>
        <w:rPr>
          <w:rFonts w:hint="eastAsia" w:asciiTheme="minorEastAsia" w:hAnsiTheme="minorEastAsia" w:eastAsiaTheme="minorEastAsia" w:cstheme="minorEastAsia"/>
          <w:snapToGrid w:val="0"/>
          <w:color w:val="auto"/>
          <w:spacing w:val="-4"/>
          <w:kern w:val="0"/>
          <w:sz w:val="24"/>
          <w:szCs w:val="24"/>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点</w:t>
      </w:r>
      <w:r>
        <w:rPr>
          <w:rFonts w:hint="eastAsia" w:asciiTheme="minorEastAsia" w:hAnsiTheme="minorEastAsia" w:eastAsiaTheme="minorEastAsia" w:cstheme="minorEastAsia"/>
          <w:snapToGrid w:val="0"/>
          <w:color w:val="auto"/>
          <w:spacing w:val="-4"/>
          <w:kern w:val="0"/>
          <w:sz w:val="24"/>
          <w:szCs w:val="24"/>
          <w:highlight w:val="none"/>
          <w:u w:val="single"/>
          <w:lang w:val="en-US" w:eastAsia="zh-CN" w:bidi="ar-SA"/>
        </w:rPr>
        <w:t xml:space="preserve"> 00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分（北</w:t>
      </w:r>
      <w:r>
        <w:rPr>
          <w:rFonts w:hint="eastAsia" w:asciiTheme="minorEastAsia" w:hAnsiTheme="minorEastAsia" w:eastAsiaTheme="minorEastAsia" w:cstheme="minorEastAsia"/>
          <w:color w:val="auto"/>
          <w:spacing w:val="-15"/>
          <w:sz w:val="24"/>
          <w:szCs w:val="24"/>
          <w:highlight w:val="none"/>
        </w:rPr>
        <w:t>京时间）。</w:t>
      </w:r>
    </w:p>
    <w:p w14:paraId="27722C42">
      <w:pPr>
        <w:keepNext w:val="0"/>
        <w:keepLines w:val="0"/>
        <w:pageBreakBefore w:val="0"/>
        <w:widowControl/>
        <w:numPr>
          <w:ilvl w:val="0"/>
          <w:numId w:val="0"/>
        </w:numPr>
        <w:kinsoku/>
        <w:wordWrap w:val="0"/>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开标方式：不见面开标</w:t>
      </w:r>
    </w:p>
    <w:p w14:paraId="49631126">
      <w:pPr>
        <w:keepNext w:val="0"/>
        <w:keepLines w:val="0"/>
        <w:pageBreakBefore w:val="0"/>
        <w:widowControl/>
        <w:numPr>
          <w:ilvl w:val="0"/>
          <w:numId w:val="0"/>
        </w:numPr>
        <w:kinsoku/>
        <w:wordWrap w:val="0"/>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地点：本项目使用不见面开标，投标人无需前往现场来参与投标。具体操作流程详见南阳市公共资源交易中心下载专区栏发布的南阳不见面开标-操作手册（投标人）。</w:t>
      </w:r>
    </w:p>
    <w:p w14:paraId="7807070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3A7B296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lang w:val="en-US" w:eastAsia="zh-CN"/>
          <w14:textOutline w14:w="1537" w14:cap="flat" w14:cmpd="sng">
            <w14:solidFill>
              <w14:srgbClr w14:val="000000"/>
            </w14:solidFill>
            <w14:prstDash w14:val="solid"/>
            <w14:miter w14:val="0"/>
          </w14:textOutline>
        </w:rPr>
        <w:t>七</w:t>
      </w:r>
      <w:r>
        <w:rPr>
          <w:rFonts w:hint="eastAsia" w:asciiTheme="minorEastAsia" w:hAnsiTheme="minorEastAsia" w:eastAsiaTheme="minorEastAsia" w:cstheme="minorEastAsia"/>
          <w:color w:val="auto"/>
          <w:spacing w:val="-2"/>
          <w:sz w:val="24"/>
          <w:szCs w:val="24"/>
          <w14:textOutline w14:w="1537" w14:cap="flat" w14:cmpd="sng">
            <w14:solidFill>
              <w14:srgbClr w14:val="000000"/>
            </w14:solidFill>
            <w14:prstDash w14:val="solid"/>
            <w14:miter w14:val="0"/>
          </w14:textOutline>
        </w:rPr>
        <w:t>、公告期限</w:t>
      </w:r>
    </w:p>
    <w:p w14:paraId="776194A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color w:val="auto"/>
          <w:spacing w:val="-13"/>
          <w:sz w:val="24"/>
          <w:szCs w:val="24"/>
          <w:highlight w:val="none"/>
          <w:lang w:eastAsia="zh-CN"/>
        </w:rPr>
      </w:pPr>
      <w:r>
        <w:rPr>
          <w:rFonts w:hint="eastAsia" w:asciiTheme="minorEastAsia" w:hAnsiTheme="minorEastAsia" w:eastAsiaTheme="minorEastAsia" w:cstheme="minorEastAsia"/>
          <w:color w:val="auto"/>
          <w:spacing w:val="-13"/>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8 </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28</w:t>
      </w:r>
      <w:r>
        <w:rPr>
          <w:rFonts w:hint="eastAsia" w:asciiTheme="minorEastAsia" w:hAnsiTheme="minorEastAsia" w:eastAsiaTheme="minorEastAsia" w:cstheme="minorEastAsia"/>
          <w:color w:val="auto"/>
          <w:spacing w:val="-13"/>
          <w:sz w:val="24"/>
          <w:szCs w:val="24"/>
          <w:highlight w:val="none"/>
        </w:rPr>
        <w:t>日至</w:t>
      </w:r>
      <w:r>
        <w:rPr>
          <w:rFonts w:hint="eastAsia" w:asciiTheme="minorEastAsia" w:hAnsiTheme="minorEastAsia" w:eastAsiaTheme="minorEastAsia" w:cstheme="minorEastAsia"/>
          <w:color w:val="auto"/>
          <w:spacing w:val="-13"/>
          <w:sz w:val="24"/>
          <w:szCs w:val="24"/>
          <w:highlight w:val="none"/>
          <w:lang w:val="en-US" w:eastAsia="zh-CN"/>
        </w:rPr>
        <w:t xml:space="preserve"> </w:t>
      </w:r>
      <w:r>
        <w:rPr>
          <w:rFonts w:hint="eastAsia" w:asciiTheme="minorEastAsia" w:hAnsiTheme="minorEastAsia" w:eastAsiaTheme="minorEastAsia" w:cstheme="minorEastAsia"/>
          <w:color w:val="auto"/>
          <w:spacing w:val="-13"/>
          <w:sz w:val="24"/>
          <w:szCs w:val="24"/>
          <w:highlight w:val="none"/>
          <w:u w:val="single"/>
          <w:lang w:val="en-US" w:eastAsia="zh-CN"/>
        </w:rPr>
        <w:t xml:space="preserve">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9 </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7</w:t>
      </w:r>
      <w:r>
        <w:rPr>
          <w:rFonts w:hint="eastAsia" w:asciiTheme="minorEastAsia" w:hAnsiTheme="minorEastAsia" w:eastAsiaTheme="minorEastAsia" w:cstheme="minorEastAsia"/>
          <w:color w:val="auto"/>
          <w:spacing w:val="-13"/>
          <w:sz w:val="24"/>
          <w:szCs w:val="24"/>
          <w:highlight w:val="none"/>
        </w:rPr>
        <w:t>日</w:t>
      </w:r>
      <w:r>
        <w:rPr>
          <w:rFonts w:hint="eastAsia" w:asciiTheme="minorEastAsia" w:hAnsiTheme="minorEastAsia" w:eastAsiaTheme="minorEastAsia" w:cstheme="minorEastAsia"/>
          <w:color w:val="auto"/>
          <w:spacing w:val="-13"/>
          <w:sz w:val="24"/>
          <w:szCs w:val="24"/>
          <w:highlight w:val="none"/>
          <w:lang w:eastAsia="zh-CN"/>
        </w:rPr>
        <w:t>。</w:t>
      </w:r>
    </w:p>
    <w:p w14:paraId="7A31D95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3"/>
          <w:sz w:val="24"/>
          <w:szCs w:val="24"/>
        </w:rPr>
      </w:pPr>
    </w:p>
    <w:p w14:paraId="07D7EC0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八</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、其他补充事宜</w:t>
      </w:r>
    </w:p>
    <w:p w14:paraId="017DA82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r>
        <w:rPr>
          <w:rFonts w:hint="eastAsia" w:ascii="宋体" w:hAnsi="宋体" w:cs="宋体"/>
          <w:sz w:val="24"/>
          <w:szCs w:val="24"/>
        </w:rPr>
        <w:t>本项目采用</w:t>
      </w:r>
      <w:r>
        <w:rPr>
          <w:rFonts w:hint="eastAsia" w:ascii="宋体" w:hAnsi="宋体" w:cs="宋体"/>
          <w:b/>
          <w:bCs/>
          <w:color w:val="auto"/>
          <w:sz w:val="24"/>
          <w:szCs w:val="24"/>
        </w:rPr>
        <w:t>“暗标”评审</w:t>
      </w:r>
      <w:r>
        <w:rPr>
          <w:rFonts w:hint="eastAsia" w:ascii="宋体" w:hAnsi="宋体" w:cs="宋体"/>
          <w:sz w:val="24"/>
          <w:szCs w:val="24"/>
        </w:rPr>
        <w:t>。供应商应按照</w:t>
      </w:r>
      <w:r>
        <w:rPr>
          <w:rFonts w:hint="eastAsia" w:cs="宋体"/>
          <w:sz w:val="24"/>
          <w:szCs w:val="24"/>
          <w:lang w:val="en-US" w:eastAsia="zh-CN"/>
        </w:rPr>
        <w:t>招标</w:t>
      </w:r>
      <w:r>
        <w:rPr>
          <w:rFonts w:hint="eastAsia" w:ascii="宋体" w:hAnsi="宋体" w:cs="宋体"/>
          <w:sz w:val="24"/>
          <w:szCs w:val="24"/>
        </w:rPr>
        <w:t>文件要求制作投标文件。</w:t>
      </w:r>
    </w:p>
    <w:p w14:paraId="295E42F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p>
    <w:p w14:paraId="39734C5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、对本次招标</w:t>
      </w: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出询问，请按以下方式联系。</w:t>
      </w:r>
    </w:p>
    <w:p w14:paraId="1AF6449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5"/>
          <w:sz w:val="24"/>
          <w:szCs w:val="24"/>
          <w:highlight w:val="none"/>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highlight w:val="none"/>
          <w14:textOutline w14:w="1537" w14:cap="flat" w14:cmpd="sng">
            <w14:solidFill>
              <w14:srgbClr w14:val="000000"/>
            </w14:solidFill>
            <w14:prstDash w14:val="solid"/>
            <w14:miter w14:val="0"/>
          </w14:textOutline>
        </w:rPr>
        <w:t>1.采购人信息</w:t>
      </w:r>
    </w:p>
    <w:p w14:paraId="26500A75">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default" w:asciiTheme="minorEastAsia" w:hAnsiTheme="minorEastAsia" w:eastAsiaTheme="minorEastAsia" w:cstheme="minorEastAsia"/>
          <w:spacing w:val="-15"/>
          <w:sz w:val="24"/>
          <w:szCs w:val="24"/>
          <w:lang w:val="en-US" w:eastAsia="zh-CN"/>
        </w:rPr>
        <w:t>名称：南阳市第一中学校附属初级中学校</w:t>
      </w:r>
    </w:p>
    <w:p w14:paraId="610CC45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default" w:asciiTheme="minorEastAsia" w:hAnsiTheme="minorEastAsia" w:eastAsiaTheme="minorEastAsia" w:cstheme="minorEastAsia"/>
          <w:spacing w:val="-15"/>
          <w:sz w:val="24"/>
          <w:szCs w:val="24"/>
          <w:lang w:val="en-US" w:eastAsia="zh-CN"/>
        </w:rPr>
        <w:t>地址：南阳市宛城区建设东路1366号</w:t>
      </w:r>
    </w:p>
    <w:p w14:paraId="60FC9BA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default" w:asciiTheme="minorEastAsia" w:hAnsiTheme="minorEastAsia" w:eastAsiaTheme="minorEastAsia" w:cstheme="minorEastAsia"/>
          <w:spacing w:val="-15"/>
          <w:sz w:val="24"/>
          <w:szCs w:val="24"/>
          <w:lang w:val="en-US" w:eastAsia="zh-CN"/>
        </w:rPr>
        <w:t>联系人：王先生</w:t>
      </w:r>
    </w:p>
    <w:p w14:paraId="1345997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default" w:asciiTheme="minorEastAsia" w:hAnsiTheme="minorEastAsia" w:eastAsiaTheme="minorEastAsia" w:cstheme="minorEastAsia"/>
          <w:spacing w:val="-15"/>
          <w:sz w:val="24"/>
          <w:szCs w:val="24"/>
          <w:lang w:val="en-US" w:eastAsia="zh-CN"/>
        </w:rPr>
        <w:t>联系方式：0377-63035506</w:t>
      </w:r>
    </w:p>
    <w:p w14:paraId="459F3E3F">
      <w:pPr>
        <w:rPr>
          <w:rFonts w:hint="default"/>
          <w:lang w:val="en-US" w:eastAsia="zh-CN"/>
        </w:rPr>
      </w:pPr>
    </w:p>
    <w:p w14:paraId="6537CF8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2.采购代理机构信息</w:t>
      </w:r>
    </w:p>
    <w:p w14:paraId="1EBF371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rPr>
        <w:t>名称：</w:t>
      </w:r>
      <w:r>
        <w:rPr>
          <w:rFonts w:hint="eastAsia" w:asciiTheme="minorEastAsia" w:hAnsiTheme="minorEastAsia" w:eastAsiaTheme="minorEastAsia" w:cstheme="minorEastAsia"/>
          <w:spacing w:val="-15"/>
          <w:sz w:val="24"/>
          <w:szCs w:val="24"/>
          <w:lang w:val="en-US" w:eastAsia="zh-CN"/>
        </w:rPr>
        <w:t>南阳市公共资源交易中心</w:t>
      </w:r>
    </w:p>
    <w:p w14:paraId="363944C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w:t>
      </w:r>
      <w:r>
        <w:rPr>
          <w:rFonts w:hint="eastAsia" w:ascii="宋体" w:hAnsi="宋体" w:eastAsia="宋体" w:cs="宋体"/>
          <w:sz w:val="24"/>
          <w:szCs w:val="24"/>
          <w:u w:val="none"/>
          <w:lang w:eastAsia="zh-CN"/>
        </w:rPr>
        <w:t>南阳市范蠡东路与南都路交叉口市民服务中心中区3号楼5楼</w:t>
      </w:r>
    </w:p>
    <w:p w14:paraId="0BC003C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联系人：蔡有良</w:t>
      </w:r>
    </w:p>
    <w:p w14:paraId="0DEBE7D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5"/>
          <w:sz w:val="24"/>
          <w:szCs w:val="24"/>
        </w:rPr>
        <w:t>联系方式：</w:t>
      </w:r>
      <w:r>
        <w:rPr>
          <w:rFonts w:hint="eastAsia" w:asciiTheme="minorEastAsia" w:hAnsiTheme="minorEastAsia" w:eastAsiaTheme="minorEastAsia" w:cstheme="minorEastAsia"/>
          <w:spacing w:val="-15"/>
          <w:sz w:val="24"/>
          <w:szCs w:val="24"/>
          <w:lang w:val="en-US" w:eastAsia="zh-CN"/>
        </w:rPr>
        <w:t>61176188</w:t>
      </w:r>
    </w:p>
    <w:p w14:paraId="35D4D94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b/>
          <w:bCs/>
          <w:spacing w:val="5"/>
          <w:sz w:val="24"/>
          <w:szCs w:val="24"/>
        </w:rPr>
      </w:pPr>
    </w:p>
    <w:p w14:paraId="7466BD3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default" w:asciiTheme="minorEastAsia" w:hAnsiTheme="minorEastAsia" w:eastAsiaTheme="minorEastAsia" w:cstheme="minorEastAsia"/>
          <w:b/>
          <w:bCs/>
          <w:color w:val="auto"/>
          <w:spacing w:val="5"/>
          <w:sz w:val="24"/>
          <w:szCs w:val="24"/>
          <w:u w:val="single"/>
          <w:lang w:val="en-US" w:eastAsia="zh-CN"/>
        </w:rPr>
      </w:pPr>
      <w:r>
        <w:rPr>
          <w:rFonts w:hint="eastAsia" w:asciiTheme="minorEastAsia" w:hAnsiTheme="minorEastAsia" w:eastAsiaTheme="minorEastAsia" w:cstheme="minorEastAsia"/>
          <w:color w:val="auto"/>
          <w:spacing w:val="4"/>
          <w:sz w:val="24"/>
          <w:szCs w:val="24"/>
          <w:lang w:val="en-US" w:eastAsia="zh-CN"/>
          <w14:textOutline w14:w="1537" w14:cap="flat" w14:cmpd="sng">
            <w14:solidFill>
              <w14:srgbClr w14:val="000000"/>
            </w14:solidFill>
            <w14:prstDash w14:val="solid"/>
            <w14:miter w14:val="0"/>
          </w14:textOutline>
        </w:rPr>
        <w:t>3.网址：</w:t>
      </w:r>
      <w:r>
        <w:rPr>
          <w:rFonts w:hint="eastAsia" w:asciiTheme="minorEastAsia" w:hAnsiTheme="minorEastAsia" w:eastAsiaTheme="minorEastAsia" w:cstheme="minorEastAsia"/>
          <w:color w:val="auto"/>
          <w:spacing w:val="-15"/>
          <w:sz w:val="24"/>
          <w:szCs w:val="24"/>
          <w:lang w:val="en-US" w:eastAsia="zh-CN"/>
        </w:rPr>
        <w:fldChar w:fldCharType="begin"/>
      </w:r>
      <w:r>
        <w:rPr>
          <w:rFonts w:hint="eastAsia" w:asciiTheme="minorEastAsia" w:hAnsiTheme="minorEastAsia" w:eastAsiaTheme="minorEastAsia" w:cstheme="minorEastAsia"/>
          <w:color w:val="auto"/>
          <w:spacing w:val="-15"/>
          <w:sz w:val="24"/>
          <w:szCs w:val="24"/>
          <w:lang w:val="en-US" w:eastAsia="zh-CN"/>
        </w:rPr>
        <w:instrText xml:space="preserve"> HYPERLINK "https://ggzyjy.nanyang.gov.cn" </w:instrText>
      </w:r>
      <w:r>
        <w:rPr>
          <w:rFonts w:hint="eastAsia" w:asciiTheme="minorEastAsia" w:hAnsiTheme="minorEastAsia" w:eastAsiaTheme="minorEastAsia" w:cstheme="minorEastAsia"/>
          <w:color w:val="auto"/>
          <w:spacing w:val="-15"/>
          <w:sz w:val="24"/>
          <w:szCs w:val="24"/>
          <w:lang w:val="en-US" w:eastAsia="zh-CN"/>
        </w:rPr>
        <w:fldChar w:fldCharType="separate"/>
      </w:r>
      <w:r>
        <w:rPr>
          <w:rStyle w:val="26"/>
          <w:rFonts w:hint="eastAsia" w:asciiTheme="minorEastAsia" w:hAnsiTheme="minorEastAsia" w:eastAsiaTheme="minorEastAsia" w:cstheme="minorEastAsia"/>
          <w:color w:val="auto"/>
          <w:spacing w:val="-15"/>
          <w:sz w:val="24"/>
          <w:szCs w:val="24"/>
          <w:lang w:val="en-US" w:eastAsia="zh-CN"/>
        </w:rPr>
        <w:t>https://ggzyjy.nanyang.gov.cn</w:t>
      </w:r>
      <w:r>
        <w:rPr>
          <w:rFonts w:hint="eastAsia" w:asciiTheme="minorEastAsia" w:hAnsiTheme="minorEastAsia" w:eastAsiaTheme="minorEastAsia" w:cstheme="minorEastAsia"/>
          <w:color w:val="auto"/>
          <w:spacing w:val="-15"/>
          <w:sz w:val="24"/>
          <w:szCs w:val="24"/>
          <w:lang w:val="en-US" w:eastAsia="zh-CN"/>
        </w:rPr>
        <w:fldChar w:fldCharType="end"/>
      </w:r>
      <w:r>
        <w:rPr>
          <w:rFonts w:hint="eastAsia" w:asciiTheme="minorEastAsia" w:hAnsiTheme="minorEastAsia" w:eastAsiaTheme="minorEastAsia" w:cstheme="minorEastAsia"/>
          <w:color w:val="auto"/>
          <w:spacing w:val="-15"/>
          <w:sz w:val="24"/>
          <w:szCs w:val="24"/>
          <w:lang w:val="en-US" w:eastAsia="zh-CN"/>
        </w:rPr>
        <w:t xml:space="preserve">   E-mail:nyszfcgzx@126.com</w:t>
      </w:r>
    </w:p>
    <w:p w14:paraId="296F250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default" w:asciiTheme="minorEastAsia" w:hAnsiTheme="minorEastAsia" w:eastAsiaTheme="minorEastAsia" w:cstheme="minorEastAsia"/>
          <w:b/>
          <w:bCs/>
          <w:spacing w:val="5"/>
          <w:sz w:val="24"/>
          <w:szCs w:val="24"/>
          <w:u w:val="single"/>
          <w:lang w:val="en-US" w:eastAsia="zh-CN"/>
        </w:rPr>
      </w:pPr>
    </w:p>
    <w:p w14:paraId="3394854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5"/>
          <w:sz w:val="24"/>
          <w:szCs w:val="24"/>
          <w:lang w:val="en-US" w:eastAsia="zh-CN"/>
        </w:rPr>
      </w:pPr>
    </w:p>
    <w:p w14:paraId="1C93FC15">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040" w:firstLineChars="2400"/>
        <w:jc w:val="both"/>
        <w:textAlignment w:val="baseline"/>
        <w:outlineLvl w:val="1"/>
        <w:rPr>
          <w:rFonts w:hint="eastAsia" w:asciiTheme="minorEastAsia" w:hAnsiTheme="minorEastAsia" w:eastAsiaTheme="minorEastAsia" w:cstheme="minorEastAsia"/>
          <w:color w:val="auto"/>
          <w:spacing w:val="-15"/>
          <w:sz w:val="24"/>
          <w:szCs w:val="24"/>
          <w:lang w:val="en-US" w:eastAsia="zh-CN"/>
        </w:rPr>
      </w:pPr>
    </w:p>
    <w:p w14:paraId="7233F7C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040" w:firstLineChars="2400"/>
        <w:jc w:val="both"/>
        <w:textAlignment w:val="baseline"/>
        <w:outlineLvl w:val="1"/>
        <w:rPr>
          <w:rFonts w:hint="eastAsia" w:asciiTheme="minorEastAsia" w:hAnsiTheme="minorEastAsia" w:eastAsiaTheme="minorEastAsia" w:cstheme="minorEastAsia"/>
          <w:color w:val="auto"/>
          <w:spacing w:val="-15"/>
          <w:sz w:val="24"/>
          <w:szCs w:val="24"/>
          <w:lang w:val="en-US" w:eastAsia="zh-CN"/>
        </w:rPr>
      </w:pPr>
    </w:p>
    <w:p w14:paraId="60EB261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right"/>
        <w:textAlignment w:val="baseline"/>
        <w:outlineLvl w:val="1"/>
        <w:rPr>
          <w:rFonts w:hint="eastAsia" w:asciiTheme="minorEastAsia" w:hAnsiTheme="minorEastAsia" w:eastAsiaTheme="minorEastAsia" w:cstheme="minorEastAsia"/>
          <w:color w:val="auto"/>
          <w:spacing w:val="-15"/>
          <w:sz w:val="24"/>
          <w:szCs w:val="24"/>
          <w:lang w:val="en-US" w:eastAsia="zh-CN"/>
        </w:rPr>
      </w:pPr>
      <w:r>
        <w:rPr>
          <w:rFonts w:hint="eastAsia" w:asciiTheme="minorEastAsia" w:hAnsiTheme="minorEastAsia" w:eastAsiaTheme="minorEastAsia" w:cstheme="minorEastAsia"/>
          <w:color w:val="auto"/>
          <w:spacing w:val="-15"/>
          <w:sz w:val="24"/>
          <w:szCs w:val="24"/>
          <w:lang w:val="en-US" w:eastAsia="zh-CN"/>
        </w:rPr>
        <w:t>南阳市公共资源交易中心</w:t>
      </w:r>
    </w:p>
    <w:p w14:paraId="4418D0B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992" w:firstLineChars="2800"/>
        <w:jc w:val="both"/>
        <w:textAlignment w:val="baseline"/>
        <w:outlineLvl w:val="1"/>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9 </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lang w:val="en-US" w:eastAsia="zh-CN"/>
        </w:rPr>
        <w:t xml:space="preserve"> </w:t>
      </w:r>
      <w:r>
        <w:rPr>
          <w:rFonts w:hint="eastAsia" w:asciiTheme="minorEastAsia" w:hAnsiTheme="minorEastAsia" w:eastAsiaTheme="minorEastAsia" w:cstheme="minorEastAsia"/>
          <w:color w:val="auto"/>
          <w:spacing w:val="-13"/>
          <w:sz w:val="24"/>
          <w:szCs w:val="24"/>
          <w:highlight w:val="none"/>
          <w:u w:val="single"/>
          <w:lang w:val="en-US" w:eastAsia="zh-CN"/>
        </w:rPr>
        <w:t>2</w:t>
      </w:r>
      <w:bookmarkStart w:id="1" w:name="_GoBack"/>
      <w:bookmarkEnd w:id="1"/>
      <w:r>
        <w:rPr>
          <w:rFonts w:hint="eastAsia" w:asciiTheme="minorEastAsia" w:hAnsiTheme="minorEastAsia" w:eastAsiaTheme="minorEastAsia" w:cstheme="minorEastAsia"/>
          <w:color w:val="auto"/>
          <w:spacing w:val="-13"/>
          <w:sz w:val="24"/>
          <w:szCs w:val="24"/>
          <w:highlight w:val="none"/>
          <w:u w:val="single"/>
          <w:lang w:val="en-US" w:eastAsia="zh-CN"/>
        </w:rPr>
        <w:t xml:space="preserve"> </w:t>
      </w:r>
      <w:r>
        <w:rPr>
          <w:rFonts w:hint="eastAsia" w:asciiTheme="minorEastAsia" w:hAnsiTheme="minorEastAsia" w:eastAsiaTheme="minorEastAsia" w:cstheme="minorEastAsia"/>
          <w:color w:val="auto"/>
          <w:spacing w:val="-13"/>
          <w:sz w:val="24"/>
          <w:szCs w:val="24"/>
          <w:highlight w:val="none"/>
        </w:rPr>
        <w:t>日</w:t>
      </w:r>
    </w:p>
    <w:p w14:paraId="4A364119">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02CEA86">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5930A05">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58199D4B">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4236E75">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7908E00">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50AF15F">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08C1D43">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0F9077B">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E3E4013">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0DA618A">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A8F2996">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4E5BCDD">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53BEF95F">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6B86418">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9ECD655">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00A4B64">
      <w:pPr>
        <w:ind w:firstLine="2506" w:firstLineChars="700"/>
        <w:rPr>
          <w:rFonts w:hint="eastAsia"/>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14:paraId="62CE9642">
      <w:pPr>
        <w:pStyle w:val="15"/>
        <w:rPr>
          <w:rFonts w:hint="eastAsia"/>
        </w:rPr>
      </w:pPr>
    </w:p>
    <w:p w14:paraId="7592B65D">
      <w:pPr>
        <w:numPr>
          <w:ilvl w:val="0"/>
          <w:numId w:val="0"/>
        </w:numPr>
        <w:rPr>
          <w:rFonts w:hint="eastAsia"/>
        </w:rPr>
      </w:pPr>
    </w:p>
    <w:p w14:paraId="57D82865">
      <w:pPr>
        <w:pStyle w:val="6"/>
        <w:keepNext w:val="0"/>
        <w:keepLines w:val="0"/>
        <w:pageBreakBefore w:val="0"/>
        <w:widowControl/>
        <w:numPr>
          <w:ilvl w:val="0"/>
          <w:numId w:val="4"/>
        </w:numPr>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p>
    <w:p w14:paraId="11FE00F5">
      <w:pPr>
        <w:numPr>
          <w:ilvl w:val="0"/>
          <w:numId w:val="5"/>
        </w:numPr>
        <w:rPr>
          <w:rFonts w:hint="eastAsia"/>
          <w:lang w:val="en-US" w:eastAsia="zh-CN"/>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采购货物需求及数量</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1633"/>
        <w:gridCol w:w="4829"/>
        <w:gridCol w:w="682"/>
        <w:gridCol w:w="703"/>
      </w:tblGrid>
      <w:tr w14:paraId="327BC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395" w:type="pct"/>
            <w:vAlign w:val="center"/>
          </w:tcPr>
          <w:p w14:paraId="20FF8CF0">
            <w:pPr>
              <w:widowControl/>
              <w:jc w:val="center"/>
              <w:textAlignment w:val="center"/>
              <w:rPr>
                <w:vertAlign w:val="baseline"/>
              </w:rPr>
            </w:pPr>
            <w:r>
              <w:rPr>
                <w:rFonts w:hint="eastAsia" w:ascii="宋体" w:hAnsi="宋体" w:eastAsia="宋体" w:cs="宋体"/>
                <w:b/>
                <w:bCs/>
                <w:color w:val="000000"/>
                <w:kern w:val="0"/>
                <w:sz w:val="22"/>
                <w:szCs w:val="22"/>
                <w:highlight w:val="none"/>
                <w:lang w:bidi="ar"/>
              </w:rPr>
              <w:t>序号</w:t>
            </w:r>
          </w:p>
        </w:tc>
        <w:tc>
          <w:tcPr>
            <w:tcW w:w="958" w:type="pct"/>
            <w:vAlign w:val="center"/>
          </w:tcPr>
          <w:p w14:paraId="61AB5E1E">
            <w:pPr>
              <w:widowControl/>
              <w:jc w:val="center"/>
              <w:textAlignment w:val="center"/>
              <w:rPr>
                <w:vertAlign w:val="baseline"/>
              </w:rPr>
            </w:pPr>
            <w:r>
              <w:rPr>
                <w:rFonts w:hint="eastAsia" w:ascii="宋体" w:hAnsi="宋体" w:eastAsia="宋体" w:cs="宋体"/>
                <w:b/>
                <w:bCs/>
                <w:color w:val="000000"/>
                <w:kern w:val="0"/>
                <w:sz w:val="22"/>
                <w:szCs w:val="22"/>
                <w:highlight w:val="none"/>
                <w:lang w:bidi="ar"/>
              </w:rPr>
              <w:t>设备名称</w:t>
            </w:r>
          </w:p>
        </w:tc>
        <w:tc>
          <w:tcPr>
            <w:tcW w:w="2832" w:type="pct"/>
            <w:vAlign w:val="center"/>
          </w:tcPr>
          <w:p w14:paraId="64CFBC78">
            <w:pPr>
              <w:widowControl w:val="0"/>
              <w:bidi w:val="0"/>
              <w:jc w:val="center"/>
              <w:rPr>
                <w:sz w:val="20"/>
                <w:szCs w:val="20"/>
                <w:vertAlign w:val="baseline"/>
              </w:rPr>
            </w:pPr>
            <w:r>
              <w:rPr>
                <w:rFonts w:hint="eastAsia" w:ascii="宋体" w:hAnsi="宋体" w:eastAsia="宋体" w:cs="宋体"/>
                <w:b/>
                <w:bCs/>
                <w:sz w:val="20"/>
                <w:szCs w:val="20"/>
              </w:rPr>
              <w:t>技术要求</w:t>
            </w:r>
          </w:p>
        </w:tc>
        <w:tc>
          <w:tcPr>
            <w:tcW w:w="400" w:type="pct"/>
            <w:vAlign w:val="center"/>
          </w:tcPr>
          <w:p w14:paraId="71C0D284">
            <w:pPr>
              <w:widowControl/>
              <w:jc w:val="center"/>
              <w:textAlignment w:val="center"/>
              <w:rPr>
                <w:vertAlign w:val="baseline"/>
              </w:rPr>
            </w:pPr>
            <w:r>
              <w:rPr>
                <w:rFonts w:hint="eastAsia" w:ascii="宋体" w:hAnsi="宋体" w:eastAsia="宋体" w:cs="宋体"/>
                <w:b/>
                <w:bCs/>
                <w:color w:val="000000"/>
                <w:kern w:val="0"/>
                <w:sz w:val="22"/>
                <w:szCs w:val="22"/>
                <w:highlight w:val="none"/>
                <w:lang w:bidi="ar"/>
              </w:rPr>
              <w:t>单位</w:t>
            </w:r>
          </w:p>
        </w:tc>
        <w:tc>
          <w:tcPr>
            <w:tcW w:w="412" w:type="pct"/>
            <w:vAlign w:val="center"/>
          </w:tcPr>
          <w:p w14:paraId="1B764C99">
            <w:pPr>
              <w:widowControl/>
              <w:jc w:val="center"/>
              <w:textAlignment w:val="center"/>
              <w:rPr>
                <w:vertAlign w:val="baseline"/>
              </w:rPr>
            </w:pPr>
            <w:r>
              <w:rPr>
                <w:rFonts w:hint="eastAsia" w:ascii="宋体" w:hAnsi="宋体" w:eastAsia="宋体" w:cs="宋体"/>
                <w:b/>
                <w:bCs/>
                <w:color w:val="000000"/>
                <w:kern w:val="0"/>
                <w:sz w:val="22"/>
                <w:szCs w:val="22"/>
                <w:highlight w:val="none"/>
                <w:lang w:bidi="ar"/>
              </w:rPr>
              <w:t>数量</w:t>
            </w:r>
          </w:p>
        </w:tc>
      </w:tr>
      <w:tr w14:paraId="0905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0C8A20A5">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c>
          <w:tcPr>
            <w:tcW w:w="958" w:type="pct"/>
            <w:vAlign w:val="center"/>
          </w:tcPr>
          <w:p w14:paraId="44D0CBEF">
            <w:pPr>
              <w:keepNext w:val="0"/>
              <w:keepLines w:val="0"/>
              <w:widowControl/>
              <w:suppressLineNumbers w:val="0"/>
              <w:jc w:val="left"/>
              <w:textAlignment w:val="center"/>
              <w:rPr>
                <w:vertAlign w:val="baseline"/>
              </w:rPr>
            </w:pPr>
            <w:r>
              <w:rPr>
                <w:rFonts w:hint="eastAsia" w:ascii="宋体" w:hAnsi="宋体" w:eastAsia="宋体" w:cs="宋体"/>
                <w:color w:val="000000"/>
                <w:kern w:val="0"/>
                <w:sz w:val="22"/>
                <w:szCs w:val="22"/>
                <w:lang w:bidi="ar"/>
              </w:rPr>
              <w:t>IP网络广播系统服务器</w:t>
            </w:r>
          </w:p>
        </w:tc>
        <w:tc>
          <w:tcPr>
            <w:tcW w:w="2832" w:type="pct"/>
            <w:vAlign w:val="top"/>
          </w:tcPr>
          <w:p w14:paraId="5367BB88">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1、≥17.3吋全高清触摸屏幕。</w:t>
            </w:r>
          </w:p>
          <w:p w14:paraId="21A0E549">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2、不少于5个COM接口；不少于4路MIC输入口；不少于 8路USB接口；不少于6路线路输入接口；不少于2个RJ45接口；不少于1路VGA接口和1路DVI-D视频接口；不少于2路PS/2接口</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提供设备实物接口图。</w:t>
            </w:r>
          </w:p>
          <w:p w14:paraId="61DA60EB">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3、6×4音频矩阵功能：6路线路输入接口，每一路线路输入有两个编组按键发送到任意编组混音。</w:t>
            </w:r>
          </w:p>
          <w:p w14:paraId="33C06213">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4、线路输入和话筒输入均带音量和音调调节，不少于9个音量调节旋钮，不少于9组（18个）高低音调节旋钮</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提供设备实物接口图。</w:t>
            </w:r>
          </w:p>
          <w:p w14:paraId="0A0C0FA6">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5、面板带1个可以编程的紧急按键。</w:t>
            </w:r>
          </w:p>
          <w:p w14:paraId="7CD0DB61">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6、带2组线路输出接口。</w:t>
            </w:r>
          </w:p>
          <w:p w14:paraId="691A9EDF">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7、内置监听功能，监听音量可以单独调整。</w:t>
            </w:r>
          </w:p>
          <w:p w14:paraId="36931F38">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8、具有一路短路触发开机运行接口，用于定时重启开关机。</w:t>
            </w:r>
          </w:p>
          <w:p w14:paraId="1CE909CC">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9、通过第三方检测机构的安全测试一抗电强度测试，对电源端子与金属外壳之间进行测试，符合2500V DC，60S应无飞弧或击穿的试验条件。</w:t>
            </w:r>
          </w:p>
          <w:p w14:paraId="400915A7">
            <w:pPr>
              <w:widowControl w:val="0"/>
              <w:bidi w:val="0"/>
              <w:jc w:val="left"/>
              <w:rPr>
                <w:sz w:val="20"/>
                <w:szCs w:val="20"/>
                <w:vertAlign w:val="baseline"/>
              </w:rPr>
            </w:pPr>
            <w:r>
              <w:rPr>
                <w:rFonts w:hint="eastAsia" w:ascii="宋体" w:hAnsi="宋体" w:eastAsia="宋体" w:cs="宋体"/>
                <w:sz w:val="20"/>
                <w:szCs w:val="20"/>
                <w:lang w:val="en-US" w:eastAsia="zh-CN"/>
              </w:rPr>
              <w:t>10、以上参数须提供有效</w:t>
            </w:r>
            <w:r>
              <w:rPr>
                <w:rFonts w:hint="eastAsia" w:ascii="宋体" w:hAnsi="宋体" w:cs="宋体"/>
                <w:sz w:val="20"/>
                <w:szCs w:val="20"/>
                <w:lang w:val="en-US" w:eastAsia="zh-CN"/>
              </w:rPr>
              <w:t>证明材料</w:t>
            </w:r>
            <w:r>
              <w:rPr>
                <w:rFonts w:hint="eastAsia" w:ascii="宋体" w:hAnsi="宋体" w:eastAsia="宋体" w:cs="宋体"/>
                <w:sz w:val="20"/>
                <w:szCs w:val="20"/>
                <w:lang w:val="en-US" w:eastAsia="zh-CN"/>
              </w:rPr>
              <w:t>。</w:t>
            </w:r>
          </w:p>
        </w:tc>
        <w:tc>
          <w:tcPr>
            <w:tcW w:w="400" w:type="pct"/>
            <w:vAlign w:val="center"/>
          </w:tcPr>
          <w:p w14:paraId="42EBF9C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6798FA3C">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158C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0BA2F02">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w:t>
            </w:r>
          </w:p>
        </w:tc>
        <w:tc>
          <w:tcPr>
            <w:tcW w:w="958" w:type="pct"/>
            <w:vAlign w:val="center"/>
          </w:tcPr>
          <w:p w14:paraId="10786D2A">
            <w:pPr>
              <w:keepNext w:val="0"/>
              <w:keepLines w:val="0"/>
              <w:widowControl/>
              <w:suppressLineNumbers w:val="0"/>
              <w:jc w:val="left"/>
              <w:textAlignment w:val="center"/>
              <w:rPr>
                <w:vertAlign w:val="baseline"/>
              </w:rPr>
            </w:pPr>
            <w:r>
              <w:rPr>
                <w:rFonts w:hint="eastAsia" w:ascii="宋体" w:hAnsi="宋体" w:eastAsia="宋体" w:cs="宋体"/>
                <w:color w:val="000000"/>
                <w:kern w:val="0"/>
                <w:sz w:val="22"/>
                <w:szCs w:val="22"/>
                <w:lang w:bidi="ar"/>
              </w:rPr>
              <w:t>IP网络广播系统管理软件</w:t>
            </w:r>
          </w:p>
        </w:tc>
        <w:tc>
          <w:tcPr>
            <w:tcW w:w="2832" w:type="pct"/>
            <w:vAlign w:val="bottom"/>
          </w:tcPr>
          <w:p w14:paraId="7D7246AD">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1、支持多套定时打铃方案，方案内可编制任意数量的打铃任务，支持一键复制/禁用/启用方案或任务，实现全自动无人值守校园铃声播报，满足各时间段多场景播报需求。</w:t>
            </w:r>
          </w:p>
          <w:p w14:paraId="24615DCA">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2、可对任意单点、分组或全区执行实时音频/文本，实时采播，一键寻呼喊话任务，高同步性和实时性，最多支持30路广播并发。</w:t>
            </w:r>
          </w:p>
          <w:p w14:paraId="0879D726">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3、服务器根据编制好的任务定时、定点自动播出，支持定时音频/文本/采播广播，可批量创建多时段定时任务，支持一键启用/禁用，高可控性和智慧化。</w:t>
            </w:r>
          </w:p>
          <w:p w14:paraId="07F8195C">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4、支持全区分区消防联动，短路输入输出端口联动自由配置，自动化的安全机制，可远程控制设备强切输出，包括短路输出和广播播放。</w:t>
            </w:r>
          </w:p>
          <w:p w14:paraId="5434BDD3">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5、可对广播内容进行实时监听，也可实时循环监听终端周围环境声音实况，不影响广播节目播放。</w:t>
            </w:r>
          </w:p>
          <w:p w14:paraId="5B3A8918">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6、内置嵌入式TTS语音引擎支持TTS文字转语音广播，可提供不同人声、语速等个性化配置，支持导入TXT文本。</w:t>
            </w:r>
          </w:p>
          <w:p w14:paraId="2CE5DD4B">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7、支持考试模式，网络与定压备份无缝切换，满足考场高可靠性、冗余性要求。</w:t>
            </w:r>
          </w:p>
          <w:p w14:paraId="36794087">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8、可通过网络远程推送定时广播内容至任务覆盖的终端，实现终端离线自动播放功能。</w:t>
            </w:r>
          </w:p>
          <w:p w14:paraId="5C79625F">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9、支持多操作系统，包括Windows，Linux，国产麒麟操作系统，兼容性与安全性更高，支持多级管理与系统级无限扩展。</w:t>
            </w:r>
          </w:p>
          <w:p w14:paraId="1D81CABA">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10、支持多种部署方式，包括公有云，私有云，以及专网部署。</w:t>
            </w:r>
          </w:p>
          <w:p w14:paraId="690653A2">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11、支持在国产兆芯服务器上的文转语，文本广播功能，无需配置额外的设备。</w:t>
            </w:r>
          </w:p>
          <w:p w14:paraId="0D9974FB">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12、首页可自定义添加常用功能，一键快速创建广播任务。</w:t>
            </w:r>
          </w:p>
          <w:p w14:paraId="495D9EE5">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13、可视化图表展示任务分类和任务数据统计，支持系统任务列表查看和详情页查看，任务信息一目了然。</w:t>
            </w:r>
          </w:p>
          <w:p w14:paraId="614BA59D">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14、系统支持日志查询和导出，用户日志，系统日志，设备日志，任务日志灵活查看。</w:t>
            </w:r>
          </w:p>
          <w:p w14:paraId="4D003738">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15、用户可选择自动，手动，或者上传备份文件进行系统备份。</w:t>
            </w:r>
          </w:p>
          <w:p w14:paraId="2927204C">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16、智能管控和设置不同任务类型优先级，可按需灵活设置，系统智能检测任务优先级冲突。</w:t>
            </w:r>
          </w:p>
          <w:p w14:paraId="74F0909F">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17、通过软件预设终端自带电源提前打开，双重保障任务在终端播放成功。</w:t>
            </w:r>
          </w:p>
          <w:p w14:paraId="05066FC4">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18、通过智能语音播控台，实现系统服务器媒体库中节目的任意点播。</w:t>
            </w:r>
          </w:p>
          <w:p w14:paraId="73FC40DB">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19、媒体库管理智慧媒体库可存储数千小时以上的音乐或语音节目，为所有音频终端提供定时播放和实时点播媒体服务，支持音频共享、试听、下载。</w:t>
            </w:r>
          </w:p>
          <w:p w14:paraId="2E434A47">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20、支持Web模式远程登录管理控制所有设备，支持远程升级设备；支持将设备添加至设备地图，可视化管控设备，地图上划定范围快速发起广播。</w:t>
            </w:r>
          </w:p>
          <w:p w14:paraId="24A9FD99">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21、支持设备在线分组设置，通过Web页面后台或分控客户端均可轻松进行设备分组管理。</w:t>
            </w:r>
          </w:p>
          <w:p w14:paraId="6F28760E">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22、系统可设置管理员，高级用户，普通用户多种角色，可按需自定义角色操作权限，提供不同的操作界面，人性化管理不同用户需求。</w:t>
            </w:r>
          </w:p>
          <w:p w14:paraId="09C7B2A0">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23、支持同一账号实现终端与广播系统平台同步登录，数据自动同步，支持多台设备同时登录，支持分控账号管理远程节目播放管理。</w:t>
            </w:r>
          </w:p>
          <w:p w14:paraId="1B411CA4">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24、支持接入LED显示屏，平台自定义显示的文本内容，中/高考倒计时，时钟，可调1-7档LED屏幕显示亮度。</w:t>
            </w:r>
          </w:p>
          <w:p w14:paraId="4DB9A7FA">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25、支持寻呼+文件/文本广播（话筒上设置），采播+文件/文本广播双路混音合成输出，混音比例可自由调节。</w:t>
            </w:r>
          </w:p>
          <w:p w14:paraId="388669AA">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26、支持全双工实时对讲，视频对讲，支持多人对讲，会议模式；支持对讲呼叫转移；平台可配置对讲策略。</w:t>
            </w:r>
          </w:p>
          <w:p w14:paraId="7203BDF2">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27、支持通过配置工具一键批量配置设备IP地址，设备IP地址冲突自动智能检测。</w:t>
            </w:r>
          </w:p>
          <w:p w14:paraId="1985BC5E">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28、支持平台设置设备定时巡检任务，巡检状态和巡检记录实时上报。</w:t>
            </w:r>
          </w:p>
          <w:p w14:paraId="1CD3C4E6">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29、配置广播任务时支持功放分区通道自定义打开/关闭。</w:t>
            </w:r>
          </w:p>
          <w:p w14:paraId="49C076AA">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30、可针对指定分区插入临时任务，不影响原有打铃方案在其他分区的正常运行。</w:t>
            </w:r>
          </w:p>
          <w:p w14:paraId="136B692E">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31、可设置定时任务间隔播放时长，在指定结束时间前循环间隔播放。</w:t>
            </w:r>
          </w:p>
          <w:p w14:paraId="5D0EB65E">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32、支持电源时序器通道电源远程手动开启或关闭，可设置策略定时打开和关闭全部电源通道。</w:t>
            </w:r>
          </w:p>
          <w:p w14:paraId="7F20073A">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33、支持设备清单导出，定时任务导出，打铃任务导出，日志导出，支持批量导出。</w:t>
            </w:r>
          </w:p>
          <w:p w14:paraId="6B9B5A2A">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34、设备离线，系统注册状态等信息实时上报，用户可及时查看。</w:t>
            </w:r>
          </w:p>
          <w:p w14:paraId="107A39FC">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35、支持多种呼叫策略，包括无响应转移、占线转移、关机转移，支持转移策略自定义设置。</w:t>
            </w:r>
          </w:p>
          <w:p w14:paraId="485227E8">
            <w:pPr>
              <w:widowControl w:val="0"/>
              <w:bidi w:val="0"/>
              <w:jc w:val="left"/>
              <w:rPr>
                <w:sz w:val="20"/>
                <w:szCs w:val="20"/>
                <w:vertAlign w:val="baseline"/>
              </w:rPr>
            </w:pPr>
            <w:r>
              <w:rPr>
                <w:rFonts w:hint="eastAsia" w:ascii="宋体" w:hAnsi="宋体" w:eastAsia="宋体" w:cs="宋体"/>
                <w:sz w:val="20"/>
                <w:szCs w:val="20"/>
                <w:lang w:val="en-US" w:eastAsia="zh-CN"/>
              </w:rPr>
              <w:t>36、支持多种录音文件存储，包括喊话录音、广播录音、对讲录音、环境监听录音、采播录音、会议录音录音;可自定义选择录音文件存储周期。</w:t>
            </w:r>
          </w:p>
        </w:tc>
        <w:tc>
          <w:tcPr>
            <w:tcW w:w="400" w:type="pct"/>
            <w:vAlign w:val="center"/>
          </w:tcPr>
          <w:p w14:paraId="12D162E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套</w:t>
            </w:r>
          </w:p>
        </w:tc>
        <w:tc>
          <w:tcPr>
            <w:tcW w:w="412" w:type="pct"/>
            <w:vAlign w:val="center"/>
          </w:tcPr>
          <w:p w14:paraId="3862FDF0">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1E1DA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29C77D0D">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3</w:t>
            </w:r>
          </w:p>
        </w:tc>
        <w:tc>
          <w:tcPr>
            <w:tcW w:w="958" w:type="pct"/>
            <w:vAlign w:val="center"/>
          </w:tcPr>
          <w:p w14:paraId="158EAC2E">
            <w:pPr>
              <w:keepNext w:val="0"/>
              <w:keepLines w:val="0"/>
              <w:widowControl/>
              <w:suppressLineNumbers w:val="0"/>
              <w:jc w:val="left"/>
              <w:textAlignment w:val="center"/>
              <w:rPr>
                <w:vertAlign w:val="baseline"/>
              </w:rPr>
            </w:pPr>
            <w:r>
              <w:rPr>
                <w:rFonts w:hint="eastAsia" w:ascii="宋体" w:hAnsi="宋体" w:eastAsia="宋体" w:cs="宋体"/>
                <w:color w:val="000000"/>
                <w:kern w:val="0"/>
                <w:sz w:val="22"/>
                <w:szCs w:val="22"/>
                <w:lang w:bidi="ar"/>
              </w:rPr>
              <w:t>IP广播移动分控APP软件</w:t>
            </w:r>
          </w:p>
        </w:tc>
        <w:tc>
          <w:tcPr>
            <w:tcW w:w="2832" w:type="pct"/>
            <w:vAlign w:val="center"/>
          </w:tcPr>
          <w:p w14:paraId="6B61C225">
            <w:pPr>
              <w:widowControl w:val="0"/>
              <w:bidi w:val="0"/>
              <w:jc w:val="left"/>
              <w:rPr>
                <w:sz w:val="20"/>
                <w:szCs w:val="20"/>
                <w:vertAlign w:val="baseline"/>
              </w:rPr>
            </w:pPr>
            <w:r>
              <w:rPr>
                <w:rFonts w:hint="eastAsia" w:ascii="宋体" w:hAnsi="宋体" w:cs="宋体"/>
                <w:sz w:val="20"/>
                <w:szCs w:val="20"/>
                <w:lang w:val="en-US" w:eastAsia="zh-CN"/>
              </w:rPr>
              <w:t>1</w:t>
            </w:r>
            <w:r>
              <w:rPr>
                <w:rFonts w:hint="eastAsia" w:ascii="宋体" w:hAnsi="宋体" w:eastAsia="宋体" w:cs="宋体"/>
                <w:sz w:val="20"/>
                <w:szCs w:val="20"/>
                <w:lang w:val="en-US" w:eastAsia="zh-CN"/>
              </w:rPr>
              <w:t>、支持用户权限管理</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必须用户登录后才能使用，每个用户都可以通过IP广播系统软件设定权限，指定可以控制的终端。支持多个用户同时登录，高权限的用户打断低权限用户的任务。</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2</w:t>
            </w:r>
            <w:r>
              <w:rPr>
                <w:rFonts w:hint="eastAsia" w:ascii="宋体" w:hAnsi="宋体" w:eastAsia="宋体" w:cs="宋体"/>
                <w:sz w:val="20"/>
                <w:szCs w:val="20"/>
                <w:lang w:val="en-US" w:eastAsia="zh-CN"/>
              </w:rPr>
              <w:t>、支持终端状态实时查看</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用户登录移动分控软件后，可以实时查看所有权限内终端的播放状态和连接状态。</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3</w:t>
            </w:r>
            <w:r>
              <w:rPr>
                <w:rFonts w:hint="eastAsia" w:ascii="宋体" w:hAnsi="宋体" w:eastAsia="宋体" w:cs="宋体"/>
                <w:sz w:val="20"/>
                <w:szCs w:val="20"/>
                <w:lang w:val="en-US" w:eastAsia="zh-CN"/>
              </w:rPr>
              <w:t>、支持实时讲话</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用户登录移动分控软件后，可以任意对权限内指定的一个或多个终端进行播放。</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4</w:t>
            </w:r>
            <w:r>
              <w:rPr>
                <w:rFonts w:hint="eastAsia" w:ascii="宋体" w:hAnsi="宋体" w:eastAsia="宋体" w:cs="宋体"/>
                <w:sz w:val="20"/>
                <w:szCs w:val="20"/>
                <w:lang w:val="en-US" w:eastAsia="zh-CN"/>
              </w:rPr>
              <w:t>、支持节目点播</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用户登录后，可以点播服务器上的音乐到权限内任意一个或多个终端，进行播放。</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5</w:t>
            </w:r>
            <w:r>
              <w:rPr>
                <w:rFonts w:hint="eastAsia" w:ascii="宋体" w:hAnsi="宋体" w:eastAsia="宋体" w:cs="宋体"/>
                <w:sz w:val="20"/>
                <w:szCs w:val="20"/>
                <w:lang w:val="en-US" w:eastAsia="zh-CN"/>
              </w:rPr>
              <w:t>、支持文件上传</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用户可以把手机上的音乐上传到服务器，然后可以对权限内的指定终端进行点播。</w:t>
            </w:r>
          </w:p>
        </w:tc>
        <w:tc>
          <w:tcPr>
            <w:tcW w:w="400" w:type="pct"/>
            <w:vAlign w:val="center"/>
          </w:tcPr>
          <w:p w14:paraId="06C5F0C2">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套</w:t>
            </w:r>
          </w:p>
        </w:tc>
        <w:tc>
          <w:tcPr>
            <w:tcW w:w="412" w:type="pct"/>
            <w:vAlign w:val="center"/>
          </w:tcPr>
          <w:p w14:paraId="1EA915AE">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33B54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4EEFE6B2">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4</w:t>
            </w:r>
          </w:p>
        </w:tc>
        <w:tc>
          <w:tcPr>
            <w:tcW w:w="958" w:type="pct"/>
            <w:vAlign w:val="center"/>
          </w:tcPr>
          <w:p w14:paraId="559480B9">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室外防水声柱</w:t>
            </w:r>
          </w:p>
        </w:tc>
        <w:tc>
          <w:tcPr>
            <w:tcW w:w="2832" w:type="pct"/>
            <w:vAlign w:val="center"/>
          </w:tcPr>
          <w:p w14:paraId="062EB770">
            <w:pPr>
              <w:widowControl w:val="0"/>
              <w:bidi w:val="0"/>
              <w:jc w:val="left"/>
              <w:rPr>
                <w:sz w:val="20"/>
                <w:szCs w:val="20"/>
                <w:vertAlign w:val="baseline"/>
              </w:rPr>
            </w:pPr>
            <w:r>
              <w:rPr>
                <w:rFonts w:hint="eastAsia" w:ascii="宋体" w:hAnsi="宋体" w:eastAsia="宋体" w:cs="宋体"/>
                <w:sz w:val="20"/>
                <w:szCs w:val="20"/>
                <w:lang w:val="en-US" w:eastAsia="zh-CN"/>
              </w:rPr>
              <w:t>1、壳体采用铝合金</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2、输入电压：100V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3、额定功率：≥80W</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4、频率响应：110Hz-18KHz (±10%）</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5、灵敏度：94dB （±3 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 xml:space="preserve">6、喇叭单元：LF:5"×4；HF：4"×1       </w:t>
            </w:r>
          </w:p>
        </w:tc>
        <w:tc>
          <w:tcPr>
            <w:tcW w:w="400" w:type="pct"/>
            <w:vAlign w:val="center"/>
          </w:tcPr>
          <w:p w14:paraId="1ED115C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只</w:t>
            </w:r>
          </w:p>
        </w:tc>
        <w:tc>
          <w:tcPr>
            <w:tcW w:w="412" w:type="pct"/>
            <w:vAlign w:val="center"/>
          </w:tcPr>
          <w:p w14:paraId="6C949EC1">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6</w:t>
            </w:r>
          </w:p>
        </w:tc>
      </w:tr>
      <w:tr w14:paraId="7558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7BC3AD4C">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5</w:t>
            </w:r>
          </w:p>
        </w:tc>
        <w:tc>
          <w:tcPr>
            <w:tcW w:w="958" w:type="pct"/>
            <w:vAlign w:val="center"/>
          </w:tcPr>
          <w:p w14:paraId="177A071D">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多功能网络解码音箱</w:t>
            </w:r>
          </w:p>
        </w:tc>
        <w:tc>
          <w:tcPr>
            <w:tcW w:w="2832" w:type="pct"/>
            <w:vAlign w:val="center"/>
          </w:tcPr>
          <w:p w14:paraId="71429AB1">
            <w:pPr>
              <w:widowControl w:val="0"/>
              <w:bidi w:val="0"/>
              <w:jc w:val="left"/>
              <w:rPr>
                <w:sz w:val="20"/>
                <w:szCs w:val="20"/>
                <w:vertAlign w:val="baseline"/>
              </w:rPr>
            </w:pPr>
            <w:r>
              <w:rPr>
                <w:rFonts w:hint="eastAsia" w:ascii="宋体" w:hAnsi="宋体" w:eastAsia="宋体" w:cs="宋体"/>
                <w:sz w:val="20"/>
                <w:szCs w:val="20"/>
                <w:lang w:val="en-US" w:eastAsia="zh-CN"/>
              </w:rPr>
              <w:t>1、专业一体化设计，木质箱体，安装方便。</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2、内置2×20W数字功率放大器，可接副箱。功放具有：过热保护、短路保护、输出直流保护、过压欠压保护、开关机防冲击保护，保证运行的安全性与可靠性。</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 xml:space="preserve">3、支持网络远程打开功放，无任务自动待机；功放播音时自动打开，功放输出功率长时间小于0.5W自动进入待机模式。 </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4、内置信号限幅器，保证到喇叭的音频信号不失真。</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5、内置二分频，LF：5吋，HF:2.75吋，语音清晰、自然，还原度高。</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6、网络广播模块，支持TCP/IP、UDP、IGMP(组播)等协议，可以远程配置网络广播音量；支持网络环境自适应，当网络情况比较差的时候，可启动缓冲和丢包重传；支持远程固件升级。</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7、具备可扩展模块功能区：</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7.1、推送模块，系统崩溃或网络瘫痪后，也可以自动执行任务，保证系统的平稳运行。</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7.2、无线2.4G话筒接收模块，实现本地语音扩声。</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7.3、定压广播模块，实现定压备份广播。</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7.4、巡检模块，可以实现终端远程故障诊断，在机房通过远程巡检快速判断音箱的工作状态是否正常、高低音喇叭单元工作是否正常、音质是否正常。</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7.5、模拟音频备份模块，在网络或定压功放故障时也能无缝对接远距离传输模拟广播信号（与模拟音频保障主机配合）。</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8、内置开关电源，支持宽范围市电供电。</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9、1路线路输入，1路话筒输入，1路线路输出接口。</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10、话筒、线路具有独立的音量调节旋钮，话筒具有高低音调节旋钮。</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11、带2路受控的24V输出接口，可以实现声光同步指示。</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12、带USB接口，可用于U盘播音。</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13、具有多级信号优先级，自动切换。优先级由高到低：网络报警广播-&gt;网络业务广播-&gt;usb播音-&gt;定压备份广播-&gt;应急信号广播-&gt;本地扩声。</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14、带RS232接口，可以外接其他RS232设备。</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15、可以外接音控器，方便设备吊挂后控制设备音量。</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16、功放额定输出功率（THD≤1%）：2×20W/8Ω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17、总谐波失真（正常工作条件）：≤0.3%</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18、线路输入灵敏度：-10dBV/316mV±10%</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19、话筒输入灵敏度：-36dBV/16mV±10%</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20、应急输入灵敏度：2.6V±10%</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21、线路输出（额定工作条件）：0dBu/775mV±10%</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22、线路输入信噪比（A计权）：≥85dBA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23、话筒输入信噪比（A计权）：≥70dBA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24、电源适应范围：AC165V~250V/50Hz</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25、最大消耗功率（额定工作条件）：55W</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26、声性能指标 最小源电动势输出声压级：95dB±3</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27、声频率响应范围：110Hz-18kHz</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28、噪声声级：≤17dBA</w:t>
            </w:r>
          </w:p>
        </w:tc>
        <w:tc>
          <w:tcPr>
            <w:tcW w:w="400" w:type="pct"/>
            <w:vAlign w:val="center"/>
          </w:tcPr>
          <w:p w14:paraId="6C6F20BC">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只</w:t>
            </w:r>
          </w:p>
        </w:tc>
        <w:tc>
          <w:tcPr>
            <w:tcW w:w="412" w:type="pct"/>
            <w:vAlign w:val="center"/>
          </w:tcPr>
          <w:p w14:paraId="3BFE06D0">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73</w:t>
            </w:r>
          </w:p>
        </w:tc>
      </w:tr>
      <w:tr w14:paraId="36C9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D911137">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6</w:t>
            </w:r>
          </w:p>
        </w:tc>
        <w:tc>
          <w:tcPr>
            <w:tcW w:w="958" w:type="pct"/>
            <w:vAlign w:val="center"/>
          </w:tcPr>
          <w:p w14:paraId="079995AC">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室外音箱</w:t>
            </w:r>
          </w:p>
        </w:tc>
        <w:tc>
          <w:tcPr>
            <w:tcW w:w="2832" w:type="pct"/>
            <w:vAlign w:val="center"/>
          </w:tcPr>
          <w:p w14:paraId="0CF2B664">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1、不小于1×12"低频驱动单元</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2、不小于1×1.75"高频驱动单元</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3、额定功率不小于350W/8Ω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4、特性灵敏度不小于99dB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5、最大声压级不小于130dB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6、额定频率范围（半空间自由场）：55～19000Hz</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7、输入接口：航空插座×2</w:t>
            </w:r>
          </w:p>
          <w:p w14:paraId="13635CD1">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箱体采用优质胶合板制作，表面黑色水性聚脲涂层，硬度高，耐暴晒，抗风化</w:t>
            </w:r>
          </w:p>
          <w:p w14:paraId="1F07AA68">
            <w:pPr>
              <w:widowControl w:val="0"/>
              <w:bidi w:val="0"/>
              <w:jc w:val="left"/>
              <w:rPr>
                <w:sz w:val="20"/>
                <w:szCs w:val="20"/>
                <w:vertAlign w:val="baseline"/>
              </w:rPr>
            </w:pPr>
            <w:r>
              <w:rPr>
                <w:rFonts w:hint="eastAsia" w:ascii="宋体" w:hAnsi="宋体" w:eastAsia="宋体" w:cs="宋体"/>
                <w:sz w:val="20"/>
                <w:szCs w:val="20"/>
              </w:rPr>
              <w:t>箱体金属件及金属件铁网均采用户外防锈</w:t>
            </w:r>
            <w:r>
              <w:rPr>
                <w:rFonts w:hint="eastAsia" w:ascii="宋体" w:hAnsi="宋体" w:eastAsia="宋体" w:cs="宋体"/>
                <w:sz w:val="20"/>
                <w:szCs w:val="20"/>
                <w:lang w:val="en-US" w:eastAsia="zh-CN"/>
              </w:rPr>
              <w:t>处</w:t>
            </w:r>
            <w:r>
              <w:rPr>
                <w:rFonts w:hint="eastAsia" w:ascii="宋体" w:hAnsi="宋体" w:eastAsia="宋体" w:cs="宋体"/>
                <w:sz w:val="20"/>
                <w:szCs w:val="20"/>
              </w:rPr>
              <w:t>理</w:t>
            </w:r>
          </w:p>
        </w:tc>
        <w:tc>
          <w:tcPr>
            <w:tcW w:w="400" w:type="pct"/>
            <w:vAlign w:val="center"/>
          </w:tcPr>
          <w:p w14:paraId="5AF80B64">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只</w:t>
            </w:r>
          </w:p>
        </w:tc>
        <w:tc>
          <w:tcPr>
            <w:tcW w:w="412" w:type="pct"/>
            <w:vAlign w:val="center"/>
          </w:tcPr>
          <w:p w14:paraId="7343ED28">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4</w:t>
            </w:r>
          </w:p>
        </w:tc>
      </w:tr>
      <w:tr w14:paraId="7727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48BEB69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7</w:t>
            </w:r>
          </w:p>
        </w:tc>
        <w:tc>
          <w:tcPr>
            <w:tcW w:w="958" w:type="pct"/>
            <w:vAlign w:val="center"/>
          </w:tcPr>
          <w:p w14:paraId="1E5C4C0B">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网络室外声柱</w:t>
            </w:r>
          </w:p>
        </w:tc>
        <w:tc>
          <w:tcPr>
            <w:tcW w:w="2832" w:type="pct"/>
            <w:vAlign w:val="center"/>
          </w:tcPr>
          <w:p w14:paraId="0A1BB685">
            <w:pPr>
              <w:widowControl w:val="0"/>
              <w:numPr>
                <w:ilvl w:val="0"/>
                <w:numId w:val="0"/>
              </w:numPr>
              <w:bidi w:val="0"/>
              <w:jc w:val="left"/>
              <w:rPr>
                <w:rFonts w:hint="eastAsia" w:ascii="宋体" w:hAnsi="宋体" w:eastAsia="宋体" w:cs="宋体"/>
                <w:sz w:val="20"/>
                <w:szCs w:val="20"/>
                <w:lang w:val="en-US" w:eastAsia="zh-CN"/>
              </w:rPr>
            </w:pPr>
            <w:r>
              <w:rPr>
                <w:rFonts w:hint="eastAsia" w:ascii="宋体" w:hAnsi="宋体" w:eastAsia="宋体" w:cs="宋体"/>
                <w:i w:val="0"/>
                <w:snapToGrid w:val="0"/>
                <w:color w:val="000000"/>
                <w:kern w:val="0"/>
                <w:sz w:val="20"/>
                <w:szCs w:val="20"/>
                <w:lang w:val="en-US" w:eastAsia="zh-CN" w:bidi="ar-SA"/>
              </w:rPr>
              <w:t>1、</w:t>
            </w:r>
            <w:r>
              <w:rPr>
                <w:rFonts w:hint="eastAsia" w:ascii="宋体" w:hAnsi="宋体" w:eastAsia="宋体" w:cs="宋体"/>
                <w:sz w:val="20"/>
                <w:szCs w:val="20"/>
                <w:lang w:val="en-US" w:eastAsia="zh-CN"/>
              </w:rPr>
              <w:t>外壳采用铝合金材料，</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2、额定功率：≥60W；</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3、频率响应：116-17kHz；</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4、网络接口：标准RJ45输入；</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5、支持协议：TCP/IP,UDP,IGMP(组播)；</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6、喇叭单元：LF:5"；HF：4"                                                                                                                                     7、噪声声级：≤16dBA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8、电源适应范围：AC165V~250V/50Hz</w:t>
            </w:r>
          </w:p>
          <w:p w14:paraId="482D9D2A">
            <w:pPr>
              <w:widowControl w:val="0"/>
              <w:numPr>
                <w:ilvl w:val="0"/>
                <w:numId w:val="0"/>
              </w:numPr>
              <w:bidi w:val="0"/>
              <w:jc w:val="left"/>
              <w:rPr>
                <w:rFonts w:hint="eastAsia" w:ascii="宋体" w:hAnsi="宋体" w:eastAsia="宋体" w:cs="宋体"/>
                <w:sz w:val="20"/>
                <w:szCs w:val="20"/>
              </w:rPr>
            </w:pPr>
            <w:r>
              <w:rPr>
                <w:rFonts w:hint="eastAsia" w:ascii="宋体" w:hAnsi="宋体" w:cs="宋体"/>
                <w:i w:val="0"/>
                <w:snapToGrid w:val="0"/>
                <w:color w:val="000000"/>
                <w:kern w:val="0"/>
                <w:sz w:val="20"/>
                <w:szCs w:val="20"/>
                <w:lang w:val="en-US" w:eastAsia="zh-CN" w:bidi="ar-SA"/>
              </w:rPr>
              <w:t>9</w:t>
            </w:r>
            <w:r>
              <w:rPr>
                <w:rFonts w:hint="eastAsia" w:ascii="宋体" w:hAnsi="宋体" w:eastAsia="宋体" w:cs="宋体"/>
                <w:i w:val="0"/>
                <w:snapToGrid w:val="0"/>
                <w:color w:val="000000"/>
                <w:kern w:val="0"/>
                <w:sz w:val="20"/>
                <w:szCs w:val="20"/>
                <w:lang w:val="en-US" w:eastAsia="en-US" w:bidi="ar-SA"/>
              </w:rPr>
              <w:t>、</w:t>
            </w:r>
            <w:r>
              <w:rPr>
                <w:rFonts w:hint="eastAsia" w:ascii="宋体" w:hAnsi="宋体" w:eastAsia="宋体" w:cs="宋体"/>
                <w:sz w:val="20"/>
                <w:szCs w:val="20"/>
              </w:rPr>
              <w:t>可以远程配置网络广播音量；支持网络环境自适应，当网络情况比较差的时候，可启动缓冲和丢包重传；支持远程固件升级，减轻维护人员工作强度，方便工程维护和管理。</w:t>
            </w:r>
          </w:p>
          <w:p w14:paraId="6FAE2B14">
            <w:pPr>
              <w:widowControl w:val="0"/>
              <w:numPr>
                <w:ilvl w:val="0"/>
                <w:numId w:val="0"/>
              </w:numPr>
              <w:bidi w:val="0"/>
              <w:jc w:val="left"/>
              <w:rPr>
                <w:rFonts w:hint="eastAsia" w:ascii="宋体" w:hAnsi="宋体" w:eastAsia="宋体" w:cs="宋体"/>
                <w:sz w:val="20"/>
                <w:szCs w:val="20"/>
                <w:lang w:val="en-US" w:eastAsia="zh-CN"/>
              </w:rPr>
            </w:pPr>
            <w:r>
              <w:rPr>
                <w:rFonts w:hint="eastAsia" w:ascii="宋体" w:hAnsi="宋体" w:cs="宋体"/>
                <w:i w:val="0"/>
                <w:snapToGrid w:val="0"/>
                <w:color w:val="000000"/>
                <w:kern w:val="0"/>
                <w:sz w:val="20"/>
                <w:szCs w:val="20"/>
                <w:lang w:val="en-US" w:eastAsia="zh-CN" w:bidi="ar-SA"/>
              </w:rPr>
              <w:t>10</w:t>
            </w:r>
            <w:r>
              <w:rPr>
                <w:rFonts w:hint="eastAsia" w:ascii="宋体" w:hAnsi="宋体" w:eastAsia="宋体" w:cs="宋体"/>
                <w:i w:val="0"/>
                <w:snapToGrid w:val="0"/>
                <w:color w:val="000000"/>
                <w:kern w:val="0"/>
                <w:sz w:val="20"/>
                <w:szCs w:val="20"/>
                <w:lang w:val="en-US" w:eastAsia="zh-CN" w:bidi="ar-SA"/>
              </w:rPr>
              <w:t>、</w:t>
            </w:r>
            <w:r>
              <w:rPr>
                <w:rFonts w:hint="eastAsia" w:ascii="宋体" w:hAnsi="宋体" w:eastAsia="宋体" w:cs="宋体"/>
                <w:sz w:val="20"/>
                <w:szCs w:val="20"/>
              </w:rPr>
              <w:t>外壳采用铝合金材料，专业的表面处理工艺，防水防锈，全天候设计。</w:t>
            </w:r>
          </w:p>
          <w:p w14:paraId="71CBF1E3">
            <w:pPr>
              <w:widowControl w:val="0"/>
              <w:numPr>
                <w:ilvl w:val="0"/>
                <w:numId w:val="0"/>
              </w:numPr>
              <w:bidi w:val="0"/>
              <w:ind w:left="0" w:leftChars="0" w:firstLine="0" w:firstLineChars="0"/>
              <w:jc w:val="left"/>
              <w:rPr>
                <w:sz w:val="20"/>
                <w:szCs w:val="20"/>
                <w:vertAlign w:val="baseline"/>
              </w:rPr>
            </w:pPr>
            <w:r>
              <w:rPr>
                <w:rFonts w:hint="eastAsia" w:ascii="宋体" w:hAnsi="宋体" w:cs="宋体"/>
                <w:i w:val="0"/>
                <w:snapToGrid w:val="0"/>
                <w:color w:val="000000"/>
                <w:kern w:val="0"/>
                <w:sz w:val="20"/>
                <w:szCs w:val="20"/>
                <w:lang w:val="en-US" w:eastAsia="zh-CN" w:bidi="ar-SA"/>
              </w:rPr>
              <w:t>11</w:t>
            </w:r>
            <w:r>
              <w:rPr>
                <w:rFonts w:hint="eastAsia" w:ascii="宋体" w:hAnsi="宋体" w:eastAsia="宋体" w:cs="宋体"/>
                <w:i w:val="0"/>
                <w:snapToGrid w:val="0"/>
                <w:color w:val="000000"/>
                <w:kern w:val="0"/>
                <w:sz w:val="20"/>
                <w:szCs w:val="20"/>
                <w:lang w:val="en-US" w:eastAsia="en-US" w:bidi="ar-SA"/>
              </w:rPr>
              <w:t>、</w:t>
            </w:r>
            <w:r>
              <w:rPr>
                <w:rFonts w:hint="eastAsia" w:ascii="宋体" w:hAnsi="宋体" w:eastAsia="宋体" w:cs="宋体"/>
                <w:sz w:val="20"/>
                <w:szCs w:val="20"/>
              </w:rPr>
              <w:t>内置数字功率放大器，具有完善的保护功能，包括：过热保护、短路保护、输出直流保护、 过压欠压保护、开关机防冲击保护，保证运行的安全性与可靠性。</w:t>
            </w:r>
          </w:p>
        </w:tc>
        <w:tc>
          <w:tcPr>
            <w:tcW w:w="400" w:type="pct"/>
            <w:vAlign w:val="center"/>
          </w:tcPr>
          <w:p w14:paraId="33783B1B">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只</w:t>
            </w:r>
          </w:p>
        </w:tc>
        <w:tc>
          <w:tcPr>
            <w:tcW w:w="412" w:type="pct"/>
            <w:vAlign w:val="center"/>
          </w:tcPr>
          <w:p w14:paraId="602BC247">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4</w:t>
            </w:r>
          </w:p>
        </w:tc>
      </w:tr>
      <w:tr w14:paraId="69768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495AF5D5">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8</w:t>
            </w:r>
          </w:p>
        </w:tc>
        <w:tc>
          <w:tcPr>
            <w:tcW w:w="958" w:type="pct"/>
            <w:vAlign w:val="center"/>
          </w:tcPr>
          <w:p w14:paraId="601DB49B">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IP定压功放</w:t>
            </w:r>
          </w:p>
        </w:tc>
        <w:tc>
          <w:tcPr>
            <w:tcW w:w="2832" w:type="pct"/>
            <w:vAlign w:val="center"/>
          </w:tcPr>
          <w:p w14:paraId="6AA5D577">
            <w:pPr>
              <w:widowControl w:val="0"/>
              <w:numPr>
                <w:ilvl w:val="0"/>
                <w:numId w:val="0"/>
              </w:numPr>
              <w:bidi w:val="0"/>
              <w:jc w:val="left"/>
              <w:rPr>
                <w:sz w:val="20"/>
                <w:szCs w:val="20"/>
                <w:vertAlign w:val="baseline"/>
              </w:rPr>
            </w:pPr>
            <w:r>
              <w:rPr>
                <w:rFonts w:hint="eastAsia" w:ascii="宋体" w:hAnsi="宋体" w:eastAsia="宋体" w:cs="宋体"/>
                <w:i w:val="0"/>
                <w:snapToGrid w:val="0"/>
                <w:color w:val="000000"/>
                <w:kern w:val="0"/>
                <w:sz w:val="20"/>
                <w:szCs w:val="20"/>
                <w:lang w:val="en-US" w:eastAsia="zh-CN" w:bidi="ar-SA"/>
              </w:rPr>
              <w:t>1</w:t>
            </w:r>
            <w:r>
              <w:rPr>
                <w:rFonts w:hint="eastAsia" w:ascii="宋体" w:hAnsi="宋体" w:cs="宋体"/>
                <w:i w:val="0"/>
                <w:snapToGrid w:val="0"/>
                <w:color w:val="000000"/>
                <w:kern w:val="0"/>
                <w:sz w:val="20"/>
                <w:szCs w:val="20"/>
                <w:lang w:val="en-US" w:eastAsia="zh-CN" w:bidi="ar-SA"/>
              </w:rPr>
              <w:t>、</w:t>
            </w:r>
            <w:r>
              <w:rPr>
                <w:rFonts w:hint="eastAsia" w:ascii="宋体" w:hAnsi="宋体" w:eastAsia="宋体" w:cs="宋体"/>
                <w:sz w:val="20"/>
                <w:szCs w:val="20"/>
                <w:lang w:val="en-US" w:eastAsia="zh-CN"/>
              </w:rPr>
              <w:t>D类数字功率放大器。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具有MP3、Bluetooth播放功能,音量独立可调。</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3路话筒（TRS6.35）输入、≥3组(6路)线路输入，≥1路录音输出，≥1路消防信号输入，≥3路话筒音量、线路音量独立调节，话筒高、低音独立调节功能，≥3路话筒具有+48V幻像供电选择开关，≥1路话筒具有默音可调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≥1路短路报警强切接口，≥1路24V报警强切接口。</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采用100V定压输出、70V定压输出、定阻（8Ω）输出三种输出方式。</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≥6分区输出：可通过按键控制各分区通断，也可通过网络广播模块（需选配）远程控制各分区通断。</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≥1路RS485接口：实现RS485远程监控功能。通过广播管理系统主机可监控功放的工作模式、工作温度、输出电平、保护状态、工作电流等工作状态。</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可选配网络广播模块。</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网络音频信号优先或混音可选。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输出功率≥700W</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线路输入灵敏度：300mV±30mV。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话筒输入灵敏度：15mV±3mV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话筒音调：低音100Hz、高音10KHz ≥8dB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频率响应：120Hz~20KHz （+0.5dB~-3dB）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信噪比：线路 ≥82dB（A计权），话筒：≥72dB（A计权）</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16</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失真度：≤1%（@1KHz，额定输出功率）</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17</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功放输出调整率：400HZ ≤2；4KHZ ≤2.5</w:t>
            </w:r>
          </w:p>
        </w:tc>
        <w:tc>
          <w:tcPr>
            <w:tcW w:w="400" w:type="pct"/>
            <w:vAlign w:val="center"/>
          </w:tcPr>
          <w:p w14:paraId="5098C832">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4F879610">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11E8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3071BD61">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9</w:t>
            </w:r>
          </w:p>
        </w:tc>
        <w:tc>
          <w:tcPr>
            <w:tcW w:w="958" w:type="pct"/>
            <w:vAlign w:val="center"/>
          </w:tcPr>
          <w:p w14:paraId="4E9A7B43">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功放</w:t>
            </w:r>
          </w:p>
        </w:tc>
        <w:tc>
          <w:tcPr>
            <w:tcW w:w="2832" w:type="pct"/>
            <w:vAlign w:val="center"/>
          </w:tcPr>
          <w:p w14:paraId="333EBE8D">
            <w:pPr>
              <w:keepNext w:val="0"/>
              <w:keepLines w:val="0"/>
              <w:widowControl/>
              <w:suppressLineNumbers w:val="0"/>
              <w:jc w:val="left"/>
              <w:rPr>
                <w:rFonts w:hint="eastAsia" w:ascii="宋体" w:hAnsi="宋体" w:eastAsia="宋体" w:cs="宋体"/>
                <w:sz w:val="20"/>
                <w:szCs w:val="20"/>
                <w:lang w:val="en-US" w:eastAsia="zh-CN"/>
              </w:rPr>
            </w:pPr>
            <w:r>
              <w:rPr>
                <w:rFonts w:hint="eastAsia" w:ascii="宋体" w:hAnsi="宋体" w:eastAsia="宋体" w:cs="宋体"/>
                <w:i w:val="0"/>
                <w:snapToGrid w:val="0"/>
                <w:color w:val="000000"/>
                <w:kern w:val="0"/>
                <w:sz w:val="20"/>
                <w:szCs w:val="20"/>
                <w:lang w:val="en-US" w:eastAsia="zh-CN" w:bidi="ar-SA"/>
              </w:rPr>
              <w:t>1、</w:t>
            </w:r>
            <w:r>
              <w:rPr>
                <w:rFonts w:ascii="宋体" w:hAnsi="宋体" w:eastAsia="宋体" w:cs="宋体"/>
                <w:i w:val="0"/>
                <w:snapToGrid w:val="0"/>
                <w:color w:val="000000"/>
                <w:kern w:val="0"/>
                <w:sz w:val="20"/>
                <w:szCs w:val="20"/>
                <w:lang w:val="en-US" w:eastAsia="zh-CN" w:bidi="ar"/>
              </w:rPr>
              <w:t>具备电源软启动、短路、过载、直流、过热、变压器过热、DC漂移等多重故障检测与保护功能。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2、支持平台化管理功能，可以通过网络接入物联网运维管理平台，实现功放的关机、静音、故障报警，以及音频通道信号电压、电流和温度的实时监控</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3、支持联机自动识别型号、修改设备名和设备号、固件升级等功能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4、输入通道具有静音、增益、噪声门、延时、相位、分频和均衡功能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5、输出通道具有静音、增益、延时、相位、分频、均衡和压限功能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6、输入输出不少于7段参量均衡，可调增益范围-20dB至15dB（步进0.1dB），Q值0.404至28.852，滤波器模式：EQ，高架、低架、一阶全通、二阶全通，且具有直通/全直通/复位功能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7、输出高低通滤波器支持三种类型，6dB至48dB可调8阶衰减斜率</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8、不少于25个用户程序保存和调用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9、支持设备参数锁定和解锁</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10、额定功率：2×700W/8Ω，2×1050W/4Ω，桥接1×2100W/8Ω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11、频率响应：20Hz～20kHz（±1dB）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12、总谐波失真≤0.1%</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13、串音衰减≥70dB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14、增益差≤1dB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15、信噪比（A计权）≥100dB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16、阻尼系数（8Ω 20Hz-200Hz）≥250</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17、电压适应范围：AC110-242V，50Hz/60Hz</w:t>
            </w:r>
          </w:p>
          <w:p w14:paraId="5FA7D85C">
            <w:pPr>
              <w:widowControl w:val="0"/>
              <w:numPr>
                <w:ilvl w:val="0"/>
                <w:numId w:val="0"/>
              </w:numPr>
              <w:bidi w:val="0"/>
              <w:jc w:val="left"/>
              <w:rPr>
                <w:sz w:val="20"/>
                <w:szCs w:val="20"/>
                <w:vertAlign w:val="baseline"/>
              </w:rPr>
            </w:pPr>
            <w:r>
              <w:rPr>
                <w:rFonts w:hint="eastAsia" w:ascii="宋体" w:hAnsi="宋体" w:eastAsia="宋体" w:cs="宋体"/>
                <w:sz w:val="20"/>
                <w:szCs w:val="20"/>
                <w:lang w:val="en-US" w:eastAsia="zh-CN"/>
              </w:rPr>
              <w:t>18、通过第三方检测机构的安全测试一抗电强度测试，对电源端子与金属外壳之间进行测试，符合1500V AC，60S应无飞弧或击穿的试验条件。</w:t>
            </w:r>
          </w:p>
        </w:tc>
        <w:tc>
          <w:tcPr>
            <w:tcW w:w="400" w:type="pct"/>
            <w:vAlign w:val="center"/>
          </w:tcPr>
          <w:p w14:paraId="6BD8FF06">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5610D835">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w:t>
            </w:r>
          </w:p>
        </w:tc>
      </w:tr>
      <w:tr w14:paraId="5D4AC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79CAE2CE">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10</w:t>
            </w:r>
          </w:p>
        </w:tc>
        <w:tc>
          <w:tcPr>
            <w:tcW w:w="958" w:type="pct"/>
            <w:vAlign w:val="center"/>
          </w:tcPr>
          <w:p w14:paraId="2C1FB710">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壁挂扬声器</w:t>
            </w:r>
          </w:p>
        </w:tc>
        <w:tc>
          <w:tcPr>
            <w:tcW w:w="2832" w:type="pct"/>
            <w:vAlign w:val="center"/>
          </w:tcPr>
          <w:p w14:paraId="0861BEFD">
            <w:pPr>
              <w:widowControl w:val="0"/>
              <w:bidi w:val="0"/>
              <w:jc w:val="left"/>
              <w:rPr>
                <w:sz w:val="20"/>
                <w:szCs w:val="20"/>
                <w:vertAlign w:val="baseline"/>
              </w:rPr>
            </w:pPr>
            <w:r>
              <w:rPr>
                <w:rFonts w:hint="eastAsia" w:ascii="宋体" w:hAnsi="宋体" w:eastAsia="宋体" w:cs="宋体"/>
                <w:sz w:val="20"/>
                <w:szCs w:val="20"/>
                <w:lang w:val="en-US" w:eastAsia="zh-CN"/>
              </w:rPr>
              <w:t>1、壁挂音箱采用一只优质5吋 全频 + Mylar 高音扬声器，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2、可接100V定压输入和8欧定阻输入。</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3、100V输入电压 额定功率 ：15W/10W。</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4、定阻接入额定功率：15W；额定阻抗 8Ω。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5、灵敏度 87dB±3dB。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6、频响范围 130Hz-17KHz（±10%）</w:t>
            </w:r>
          </w:p>
        </w:tc>
        <w:tc>
          <w:tcPr>
            <w:tcW w:w="400" w:type="pct"/>
            <w:vAlign w:val="center"/>
          </w:tcPr>
          <w:p w14:paraId="4477E0E2">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只</w:t>
            </w:r>
          </w:p>
        </w:tc>
        <w:tc>
          <w:tcPr>
            <w:tcW w:w="412" w:type="pct"/>
            <w:vAlign w:val="center"/>
          </w:tcPr>
          <w:p w14:paraId="7448B30B">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5</w:t>
            </w:r>
          </w:p>
        </w:tc>
      </w:tr>
      <w:tr w14:paraId="6EE7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73B81A7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11</w:t>
            </w:r>
          </w:p>
        </w:tc>
        <w:tc>
          <w:tcPr>
            <w:tcW w:w="958" w:type="pct"/>
            <w:vAlign w:val="center"/>
          </w:tcPr>
          <w:p w14:paraId="2FC71BCD">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智能语音播控台</w:t>
            </w:r>
          </w:p>
        </w:tc>
        <w:tc>
          <w:tcPr>
            <w:tcW w:w="2832" w:type="pct"/>
            <w:vAlign w:val="bottom"/>
          </w:tcPr>
          <w:p w14:paraId="473EA7F9">
            <w:pPr>
              <w:widowControl w:val="0"/>
              <w:bidi w:val="0"/>
              <w:jc w:val="left"/>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1、≥7寸高清IPS液晶屏，工业级设计，精致美观；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2、可对全区，分区，指定终端发起广播寻呼喊话；</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3、支持麦克风，外接输入音源自由切换；</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4、支持本地U盘和服务器媒体库点播，指定终端或分区播放；</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5、支持在播放界面显示文件名称，播放区域范围，播放总时长，当前文件时长，用户体验更友好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6、支持外部音源采播，直接采集外部音频广播；</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7、支持寻呼和网络文件广播混音输入，双路并行至终端或分区播放，混音音量比例可调；</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8、支持同时创建≥30路实时广播，同时开启≥6路平行广播，无需登录客户端，具备强大的播控能力；</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9、可对分组或终端进行环境音实况监听，支持分组循环监听，灵活设置监听时间；</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10、可进行远程升级和本地USB升级；</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11、支持本地静态IP和DHCP双配置，跨网段，跨路由，灵活方便；</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12、具有无操作进入屏保与休眠，屏保状态具有播控浮窗功能；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13、支持多种界面主题风格自由切换。</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14、电源供电：DC15V/3A（电源适配器）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15、网络传输速率：10M/100M</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16、喇叭额定输出功率：3W/8Ω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17、广播延时：端到端≤40ms</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18、工作温度:-10℃～45℃</w:t>
            </w:r>
          </w:p>
        </w:tc>
        <w:tc>
          <w:tcPr>
            <w:tcW w:w="400" w:type="pct"/>
            <w:vAlign w:val="center"/>
          </w:tcPr>
          <w:p w14:paraId="17332A2C">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14D270EF">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4</w:t>
            </w:r>
          </w:p>
        </w:tc>
      </w:tr>
      <w:tr w14:paraId="44B7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F3A7E85">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12</w:t>
            </w:r>
          </w:p>
        </w:tc>
        <w:tc>
          <w:tcPr>
            <w:tcW w:w="958" w:type="pct"/>
            <w:vAlign w:val="center"/>
          </w:tcPr>
          <w:p w14:paraId="5638A8E9">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无线头戴话筒</w:t>
            </w:r>
          </w:p>
        </w:tc>
        <w:tc>
          <w:tcPr>
            <w:tcW w:w="2832" w:type="pct"/>
            <w:vAlign w:val="top"/>
          </w:tcPr>
          <w:p w14:paraId="4A27871C">
            <w:pPr>
              <w:widowControl w:val="0"/>
              <w:numPr>
                <w:ilvl w:val="0"/>
                <w:numId w:val="0"/>
              </w:numPr>
              <w:bidi w:val="0"/>
              <w:ind w:left="0" w:leftChars="0" w:firstLine="0" w:firstLineChars="0"/>
              <w:jc w:val="left"/>
              <w:rPr>
                <w:sz w:val="20"/>
                <w:szCs w:val="20"/>
                <w:vertAlign w:val="baseline"/>
              </w:rPr>
            </w:pPr>
            <w:r>
              <w:rPr>
                <w:rFonts w:hint="eastAsia" w:ascii="宋体" w:hAnsi="宋体" w:eastAsia="宋体" w:cs="宋体"/>
                <w:i w:val="0"/>
                <w:snapToGrid w:val="0"/>
                <w:color w:val="000000"/>
                <w:kern w:val="0"/>
                <w:sz w:val="20"/>
                <w:szCs w:val="20"/>
                <w:lang w:val="en-US" w:eastAsia="en-US" w:bidi="ar-SA"/>
              </w:rPr>
              <w:t>1、</w:t>
            </w:r>
            <w:r>
              <w:rPr>
                <w:rFonts w:hint="eastAsia" w:ascii="宋体" w:hAnsi="宋体" w:eastAsia="宋体" w:cs="宋体"/>
                <w:sz w:val="20"/>
                <w:szCs w:val="20"/>
                <w:lang w:val="en-US" w:eastAsia="zh-CN"/>
              </w:rPr>
              <w:t>RJ45接口连接互联网，通过TCP/IP协议可对接到物联网平台，进行多频段设备集中控制、状态显示、设备名称自定义、无干扰频率一键部署等；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支持通过PC、平板客户端软件对多频段设备进行集中管控，自定义设备名称、通道名称、自定义排序，无干扰频率一键下发至在线设备，并支持设备加减锁、通道静音控制、接收模式选择、预设群组和通道选择、自定义频率、输出音量设置、静噪设置等，并支持通道射频、音频、发射器电量等实时监测；</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3、PC、平板客户端软件适配windows、安卓、鸿蒙等常用系统；将频谱测试与无线传输系统高效结合和互动，图形化实时监测当前环境射频详情，并自动筛选不受干扰的频点，实现无线系统的稳定运行；</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4、使用EIA标准金属机箱，采用天线分集式接收线路、CPU控制选讯+导频识别功能；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5、频率调节采用无互调干扰群组预设、用户自定义调节等方式，单机≥2000个频率可供客户调节；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6、4.6寸LCD显示器可实时显示群组、频率、电池电量、静音位准、电子音量等信息；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7、各通道支持SQ(降噪)六档独立调节；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8、接收机内置开关电源，由AC 220V市电直接供电，并支持电源环出功能；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9、接收机天线座提供偏置电压，可连接有源对数周期天线提升接收距离和信号质量。并支持射频级联功能，无需天线分配器即可实现≤8套叠机使用。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10、具有3个XLR平衡输出、4个TNC-K天线端口、1个RJ45网口，MIC/LINE输出切换开关；</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11、通道数量：两通道、接收频率范围：UHF530.000-690.000MHz（常规 530.000MHz-580.000MHz）、音频频率响应（线路）：40Hz-18KHz、总谐波失真（THD+N）:≤0.5%(10mV@1kHz)、延迟：≤5ms（典型值）、最大输出电平：≥+10dBV、动态范围：≥100dBA、最大声压级：≥134dB spl</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12、发射器采用电容式拾音头、指向性：全向、载波功率：两档可调、音频增益：三档可调、显示方式：TFT多色显示、电源：2×AA碱性电池。</w:t>
            </w:r>
          </w:p>
        </w:tc>
        <w:tc>
          <w:tcPr>
            <w:tcW w:w="400" w:type="pct"/>
            <w:vAlign w:val="center"/>
          </w:tcPr>
          <w:p w14:paraId="781392B6">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65A2FC66">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w:t>
            </w:r>
          </w:p>
        </w:tc>
      </w:tr>
      <w:tr w14:paraId="7BCC3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06D8DDD8">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13</w:t>
            </w:r>
          </w:p>
        </w:tc>
        <w:tc>
          <w:tcPr>
            <w:tcW w:w="958" w:type="pct"/>
            <w:vAlign w:val="center"/>
          </w:tcPr>
          <w:p w14:paraId="097F5795">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IP定压功放</w:t>
            </w:r>
          </w:p>
        </w:tc>
        <w:tc>
          <w:tcPr>
            <w:tcW w:w="2832" w:type="pct"/>
            <w:vAlign w:val="center"/>
          </w:tcPr>
          <w:p w14:paraId="43D50CBB">
            <w:pPr>
              <w:widowControl w:val="0"/>
              <w:bidi w:val="0"/>
              <w:jc w:val="left"/>
              <w:rPr>
                <w:sz w:val="20"/>
                <w:szCs w:val="20"/>
                <w:vertAlign w:val="baseline"/>
              </w:rPr>
            </w:pPr>
            <w:r>
              <w:rPr>
                <w:rFonts w:hint="eastAsia" w:ascii="宋体" w:hAnsi="宋体" w:eastAsia="宋体" w:cs="宋体"/>
                <w:sz w:val="20"/>
                <w:szCs w:val="20"/>
                <w:lang w:val="en-US" w:eastAsia="zh-CN"/>
              </w:rPr>
              <w:t>1、D类数字功率放大器。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2、具有MP3、Bluetooth播放功能,音量独立可调。</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3路话筒（TRS6.35）输入、≥3组(6路)线路输入，≥1路录音输出，≥1路消防信号输入，≥3路话筒音量、线路音量独立调节，话筒高、低音独立调节功能，≥3路话筒具有+48V幻像供电选择开关，≥1路话筒具有默音可调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4、≥1路短路报警强切接口，≥1路24V报警强切接口。</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5、采用100V定压输出、70V定压输出、定阻（8Ω）输出三种输出方式。</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6、≥6分区输出：可通过按键控制各分区通断，也可通过网络广播模块（需选配）远程控制各分区通断。</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7、≥1路RS485接口：实现RS485远程监控功能。通过广播管理系统主机可监控功放的工作模式、工作温度、输出电平、保护状态、工作电流等工作状态。</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8、可选配网络广播模块。</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9、网络音频信号优先或混音可选。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10、输出功率：300W</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11、线路输入灵敏度：300mV±30mV。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12、话筒输入灵敏度：15mV±3mV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13、话筒音调：低音100Hz、高音10KHz ≥8dB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14、频率响应：120Hz~20KHz （+0.5dB~-3dB）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15、信噪比：线路 ≥82dB（A计权），话筒：≥72dB（A计权）</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16、失真度：≤1%（@1KHz，额定输出功率）</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17、功放输出调整率：400HZ ≤2；4KHZ ≤2.5</w:t>
            </w:r>
          </w:p>
        </w:tc>
        <w:tc>
          <w:tcPr>
            <w:tcW w:w="400" w:type="pct"/>
            <w:vAlign w:val="center"/>
          </w:tcPr>
          <w:p w14:paraId="3550D0E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427ED660">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3E6C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4300E04">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14</w:t>
            </w:r>
          </w:p>
        </w:tc>
        <w:tc>
          <w:tcPr>
            <w:tcW w:w="958" w:type="pct"/>
            <w:vAlign w:val="center"/>
          </w:tcPr>
          <w:p w14:paraId="376C4396">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IP智能语音播控台</w:t>
            </w:r>
          </w:p>
        </w:tc>
        <w:tc>
          <w:tcPr>
            <w:tcW w:w="2832" w:type="pct"/>
            <w:vAlign w:val="bottom"/>
          </w:tcPr>
          <w:p w14:paraId="4C8D99E0">
            <w:pPr>
              <w:widowControl w:val="0"/>
              <w:bidi w:val="0"/>
              <w:jc w:val="left"/>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1、≥7寸高清IPS液晶屏，工业级设计，精致美观；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2、可对全区，分区，指定终端发起广播寻呼喊话；</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3、支持麦克风，外接输入音源自由切换；</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4、支持本地U盘和服务器媒体库点播，指定终端或分区播放；</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5、支持在播放界面显示文件名称，播放区域范围，播放总时长，当前文件时长，用户体验更友好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6、支持外部音源采播，直接采集外部音频广播；</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7、支持寻呼和网络文件广播混音输入，双路并行至终端或分区播放，混音音量比例可调；</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8、支持同时创建30路实时广播，同时开启6路平行广播，无需登录客户端，具备强大的播控能力；</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9、可对分组或终端进行环境音实况监听，支持分组循环监听，灵活设置监听时间；</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10、可进行远程升级和本地USB升级；</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11、支持本地静态IP和DHCP双配置，跨网段，跨路由，灵活方便；</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12、具有无操作进入屏保与休眠，屏保状态具有播控浮窗功能；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13、支持多种界面主题风格自由切换。</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14、电源供电：DC15V/3A（电源适配器）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15、网络传输速率：10M/100M</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16、喇叭额定输出功率：3W/8Ω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17、广播延时：端到端≤40ms</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18、工作温度:-10℃～45℃</w:t>
            </w:r>
          </w:p>
        </w:tc>
        <w:tc>
          <w:tcPr>
            <w:tcW w:w="400" w:type="pct"/>
            <w:vAlign w:val="center"/>
          </w:tcPr>
          <w:p w14:paraId="25E6A2D6">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734C13CB">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2864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03DA9A91">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15</w:t>
            </w:r>
          </w:p>
        </w:tc>
        <w:tc>
          <w:tcPr>
            <w:tcW w:w="958" w:type="pct"/>
            <w:vAlign w:val="center"/>
          </w:tcPr>
          <w:p w14:paraId="35AB454B">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有线会议话筒</w:t>
            </w:r>
          </w:p>
        </w:tc>
        <w:tc>
          <w:tcPr>
            <w:tcW w:w="2832" w:type="pct"/>
            <w:vAlign w:val="center"/>
          </w:tcPr>
          <w:p w14:paraId="6A66E4FC">
            <w:pPr>
              <w:widowControl w:val="0"/>
              <w:bidi w:val="0"/>
              <w:jc w:val="left"/>
              <w:rPr>
                <w:sz w:val="20"/>
                <w:szCs w:val="20"/>
                <w:vertAlign w:val="baseline"/>
              </w:rPr>
            </w:pPr>
            <w:r>
              <w:rPr>
                <w:rFonts w:hint="eastAsia" w:ascii="宋体" w:hAnsi="宋体" w:eastAsia="宋体" w:cs="宋体"/>
                <w:sz w:val="20"/>
                <w:szCs w:val="20"/>
                <w:lang w:val="en-US" w:eastAsia="zh-CN"/>
              </w:rPr>
              <w:t>1、全金属结构，抗干扰;</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2、双软管鹅颈式话筒杆，管体长度≥400mm；</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3、换能方式：电容式；</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4、咪芯规格：≥Φ9.7mm；</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5、咪芯数量：≥2颗、阵列式拾音；</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6、频率响应：40Hz-16KHz；</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7、灵敏度：-29dB±3dB（@1KHz，0 dB=1v/Pa）；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8、指向性： 心形；</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9、最大声压级：≥114dB ；</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10、输出阻抗：≤100Ω；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11、供电：48V平衡幻象；</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12、指示灯：红色LED；</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13、消耗电流：≤10mA；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14、具有按键开关；</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15、输出接口：XLR公三针。</w:t>
            </w:r>
          </w:p>
        </w:tc>
        <w:tc>
          <w:tcPr>
            <w:tcW w:w="400" w:type="pct"/>
            <w:vAlign w:val="center"/>
          </w:tcPr>
          <w:p w14:paraId="6B28BFD4">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4E729D8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4</w:t>
            </w:r>
          </w:p>
        </w:tc>
      </w:tr>
      <w:tr w14:paraId="7867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17B811C7">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16</w:t>
            </w:r>
          </w:p>
        </w:tc>
        <w:tc>
          <w:tcPr>
            <w:tcW w:w="958" w:type="pct"/>
            <w:vAlign w:val="center"/>
          </w:tcPr>
          <w:p w14:paraId="51452E05">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编码器</w:t>
            </w:r>
          </w:p>
        </w:tc>
        <w:tc>
          <w:tcPr>
            <w:tcW w:w="2832" w:type="pct"/>
            <w:vAlign w:val="bottom"/>
          </w:tcPr>
          <w:p w14:paraId="1A26B3D2">
            <w:pPr>
              <w:widowControl w:val="0"/>
              <w:bidi w:val="0"/>
              <w:jc w:val="left"/>
              <w:rPr>
                <w:sz w:val="20"/>
                <w:szCs w:val="20"/>
                <w:vertAlign w:val="baseline"/>
              </w:rPr>
            </w:pPr>
            <w:r>
              <w:rPr>
                <w:rFonts w:hint="eastAsia" w:ascii="宋体" w:hAnsi="宋体" w:eastAsia="宋体" w:cs="宋体"/>
                <w:sz w:val="20"/>
                <w:szCs w:val="20"/>
                <w:lang w:val="en-US" w:eastAsia="zh-CN"/>
              </w:rPr>
              <w:t>1、支持48k无损音频流编码，通过IP广播系统将音频流传送到指定终端进行播放；</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2、支持10分区和全区编码任务控制，快速启动采播任务至终端播放，具备相应指示灯；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3、支持3路MIC输入和3路线路输入，配备独立音量调节旋钮，可灵活控制；</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4、支持蓝牙、USB、AUX输入，蓝牙支持本地控制上一曲/下一曲/播放/停止操作；</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5、具备短路输入输出</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6、带监听喇叭，可监听播放的任务内容。带一个监听音量控制旋钮，声音大小可调节。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7、自带2路电源输出控制，根据广播状态自动控制外接设备的电源开与关。</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8、支持网络远程升级，可通过网络和串口进行设备网络参数配置；</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9、支持串口扩展，1路RS232串行输入输出接口，可与外部音源设备通讯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10、具有LED状态指示灯，设备状态实时可见。</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11、电源输入：AC185V~265V/50Hz</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12、电源输出：AC220V，额定负载功率500W</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13、网络传输速率：10M/100M</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14、喇叭额定输出功率：3W/8Ω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15、广播延时：端到端≤40ms</w:t>
            </w:r>
          </w:p>
        </w:tc>
        <w:tc>
          <w:tcPr>
            <w:tcW w:w="400" w:type="pct"/>
            <w:vAlign w:val="center"/>
          </w:tcPr>
          <w:p w14:paraId="595C5204">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355FC166">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508F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5E6659B8">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17</w:t>
            </w:r>
          </w:p>
        </w:tc>
        <w:tc>
          <w:tcPr>
            <w:tcW w:w="958" w:type="pct"/>
            <w:vAlign w:val="center"/>
          </w:tcPr>
          <w:p w14:paraId="037F11D2">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报警器</w:t>
            </w:r>
          </w:p>
        </w:tc>
        <w:tc>
          <w:tcPr>
            <w:tcW w:w="2832" w:type="pct"/>
            <w:vAlign w:val="top"/>
          </w:tcPr>
          <w:p w14:paraId="3E1F99F5">
            <w:pPr>
              <w:widowControl w:val="0"/>
              <w:bidi w:val="0"/>
              <w:jc w:val="left"/>
              <w:rPr>
                <w:sz w:val="20"/>
                <w:szCs w:val="20"/>
                <w:vertAlign w:val="baseline"/>
              </w:rPr>
            </w:pPr>
            <w:r>
              <w:rPr>
                <w:rFonts w:hint="eastAsia" w:ascii="宋体" w:hAnsi="宋体" w:eastAsia="宋体" w:cs="宋体"/>
                <w:sz w:val="20"/>
                <w:szCs w:val="20"/>
                <w:lang w:val="en-US" w:eastAsia="zh-CN"/>
              </w:rPr>
              <w:t>1、≥32路网络报警输入，有信号输入时，相应通道指示灯亮；</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2、≥8路网络报警输出，低电平闭合信号；</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3、设备IP地址具有复位按钮，在丢失IP地址时，可恢复初始设置；</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4、报警信号优先，自动强插，系统可设置自定义优先级别；</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5、设备电源采用开关电源设计，AC100~240V电压都能正常工作；</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6、支持网络远程升级；</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7、可通过IP网络广播系统灵活配置联动任务，消防路数随意扩展，根据不同地点不同警源自由设置。</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8、电源供电：AC100V~240V/50Hz</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9、网络传输速率：10M/100Mbps</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10、信号输入输出方式：KF350R-3.5</w:t>
            </w:r>
          </w:p>
        </w:tc>
        <w:tc>
          <w:tcPr>
            <w:tcW w:w="400" w:type="pct"/>
            <w:vAlign w:val="center"/>
          </w:tcPr>
          <w:p w14:paraId="0DF96285">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0D48D1F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1855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72B2D04D">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18</w:t>
            </w:r>
          </w:p>
        </w:tc>
        <w:tc>
          <w:tcPr>
            <w:tcW w:w="958" w:type="pct"/>
            <w:vAlign w:val="center"/>
          </w:tcPr>
          <w:p w14:paraId="373CA872">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电源时序器</w:t>
            </w:r>
          </w:p>
        </w:tc>
        <w:tc>
          <w:tcPr>
            <w:tcW w:w="2832" w:type="pct"/>
            <w:vAlign w:val="center"/>
          </w:tcPr>
          <w:p w14:paraId="133A38E7">
            <w:pPr>
              <w:widowControl w:val="0"/>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1、16路电源输出，时序开关控制，顺序开启，反序关闭。</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2、控制口：短路信号输入，可将时序开关外接，方便与其他系统联动。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3、单路最大电源电流≥10A；16路电源总电流≥40A。</w:t>
            </w:r>
          </w:p>
          <w:p w14:paraId="1888A64A">
            <w:pPr>
              <w:widowControl w:val="0"/>
              <w:bidi w:val="0"/>
              <w:jc w:val="left"/>
              <w:rPr>
                <w:sz w:val="20"/>
                <w:szCs w:val="20"/>
                <w:vertAlign w:val="baseline"/>
              </w:rPr>
            </w:pPr>
            <w:r>
              <w:rPr>
                <w:rFonts w:hint="eastAsia" w:ascii="宋体" w:hAnsi="宋体" w:eastAsia="宋体" w:cs="宋体"/>
                <w:sz w:val="20"/>
                <w:szCs w:val="20"/>
                <w:lang w:val="en-US" w:eastAsia="zh-CN"/>
              </w:rPr>
              <w:t>4、硬件接口：RS232控制口×1；RS422数据接口×2。</w:t>
            </w:r>
          </w:p>
        </w:tc>
        <w:tc>
          <w:tcPr>
            <w:tcW w:w="400" w:type="pct"/>
            <w:vAlign w:val="center"/>
          </w:tcPr>
          <w:p w14:paraId="6CD4F00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2E16D547">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2F87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264832A8">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19</w:t>
            </w:r>
          </w:p>
        </w:tc>
        <w:tc>
          <w:tcPr>
            <w:tcW w:w="958" w:type="pct"/>
            <w:vAlign w:val="center"/>
          </w:tcPr>
          <w:p w14:paraId="0DFBAC04">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终端解码器</w:t>
            </w:r>
          </w:p>
        </w:tc>
        <w:tc>
          <w:tcPr>
            <w:tcW w:w="2832" w:type="pct"/>
            <w:vAlign w:val="center"/>
          </w:tcPr>
          <w:p w14:paraId="6B35DC73">
            <w:pPr>
              <w:widowControl w:val="0"/>
              <w:numPr>
                <w:ilvl w:val="0"/>
                <w:numId w:val="6"/>
              </w:numPr>
              <w:bidi w:val="0"/>
              <w:jc w:val="left"/>
              <w:rPr>
                <w:sz w:val="20"/>
                <w:szCs w:val="20"/>
                <w:vertAlign w:val="baseline"/>
              </w:rPr>
            </w:pPr>
            <w:r>
              <w:rPr>
                <w:rFonts w:hint="eastAsia" w:ascii="宋体" w:hAnsi="宋体" w:eastAsia="宋体" w:cs="宋体"/>
                <w:sz w:val="20"/>
                <w:szCs w:val="20"/>
                <w:lang w:val="en-US" w:eastAsia="zh-CN"/>
              </w:rPr>
              <w:t>内置1路网络硬件音频解码模块，支持TCP/IP、UDP、IGMP(组播)协议，实现网络化传输16位CD音质的音频信号，可远程调整音量和IP地址。</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2、带本地话筒和线路扩音功能，且话筒、线路音量单独可调，带默音功能。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3、带有24V信号和短路信号报警输入接口。</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4、一路话筒输入、一组线路信号输入、一组线路信号输出。</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5、带优先级切换功能，可以自主选择网络信号优先或网络和本地信号混音输出</w:t>
            </w:r>
            <w:r>
              <w:rPr>
                <w:rFonts w:hint="eastAsia" w:ascii="宋体" w:hAnsi="宋体" w:cs="宋体"/>
                <w:sz w:val="20"/>
                <w:szCs w:val="20"/>
                <w:lang w:val="en-US" w:eastAsia="zh-CN"/>
              </w:rPr>
              <w:t>，</w:t>
            </w:r>
            <w:r>
              <w:rPr>
                <w:rFonts w:hint="eastAsia" w:ascii="宋体" w:hAnsi="宋体" w:eastAsia="宋体" w:cs="宋体"/>
                <w:sz w:val="20"/>
                <w:szCs w:val="20"/>
                <w:lang w:val="en-US" w:eastAsia="zh-CN"/>
              </w:rPr>
              <w:t>提供网络优先/混音的切换功能实物照片</w:t>
            </w:r>
            <w:r>
              <w:rPr>
                <w:rFonts w:hint="eastAsia" w:ascii="宋体" w:hAnsi="宋体" w:cs="宋体"/>
                <w:sz w:val="20"/>
                <w:szCs w:val="20"/>
                <w:lang w:val="en-US" w:eastAsia="zh-CN"/>
              </w:rPr>
              <w:t>。</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6、带USB接口，接入U盘后，用于播放本地节目。</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7、支持四线制和三线制消防强切，内置24V强切电源。</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8、带短路输出，可实现外部设备联动控制。</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 xml:space="preserve">9、可选配信息推送功能，系统崩溃或网络瘫痪后，也可以自动执行任务，保证系统的平稳运行。       </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10、信噪比：＞80dB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11、支持协议：ARP、UDP、TCP/IP、ICMP、IGMP(组播)</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12、网络输入接口：RJ45×1</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13、音频输出口：RCA×2</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14、本地音频输入口：RCA×2</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15、外接功放输出电源插座：（10A）×1</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16、本地扩声话筒输入口：TRS×1</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17、报警输入接口：短路、24V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 xml:space="preserve">18、短路输出接口：1个                                                              </w:t>
            </w:r>
          </w:p>
        </w:tc>
        <w:tc>
          <w:tcPr>
            <w:tcW w:w="400" w:type="pct"/>
            <w:vAlign w:val="center"/>
          </w:tcPr>
          <w:p w14:paraId="1CD396F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套</w:t>
            </w:r>
          </w:p>
        </w:tc>
        <w:tc>
          <w:tcPr>
            <w:tcW w:w="412" w:type="pct"/>
            <w:vAlign w:val="center"/>
          </w:tcPr>
          <w:p w14:paraId="3C07CB6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w:t>
            </w:r>
          </w:p>
        </w:tc>
      </w:tr>
      <w:tr w14:paraId="66121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403EF17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20</w:t>
            </w:r>
          </w:p>
        </w:tc>
        <w:tc>
          <w:tcPr>
            <w:tcW w:w="958" w:type="pct"/>
            <w:vAlign w:val="center"/>
          </w:tcPr>
          <w:p w14:paraId="25B7B198">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调音台</w:t>
            </w:r>
          </w:p>
        </w:tc>
        <w:tc>
          <w:tcPr>
            <w:tcW w:w="2832" w:type="pct"/>
            <w:vAlign w:val="center"/>
          </w:tcPr>
          <w:p w14:paraId="5E3D2B4E">
            <w:pPr>
              <w:widowControl w:val="0"/>
              <w:bidi w:val="0"/>
              <w:jc w:val="left"/>
              <w:rPr>
                <w:sz w:val="20"/>
                <w:szCs w:val="20"/>
                <w:vertAlign w:val="baseline"/>
              </w:rPr>
            </w:pPr>
            <w:r>
              <w:rPr>
                <w:rFonts w:hint="eastAsia" w:ascii="宋体" w:hAnsi="宋体" w:eastAsia="宋体" w:cs="宋体"/>
                <w:sz w:val="20"/>
                <w:szCs w:val="20"/>
                <w:lang w:val="en-US" w:eastAsia="zh-CN"/>
              </w:rPr>
              <w:t>1、8路MIC/LINE（COMBO XLR接口），1组立体声输入（XLR接口），1组立体声RCA输入，1路USB输入</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2、8路插入点（6.35接口）</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3、2路立体声输出，2路编组输出，2路辅助输出，1路立体声监听输出，1路立体声耳机输出，1组立体声录音输出</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4、效果可以发送至辅助输出，编组输出与立体声输出</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5、多媒体输入可以发送至辅助输出、编组输出与立体声输出</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6、每路话放带低切功能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7、支持蓝牙接收功能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8、内置</w:t>
            </w:r>
            <w:r>
              <w:rPr>
                <w:rFonts w:hint="eastAsia" w:ascii="宋体" w:hAnsi="宋体" w:cs="宋体"/>
                <w:sz w:val="20"/>
                <w:szCs w:val="20"/>
                <w:lang w:val="en-US" w:eastAsia="zh-CN"/>
              </w:rPr>
              <w:t>不低于</w:t>
            </w:r>
            <w:r>
              <w:rPr>
                <w:rFonts w:hint="eastAsia" w:ascii="宋体" w:hAnsi="宋体" w:eastAsia="宋体" w:cs="宋体"/>
                <w:sz w:val="20"/>
                <w:szCs w:val="20"/>
                <w:lang w:val="en-US" w:eastAsia="zh-CN"/>
              </w:rPr>
              <w:t>99种DSP效果器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9、辅助1支持推子前后切换</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10、主输出7段图示均衡器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11、14个60mm行程推子</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12、支持通道监听</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13、支持声音控制（话筒优先）</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14、频率响应：20Hz～20kHz（+1dB，-3dB）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15、总谐波失真：≤0.1%</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16、信噪比≥95dB（A计权）</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17、增益≥70dB</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18、串音&gt;60dB（@1kHz）</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19、最大输入电平≥18dBu</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20、最大输出电平≥18dBu</w:t>
            </w:r>
          </w:p>
        </w:tc>
        <w:tc>
          <w:tcPr>
            <w:tcW w:w="400" w:type="pct"/>
            <w:vAlign w:val="center"/>
          </w:tcPr>
          <w:p w14:paraId="225DDFE6">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7B629284">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3</w:t>
            </w:r>
          </w:p>
        </w:tc>
      </w:tr>
      <w:tr w14:paraId="2B45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47FE9F66">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21</w:t>
            </w:r>
          </w:p>
        </w:tc>
        <w:tc>
          <w:tcPr>
            <w:tcW w:w="958" w:type="pct"/>
            <w:vAlign w:val="center"/>
          </w:tcPr>
          <w:p w14:paraId="16D313E1">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播音话筒</w:t>
            </w:r>
          </w:p>
        </w:tc>
        <w:tc>
          <w:tcPr>
            <w:tcW w:w="2832" w:type="pct"/>
            <w:vAlign w:val="center"/>
          </w:tcPr>
          <w:p w14:paraId="57B23AC3">
            <w:pPr>
              <w:widowControl w:val="0"/>
              <w:bidi w:val="0"/>
              <w:jc w:val="left"/>
              <w:rPr>
                <w:sz w:val="20"/>
                <w:szCs w:val="20"/>
                <w:vertAlign w:val="baseline"/>
              </w:rPr>
            </w:pPr>
            <w:r>
              <w:rPr>
                <w:rFonts w:hint="eastAsia" w:ascii="宋体" w:hAnsi="宋体" w:eastAsia="宋体" w:cs="宋体"/>
                <w:sz w:val="20"/>
                <w:szCs w:val="20"/>
                <w:lang w:val="en-US" w:eastAsia="zh-CN"/>
              </w:rPr>
              <w:t>1、全金属设计，可有效屏蔽射频干扰；</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2、带音乐前奏音功能；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3、轻触式开关；</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4、咪杆具有红色工作状态指示光环灯；</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5、</w:t>
            </w:r>
            <w:r>
              <w:rPr>
                <w:rFonts w:hint="eastAsia" w:ascii="宋体" w:hAnsi="宋体" w:eastAsia="宋体" w:cs="宋体"/>
                <w:sz w:val="20"/>
                <w:szCs w:val="20"/>
                <w:lang w:val="en-US" w:eastAsia="zh-CN"/>
              </w:rPr>
              <w:t>换能方式： 电容式；</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6、</w:t>
            </w:r>
            <w:r>
              <w:rPr>
                <w:rFonts w:hint="eastAsia" w:ascii="宋体" w:hAnsi="宋体" w:eastAsia="宋体" w:cs="宋体"/>
                <w:sz w:val="20"/>
                <w:szCs w:val="20"/>
                <w:lang w:val="en-US" w:eastAsia="zh-CN"/>
              </w:rPr>
              <w:t>指 向 性： 心型指向；</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7、</w:t>
            </w:r>
            <w:r>
              <w:rPr>
                <w:rFonts w:hint="eastAsia" w:ascii="宋体" w:hAnsi="宋体" w:eastAsia="宋体" w:cs="宋体"/>
                <w:sz w:val="20"/>
                <w:szCs w:val="20"/>
                <w:lang w:val="en-US" w:eastAsia="zh-CN"/>
              </w:rPr>
              <w:t>频率响应： 40Hz-18KHz；</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8</w:t>
            </w:r>
            <w:r>
              <w:rPr>
                <w:rFonts w:hint="eastAsia" w:ascii="宋体" w:hAnsi="宋体" w:eastAsia="宋体" w:cs="宋体"/>
                <w:sz w:val="20"/>
                <w:szCs w:val="20"/>
                <w:lang w:val="en-US" w:eastAsia="zh-CN"/>
              </w:rPr>
              <w:t>、输出阻抗:  600Ω±30%；</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9</w:t>
            </w:r>
            <w:r>
              <w:rPr>
                <w:rFonts w:hint="eastAsia" w:ascii="宋体" w:hAnsi="宋体" w:eastAsia="宋体" w:cs="宋体"/>
                <w:sz w:val="20"/>
                <w:szCs w:val="20"/>
                <w:lang w:val="en-US" w:eastAsia="zh-CN"/>
              </w:rPr>
              <w:t>、MIC灵敏度：-39dB±3dB；</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10</w:t>
            </w:r>
            <w:r>
              <w:rPr>
                <w:rFonts w:hint="eastAsia" w:ascii="宋体" w:hAnsi="宋体" w:eastAsia="宋体" w:cs="宋体"/>
                <w:sz w:val="20"/>
                <w:szCs w:val="20"/>
                <w:lang w:val="en-US" w:eastAsia="zh-CN"/>
              </w:rPr>
              <w:t>、供电电压： DC12V(外置电源)或9V(层叠电池)。</w:t>
            </w:r>
          </w:p>
        </w:tc>
        <w:tc>
          <w:tcPr>
            <w:tcW w:w="400" w:type="pct"/>
            <w:vAlign w:val="center"/>
          </w:tcPr>
          <w:p w14:paraId="521CB677">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只</w:t>
            </w:r>
          </w:p>
        </w:tc>
        <w:tc>
          <w:tcPr>
            <w:tcW w:w="412" w:type="pct"/>
            <w:vAlign w:val="center"/>
          </w:tcPr>
          <w:p w14:paraId="48274896">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w:t>
            </w:r>
          </w:p>
        </w:tc>
      </w:tr>
      <w:tr w14:paraId="6ABC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19746F8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22</w:t>
            </w:r>
          </w:p>
        </w:tc>
        <w:tc>
          <w:tcPr>
            <w:tcW w:w="958" w:type="pct"/>
            <w:vAlign w:val="center"/>
          </w:tcPr>
          <w:p w14:paraId="7D118E4C">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电源时序器</w:t>
            </w:r>
          </w:p>
        </w:tc>
        <w:tc>
          <w:tcPr>
            <w:tcW w:w="2832" w:type="pct"/>
            <w:vAlign w:val="center"/>
          </w:tcPr>
          <w:p w14:paraId="385746F5">
            <w:pPr>
              <w:widowControl w:val="0"/>
              <w:numPr>
                <w:ilvl w:val="0"/>
                <w:numId w:val="0"/>
              </w:numPr>
              <w:bidi w:val="0"/>
              <w:jc w:val="left"/>
              <w:rPr>
                <w:rFonts w:hint="eastAsia" w:ascii="宋体" w:hAnsi="宋体" w:eastAsia="宋体" w:cs="宋体"/>
                <w:sz w:val="20"/>
                <w:szCs w:val="20"/>
                <w:lang w:val="en-US" w:eastAsia="zh-CN"/>
              </w:rPr>
            </w:pPr>
            <w:r>
              <w:rPr>
                <w:rFonts w:hint="eastAsia" w:ascii="宋体" w:hAnsi="宋体" w:eastAsia="宋体" w:cs="宋体"/>
                <w:snapToGrid w:val="0"/>
                <w:color w:val="000000"/>
                <w:kern w:val="0"/>
                <w:sz w:val="20"/>
                <w:szCs w:val="20"/>
                <w:lang w:val="en-US" w:eastAsia="zh-CN" w:bidi="ar-SA"/>
              </w:rPr>
              <w:t>1、</w:t>
            </w:r>
            <w:r>
              <w:rPr>
                <w:rFonts w:hint="eastAsia" w:ascii="宋体" w:hAnsi="宋体" w:eastAsia="宋体" w:cs="宋体"/>
                <w:sz w:val="20"/>
                <w:szCs w:val="20"/>
                <w:lang w:val="en-US" w:eastAsia="zh-CN"/>
              </w:rPr>
              <w:t>不少于8路可控电源（国标五孔插座）、2路常通电源（国标五孔插座）</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2、单通道最大输出电流不小于10A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3、额定总输出电源不小于30A内置30A电源滤波器总电源带空气开关</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4、针对不同设备启动时间，每路电源开关时间支持0-999秒设定</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5、前面板带市电电压显示</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6、支持过压、欠压保护设置</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7、支持上电自启功能，并可实现定时开关机设置</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8、不少于8组用户存储模式</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9、设备自带编码ID检测和设置，支持系统级联，可级联不少于255台</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10、控制接口不少于1路RS232、1路线路控制、级联输入输出接口各一路、1路USB</w:t>
            </w:r>
          </w:p>
          <w:p w14:paraId="01B3439B">
            <w:pPr>
              <w:widowControl w:val="0"/>
              <w:numPr>
                <w:ilvl w:val="0"/>
                <w:numId w:val="0"/>
              </w:numPr>
              <w:bidi w:val="0"/>
              <w:jc w:val="left"/>
              <w:rPr>
                <w:sz w:val="20"/>
                <w:szCs w:val="20"/>
                <w:vertAlign w:val="baseline"/>
              </w:rPr>
            </w:pPr>
            <w:r>
              <w:rPr>
                <w:rFonts w:hint="eastAsia" w:ascii="宋体" w:hAnsi="宋体" w:cs="宋体"/>
                <w:sz w:val="20"/>
                <w:szCs w:val="20"/>
                <w:lang w:val="en-US" w:eastAsia="zh-CN"/>
              </w:rPr>
              <w:t>11、</w:t>
            </w:r>
            <w:r>
              <w:rPr>
                <w:rFonts w:hint="eastAsia" w:ascii="宋体" w:hAnsi="宋体" w:eastAsia="宋体" w:cs="宋体"/>
                <w:sz w:val="20"/>
                <w:szCs w:val="20"/>
                <w:lang w:val="en-US" w:eastAsia="zh-CN"/>
              </w:rPr>
              <w:t>耐压测试，高压1.5KV （10mA）下冲击60s，无损坏</w:t>
            </w:r>
          </w:p>
        </w:tc>
        <w:tc>
          <w:tcPr>
            <w:tcW w:w="400" w:type="pct"/>
            <w:vAlign w:val="center"/>
          </w:tcPr>
          <w:p w14:paraId="378D1DE8">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只</w:t>
            </w:r>
          </w:p>
        </w:tc>
        <w:tc>
          <w:tcPr>
            <w:tcW w:w="412" w:type="pct"/>
            <w:vAlign w:val="center"/>
          </w:tcPr>
          <w:p w14:paraId="7421D41D">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w:t>
            </w:r>
          </w:p>
        </w:tc>
      </w:tr>
      <w:tr w14:paraId="52C4A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3CC952B2">
            <w:pPr>
              <w:keepNext w:val="0"/>
              <w:keepLines w:val="0"/>
              <w:widowControl/>
              <w:suppressLineNumbers w:val="0"/>
              <w:jc w:val="center"/>
              <w:textAlignment w:val="center"/>
              <w:rPr>
                <w:vertAlign w:val="baseline"/>
              </w:rPr>
            </w:pPr>
            <w:r>
              <w:rPr>
                <w:rFonts w:hint="eastAsia" w:ascii="宋体" w:hAnsi="宋体" w:eastAsia="宋体" w:cs="宋体"/>
                <w:i w:val="0"/>
                <w:iCs w:val="0"/>
                <w:color w:val="auto"/>
                <w:kern w:val="0"/>
                <w:sz w:val="22"/>
                <w:szCs w:val="22"/>
                <w:u w:val="none"/>
                <w:lang w:val="en-US" w:eastAsia="zh-CN" w:bidi="ar"/>
              </w:rPr>
              <w:t>23</w:t>
            </w:r>
          </w:p>
        </w:tc>
        <w:tc>
          <w:tcPr>
            <w:tcW w:w="958" w:type="pct"/>
            <w:vAlign w:val="center"/>
          </w:tcPr>
          <w:p w14:paraId="2335C3E3">
            <w:pPr>
              <w:keepNext w:val="0"/>
              <w:keepLines w:val="0"/>
              <w:widowControl/>
              <w:suppressLineNumbers w:val="0"/>
              <w:jc w:val="left"/>
              <w:textAlignment w:val="center"/>
              <w:rPr>
                <w:vertAlign w:val="baseline"/>
              </w:rPr>
            </w:pPr>
            <w:r>
              <w:rPr>
                <w:rFonts w:hint="eastAsia" w:ascii="宋体" w:hAnsi="宋体" w:eastAsia="宋体" w:cs="宋体"/>
                <w:i w:val="0"/>
                <w:iCs w:val="0"/>
                <w:color w:val="auto"/>
                <w:kern w:val="0"/>
                <w:sz w:val="22"/>
                <w:szCs w:val="22"/>
                <w:u w:val="none"/>
                <w:lang w:val="en-US" w:eastAsia="zh-CN" w:bidi="ar"/>
              </w:rPr>
              <w:t>无线手持话筒</w:t>
            </w:r>
          </w:p>
        </w:tc>
        <w:tc>
          <w:tcPr>
            <w:tcW w:w="2832" w:type="pct"/>
            <w:vAlign w:val="top"/>
          </w:tcPr>
          <w:p w14:paraId="68853D9A">
            <w:pPr>
              <w:widowControl w:val="0"/>
              <w:numPr>
                <w:ilvl w:val="0"/>
                <w:numId w:val="0"/>
              </w:numPr>
              <w:bidi w:val="0"/>
              <w:jc w:val="left"/>
              <w:rPr>
                <w:sz w:val="20"/>
                <w:szCs w:val="20"/>
                <w:vertAlign w:val="baseline"/>
              </w:rPr>
            </w:pPr>
            <w:r>
              <w:rPr>
                <w:rFonts w:hint="eastAsia" w:ascii="宋体" w:hAnsi="宋体" w:eastAsia="宋体" w:cs="宋体"/>
                <w:sz w:val="20"/>
                <w:szCs w:val="20"/>
                <w:lang w:val="en-US" w:eastAsia="zh-CN"/>
              </w:rPr>
              <w:t>1</w:t>
            </w:r>
            <w:r>
              <w:rPr>
                <w:rFonts w:hint="eastAsia" w:ascii="宋体" w:hAnsi="宋体" w:eastAsia="宋体" w:cs="宋体"/>
                <w:sz w:val="20"/>
                <w:szCs w:val="20"/>
                <w:lang w:val="en-US" w:eastAsia="en-US"/>
              </w:rPr>
              <w:t>、</w:t>
            </w:r>
            <w:r>
              <w:rPr>
                <w:rFonts w:hint="eastAsia" w:ascii="宋体" w:hAnsi="宋体" w:eastAsia="宋体" w:cs="宋体"/>
                <w:sz w:val="20"/>
                <w:szCs w:val="20"/>
                <w:lang w:val="en-US" w:eastAsia="zh-CN"/>
              </w:rPr>
              <w:t>RJ45接口连接互联网，通过TCP/IP协议可对接到物联网平台，进行多频段设备集中控制、状态显示、设备名称自定义、无干扰频率一键部署等；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支持通过PC、平板客户端软件对多频段设备进行集中管控，自定义设备名称、通道名称、自定义排序，无干扰频率一键下发至在线设备，并支持设备加减锁、通道静音控制、接收模式选择、预设群组和通道选择、自定义频率、输出音量设置、静噪设置等，并支持通道射频、音频、发射器电量等实时监测；</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3、PC、平板客户端软件适配windows、安卓、鸿蒙等常用系统；将频谱测试与无线传输系统高效结合和互动，图形化实时监测当前环境射频详情，并自动筛选不受干扰的频点，实现无线系统的稳定运行；</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4、使用EIA标准金属机箱，采用天线分集式接收线路、CPU控制选讯+导频识别功能；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5、频率调节采用无互调干扰群组预设、用户自定义调节等方式，单机≥2000个频率可供客户调节；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6、4.6寸LCD显示器可实时显示群组、频率、电池电量、静音位准、电子音量等信息；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7、各通道支持SQ(降噪)六档独立调节；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8、接收机内置开关电源，由AC 220V市电直接供电，并支持电源环出功能；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9、接收机天线座提供偏置电压，可连接有源对数周期天线提升接收距离和信号质量。并支持射频级联功能，无需天线分配器即可实现≤8套叠机使用。</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10、具有3个XLR平衡输出、4个TNC-K天线端口、1个RJ45网口，MIC/LINE输出切换开关；</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11、通道数量：两通道、接收频率范围：UHF530.000-690.000MHz（常规 530.000MHz-580.000MHz）、音频频率响应（线路）：40Hz-18KHz、总谐波失真（THD+N）:≤0.5%(10mV@1kHz)、延迟：≤5ms（典型值）、最大输出电平：≥+10dBV、动态范围：≥100dBA、最大声压级：≥134dB spl</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12、发射器采用动圈式拾音头、指向性：超心形、载波功率：两档可调、音频增益：五档可调、显示方式：TFT多色显示、电源：2×AA碱性电池。</w:t>
            </w:r>
          </w:p>
        </w:tc>
        <w:tc>
          <w:tcPr>
            <w:tcW w:w="400" w:type="pct"/>
            <w:vAlign w:val="center"/>
          </w:tcPr>
          <w:p w14:paraId="645BA49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套</w:t>
            </w:r>
          </w:p>
        </w:tc>
        <w:tc>
          <w:tcPr>
            <w:tcW w:w="412" w:type="pct"/>
            <w:vAlign w:val="center"/>
          </w:tcPr>
          <w:p w14:paraId="155E945C">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6</w:t>
            </w:r>
          </w:p>
        </w:tc>
      </w:tr>
      <w:tr w14:paraId="5C70C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1FCC07F2">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24</w:t>
            </w:r>
          </w:p>
        </w:tc>
        <w:tc>
          <w:tcPr>
            <w:tcW w:w="958" w:type="pct"/>
            <w:vAlign w:val="center"/>
          </w:tcPr>
          <w:p w14:paraId="55089CBA">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无源户外防雨天线</w:t>
            </w:r>
          </w:p>
        </w:tc>
        <w:tc>
          <w:tcPr>
            <w:tcW w:w="2832" w:type="pct"/>
            <w:vAlign w:val="top"/>
          </w:tcPr>
          <w:p w14:paraId="34EF8D84">
            <w:pPr>
              <w:widowControl w:val="0"/>
              <w:bidi w:val="0"/>
              <w:jc w:val="left"/>
              <w:rPr>
                <w:sz w:val="20"/>
                <w:szCs w:val="20"/>
                <w:vertAlign w:val="baseline"/>
              </w:rPr>
            </w:pPr>
            <w:r>
              <w:rPr>
                <w:rFonts w:hint="eastAsia" w:ascii="宋体" w:hAnsi="宋体" w:cs="宋体"/>
                <w:sz w:val="20"/>
                <w:szCs w:val="20"/>
                <w:lang w:val="en-US" w:eastAsia="zh-CN"/>
              </w:rPr>
              <w:t>1、</w:t>
            </w:r>
            <w:r>
              <w:rPr>
                <w:rFonts w:hint="eastAsia" w:ascii="宋体" w:hAnsi="宋体" w:eastAsia="宋体" w:cs="宋体"/>
                <w:sz w:val="20"/>
                <w:szCs w:val="20"/>
                <w:lang w:val="en-US" w:eastAsia="zh-CN"/>
              </w:rPr>
              <w:t>频率范围：530MHz-590MHz</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2、</w:t>
            </w:r>
            <w:r>
              <w:rPr>
                <w:rFonts w:hint="eastAsia" w:ascii="宋体" w:hAnsi="宋体" w:eastAsia="宋体" w:cs="宋体"/>
                <w:sz w:val="20"/>
                <w:szCs w:val="20"/>
                <w:lang w:val="en-US" w:eastAsia="zh-CN"/>
              </w:rPr>
              <w:t>增益：6±1dBi</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3、</w:t>
            </w:r>
            <w:r>
              <w:rPr>
                <w:rFonts w:hint="eastAsia" w:ascii="宋体" w:hAnsi="宋体" w:eastAsia="宋体" w:cs="宋体"/>
                <w:sz w:val="20"/>
                <w:szCs w:val="20"/>
                <w:lang w:val="en-US" w:eastAsia="zh-CN"/>
              </w:rPr>
              <w:t>水平波瓣宽度：70±10°</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4、</w:t>
            </w:r>
            <w:r>
              <w:rPr>
                <w:rFonts w:hint="eastAsia" w:ascii="宋体" w:hAnsi="宋体" w:eastAsia="宋体" w:cs="宋体"/>
                <w:sz w:val="20"/>
                <w:szCs w:val="20"/>
                <w:lang w:val="en-US" w:eastAsia="zh-CN"/>
              </w:rPr>
              <w:t>垂直波瓣宽度：70±10°</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5、</w:t>
            </w:r>
            <w:r>
              <w:rPr>
                <w:rFonts w:hint="eastAsia" w:ascii="宋体" w:hAnsi="宋体" w:eastAsia="宋体" w:cs="宋体"/>
                <w:sz w:val="20"/>
                <w:szCs w:val="20"/>
                <w:lang w:val="en-US" w:eastAsia="zh-CN"/>
              </w:rPr>
              <w:t>阻抗：50Ω</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6、</w:t>
            </w:r>
            <w:r>
              <w:rPr>
                <w:rFonts w:hint="eastAsia" w:ascii="宋体" w:hAnsi="宋体" w:eastAsia="宋体" w:cs="宋体"/>
                <w:sz w:val="20"/>
                <w:szCs w:val="20"/>
                <w:lang w:val="en-US" w:eastAsia="zh-CN"/>
              </w:rPr>
              <w:t>接头型号：N-K</w:t>
            </w:r>
          </w:p>
        </w:tc>
        <w:tc>
          <w:tcPr>
            <w:tcW w:w="400" w:type="pct"/>
            <w:vAlign w:val="center"/>
          </w:tcPr>
          <w:p w14:paraId="449DAD4C">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只</w:t>
            </w:r>
          </w:p>
        </w:tc>
        <w:tc>
          <w:tcPr>
            <w:tcW w:w="412" w:type="pct"/>
            <w:vAlign w:val="center"/>
          </w:tcPr>
          <w:p w14:paraId="3229244F">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6</w:t>
            </w:r>
          </w:p>
        </w:tc>
      </w:tr>
      <w:tr w14:paraId="0BA8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4B465A23">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25</w:t>
            </w:r>
          </w:p>
        </w:tc>
        <w:tc>
          <w:tcPr>
            <w:tcW w:w="958" w:type="pct"/>
            <w:vAlign w:val="center"/>
          </w:tcPr>
          <w:p w14:paraId="4350D4C8">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天线放大器</w:t>
            </w:r>
          </w:p>
        </w:tc>
        <w:tc>
          <w:tcPr>
            <w:tcW w:w="2832" w:type="pct"/>
            <w:vAlign w:val="center"/>
          </w:tcPr>
          <w:p w14:paraId="104921F1">
            <w:pPr>
              <w:widowControl w:val="0"/>
              <w:bidi w:val="0"/>
              <w:jc w:val="left"/>
              <w:rPr>
                <w:sz w:val="20"/>
                <w:szCs w:val="20"/>
                <w:vertAlign w:val="baseline"/>
              </w:rPr>
            </w:pPr>
            <w:r>
              <w:rPr>
                <w:rFonts w:hint="eastAsia" w:ascii="宋体" w:hAnsi="宋体" w:eastAsia="宋体" w:cs="宋体"/>
                <w:sz w:val="20"/>
                <w:szCs w:val="20"/>
                <w:lang w:val="en-US" w:eastAsia="zh-CN"/>
              </w:rPr>
              <w:t>1、适用频宽范围： 500MHz  ─ 850MHz</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2、系统阻抗 :50 Ω</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 xml:space="preserve">3、外接电源输入: 12 ～18V DC / min. 350mA </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4、电源稳压输出 :8V DC / max. 250mA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5、电流消耗 :约60mA/12V DC Input</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6、连接座:TNC插座×2，2.0 mm DC插座×1</w:t>
            </w:r>
          </w:p>
        </w:tc>
        <w:tc>
          <w:tcPr>
            <w:tcW w:w="400" w:type="pct"/>
            <w:vAlign w:val="center"/>
          </w:tcPr>
          <w:p w14:paraId="4AEC6DDF">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只</w:t>
            </w:r>
          </w:p>
        </w:tc>
        <w:tc>
          <w:tcPr>
            <w:tcW w:w="412" w:type="pct"/>
            <w:vAlign w:val="center"/>
          </w:tcPr>
          <w:p w14:paraId="4D2E272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6</w:t>
            </w:r>
          </w:p>
        </w:tc>
      </w:tr>
      <w:tr w14:paraId="7839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2455BB02">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26</w:t>
            </w:r>
          </w:p>
        </w:tc>
        <w:tc>
          <w:tcPr>
            <w:tcW w:w="958" w:type="pct"/>
            <w:vAlign w:val="center"/>
          </w:tcPr>
          <w:p w14:paraId="4B9F0FE6">
            <w:pPr>
              <w:widowControl/>
              <w:jc w:val="left"/>
              <w:textAlignment w:val="center"/>
              <w:rPr>
                <w:vertAlign w:val="baseline"/>
              </w:rPr>
            </w:pPr>
            <w:r>
              <w:rPr>
                <w:rFonts w:hint="eastAsia" w:ascii="宋体" w:hAnsi="宋体" w:eastAsia="宋体" w:cs="宋体"/>
                <w:color w:val="000000"/>
                <w:kern w:val="0"/>
                <w:sz w:val="22"/>
                <w:szCs w:val="22"/>
                <w:highlight w:val="none"/>
                <w:lang w:bidi="ar"/>
              </w:rPr>
              <w:t>智能编码网络海螺型摄像机</w:t>
            </w:r>
          </w:p>
        </w:tc>
        <w:tc>
          <w:tcPr>
            <w:tcW w:w="2832" w:type="pct"/>
            <w:vAlign w:val="top"/>
          </w:tcPr>
          <w:p w14:paraId="3716B2EF">
            <w:pPr>
              <w:widowControl w:val="0"/>
              <w:bidi w:val="0"/>
              <w:jc w:val="left"/>
              <w:rPr>
                <w:rFonts w:hint="eastAsia" w:ascii="宋体" w:hAnsi="宋体" w:eastAsia="宋体" w:cs="宋体"/>
                <w:sz w:val="20"/>
                <w:szCs w:val="20"/>
              </w:rPr>
            </w:pPr>
            <w:r>
              <w:rPr>
                <w:rFonts w:hint="eastAsia" w:ascii="宋体" w:hAnsi="宋体" w:eastAsia="宋体" w:cs="宋体"/>
                <w:sz w:val="20"/>
                <w:szCs w:val="20"/>
              </w:rPr>
              <w:t>1、网络摄像机；在2560x1440@25fps下，码率设置为2Mbps，清晰度不小于1400TVL。</w:t>
            </w:r>
            <w:r>
              <w:rPr>
                <w:rFonts w:hint="eastAsia" w:ascii="宋体" w:hAnsi="宋体" w:eastAsia="宋体" w:cs="宋体"/>
                <w:sz w:val="20"/>
                <w:szCs w:val="20"/>
              </w:rPr>
              <w:br w:type="textWrapping"/>
            </w:r>
            <w:r>
              <w:rPr>
                <w:rFonts w:hint="eastAsia" w:ascii="宋体" w:hAnsi="宋体" w:eastAsia="宋体" w:cs="宋体"/>
                <w:sz w:val="20"/>
                <w:szCs w:val="20"/>
              </w:rPr>
              <w:t>2、传感器类型：1/1.8英寸CMOS；</w:t>
            </w:r>
            <w:r>
              <w:rPr>
                <w:rFonts w:hint="eastAsia" w:ascii="宋体" w:hAnsi="宋体" w:eastAsia="宋体" w:cs="宋体"/>
                <w:sz w:val="20"/>
                <w:szCs w:val="20"/>
              </w:rPr>
              <w:br w:type="textWrapping"/>
            </w:r>
            <w:r>
              <w:rPr>
                <w:rFonts w:hint="eastAsia" w:ascii="宋体" w:hAnsi="宋体" w:eastAsia="宋体" w:cs="宋体"/>
                <w:sz w:val="20"/>
                <w:szCs w:val="20"/>
              </w:rPr>
              <w:t xml:space="preserve">3、像素不低于400万；视频压缩标准：主码流：H.265/H.264，在大模型的加持下，对人等高价值目标进行解析，通过ROI分割技术，分离前景目标与背景区域，前景采用常规编码保障细节完整，背景实施高效压缩降低存储占用，兼顾画质与效率                              </w:t>
            </w:r>
          </w:p>
          <w:p w14:paraId="2E46D1FC">
            <w:pPr>
              <w:widowControl w:val="0"/>
              <w:bidi w:val="0"/>
              <w:jc w:val="left"/>
              <w:rPr>
                <w:rFonts w:hint="eastAsia" w:ascii="宋体" w:hAnsi="宋体" w:eastAsia="宋体" w:cs="宋体"/>
                <w:sz w:val="20"/>
                <w:szCs w:val="20"/>
              </w:rPr>
            </w:pPr>
            <w:r>
              <w:rPr>
                <w:rFonts w:hint="eastAsia" w:ascii="宋体" w:hAnsi="宋体" w:eastAsia="宋体" w:cs="宋体"/>
                <w:sz w:val="20"/>
                <w:szCs w:val="20"/>
              </w:rPr>
              <w:t xml:space="preserve">4、★内置1颗CPU.GPU.NPU于一体的芯片，提供有效证明材料。                                   </w:t>
            </w:r>
            <w:r>
              <w:rPr>
                <w:rFonts w:hint="eastAsia" w:ascii="宋体" w:hAnsi="宋体" w:eastAsia="宋体" w:cs="宋体"/>
                <w:sz w:val="20"/>
                <w:szCs w:val="20"/>
              </w:rPr>
              <w:br w:type="textWrapping"/>
            </w:r>
            <w:r>
              <w:rPr>
                <w:rFonts w:hint="eastAsia" w:ascii="宋体" w:hAnsi="宋体" w:eastAsia="宋体" w:cs="宋体"/>
                <w:sz w:val="20"/>
                <w:szCs w:val="20"/>
              </w:rPr>
              <w:t>5、内置麦克风.扬声器，喊话对讲全兼顾；</w:t>
            </w:r>
            <w:r>
              <w:rPr>
                <w:rFonts w:hint="eastAsia" w:ascii="宋体" w:hAnsi="宋体" w:eastAsia="宋体" w:cs="宋体"/>
                <w:sz w:val="20"/>
                <w:szCs w:val="20"/>
              </w:rPr>
              <w:br w:type="textWrapping"/>
            </w:r>
            <w:r>
              <w:rPr>
                <w:rFonts w:hint="eastAsia" w:ascii="宋体" w:hAnsi="宋体" w:eastAsia="宋体" w:cs="宋体"/>
                <w:sz w:val="20"/>
                <w:szCs w:val="20"/>
              </w:rPr>
              <w:t>6、最低照度：彩色：0.0005 Lux；</w:t>
            </w:r>
            <w:r>
              <w:rPr>
                <w:rFonts w:hint="eastAsia" w:ascii="宋体" w:hAnsi="宋体" w:eastAsia="宋体" w:cs="宋体"/>
                <w:sz w:val="20"/>
                <w:szCs w:val="20"/>
              </w:rPr>
              <w:br w:type="textWrapping"/>
            </w:r>
            <w:r>
              <w:rPr>
                <w:rFonts w:hint="eastAsia" w:ascii="宋体" w:hAnsi="宋体" w:eastAsia="宋体" w:cs="宋体"/>
                <w:sz w:val="20"/>
                <w:szCs w:val="20"/>
              </w:rPr>
              <w:t>7、支持柔光灯补光，照射距离最远可达30 m；</w:t>
            </w:r>
            <w:r>
              <w:rPr>
                <w:rFonts w:hint="eastAsia" w:ascii="宋体" w:hAnsi="宋体" w:eastAsia="宋体" w:cs="宋体"/>
                <w:sz w:val="20"/>
                <w:szCs w:val="20"/>
              </w:rPr>
              <w:br w:type="textWrapping"/>
            </w:r>
            <w:r>
              <w:rPr>
                <w:rFonts w:hint="eastAsia" w:ascii="宋体" w:hAnsi="宋体" w:eastAsia="宋体" w:cs="宋体"/>
                <w:sz w:val="20"/>
                <w:szCs w:val="20"/>
              </w:rPr>
              <w:t xml:space="preserve">8、补光灯灯杯采用双层透镜结构，外表平面为柔光层，采用复眼式微透镜阵列，具有六边形阵列纹路;下层束光层为鳞甲TIR透镜，内壁具有鳞甲阵列纹路，提供有效证明材料。  </w:t>
            </w:r>
            <w:r>
              <w:rPr>
                <w:rFonts w:hint="eastAsia" w:ascii="宋体" w:hAnsi="宋体" w:eastAsia="宋体" w:cs="宋体"/>
                <w:sz w:val="20"/>
                <w:szCs w:val="20"/>
              </w:rPr>
              <w:br w:type="textWrapping"/>
            </w:r>
            <w:r>
              <w:rPr>
                <w:rFonts w:hint="eastAsia" w:ascii="宋体" w:hAnsi="宋体" w:eastAsia="宋体" w:cs="宋体"/>
                <w:sz w:val="20"/>
                <w:szCs w:val="20"/>
              </w:rPr>
              <w:t>9、具有日夜场景自适应功能，在白天和夜晚环境下，样机均可输出彩色图像，在夜晚自动开启补光灯条件下，夜晚图像清晰度应不低于白天图像清晰度的95%，提供有效证明材料。</w:t>
            </w:r>
          </w:p>
          <w:p w14:paraId="548EEA0A">
            <w:pPr>
              <w:widowControl w:val="0"/>
              <w:bidi w:val="0"/>
              <w:jc w:val="left"/>
              <w:rPr>
                <w:sz w:val="20"/>
                <w:szCs w:val="20"/>
                <w:vertAlign w:val="baseline"/>
              </w:rPr>
            </w:pPr>
            <w:r>
              <w:rPr>
                <w:rFonts w:hint="eastAsia" w:ascii="宋体" w:hAnsi="宋体" w:eastAsia="宋体" w:cs="宋体"/>
                <w:sz w:val="20"/>
                <w:szCs w:val="20"/>
              </w:rPr>
              <w:t xml:space="preserve">10、具有AI-ISP图像质量提升功能，在低照度环境下，可自动调节预览场景视频画面中人脸.人体.车辆等目标及预览场景视频画面的区域曝光.亮度.色彩饱和度.对比度.锐度等，提供有效证明材料。                                     </w:t>
            </w:r>
            <w:r>
              <w:rPr>
                <w:rFonts w:hint="eastAsia" w:ascii="宋体" w:hAnsi="宋体" w:eastAsia="宋体" w:cs="宋体"/>
                <w:sz w:val="20"/>
                <w:szCs w:val="20"/>
              </w:rPr>
              <w:br w:type="textWrapping"/>
            </w:r>
            <w:r>
              <w:rPr>
                <w:rFonts w:hint="eastAsia" w:ascii="宋体" w:hAnsi="宋体" w:eastAsia="宋体" w:cs="宋体"/>
                <w:sz w:val="20"/>
                <w:szCs w:val="20"/>
              </w:rPr>
              <w:t>12、全彩级高灵敏度传感器，F1.0超大光圈镜头，提供更清晰的视频流输入，人/车目标分类，报警精准减打扰</w:t>
            </w:r>
          </w:p>
        </w:tc>
        <w:tc>
          <w:tcPr>
            <w:tcW w:w="400" w:type="pct"/>
            <w:vAlign w:val="center"/>
          </w:tcPr>
          <w:p w14:paraId="4A1C47FB">
            <w:pPr>
              <w:widowControl/>
              <w:jc w:val="center"/>
              <w:textAlignment w:val="center"/>
              <w:rPr>
                <w:vertAlign w:val="baseline"/>
              </w:rPr>
            </w:pPr>
            <w:r>
              <w:rPr>
                <w:rFonts w:hint="eastAsia" w:ascii="宋体" w:hAnsi="宋体" w:eastAsia="宋体" w:cs="宋体"/>
                <w:color w:val="000000"/>
                <w:kern w:val="0"/>
                <w:sz w:val="22"/>
                <w:szCs w:val="22"/>
                <w:highlight w:val="none"/>
                <w:lang w:bidi="ar"/>
              </w:rPr>
              <w:t>台</w:t>
            </w:r>
          </w:p>
        </w:tc>
        <w:tc>
          <w:tcPr>
            <w:tcW w:w="412" w:type="pct"/>
            <w:vAlign w:val="center"/>
          </w:tcPr>
          <w:p w14:paraId="61AF8E43">
            <w:pPr>
              <w:widowControl/>
              <w:jc w:val="center"/>
              <w:textAlignment w:val="center"/>
              <w:rPr>
                <w:vertAlign w:val="baseline"/>
              </w:rPr>
            </w:pPr>
            <w:r>
              <w:rPr>
                <w:rFonts w:hint="eastAsia" w:ascii="宋体" w:hAnsi="宋体" w:eastAsia="宋体" w:cs="宋体"/>
                <w:color w:val="000000"/>
                <w:kern w:val="0"/>
                <w:sz w:val="22"/>
                <w:szCs w:val="22"/>
                <w:highlight w:val="none"/>
                <w:lang w:bidi="ar"/>
              </w:rPr>
              <w:t>4</w:t>
            </w:r>
          </w:p>
        </w:tc>
      </w:tr>
      <w:tr w14:paraId="5A1F8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048629AC">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27</w:t>
            </w:r>
          </w:p>
        </w:tc>
        <w:tc>
          <w:tcPr>
            <w:tcW w:w="958" w:type="pct"/>
            <w:vAlign w:val="center"/>
          </w:tcPr>
          <w:p w14:paraId="69E8E7CA">
            <w:pPr>
              <w:widowControl/>
              <w:jc w:val="left"/>
              <w:textAlignment w:val="center"/>
              <w:rPr>
                <w:vertAlign w:val="baseline"/>
              </w:rPr>
            </w:pPr>
            <w:r>
              <w:rPr>
                <w:rFonts w:hint="eastAsia" w:ascii="宋体" w:hAnsi="宋体" w:eastAsia="宋体" w:cs="宋体"/>
                <w:color w:val="000000"/>
                <w:kern w:val="0"/>
                <w:sz w:val="22"/>
                <w:szCs w:val="22"/>
                <w:highlight w:val="none"/>
                <w:lang w:bidi="ar"/>
              </w:rPr>
              <w:t>智能编码网络筒型摄像机</w:t>
            </w:r>
          </w:p>
        </w:tc>
        <w:tc>
          <w:tcPr>
            <w:tcW w:w="2832" w:type="pct"/>
            <w:vAlign w:val="top"/>
          </w:tcPr>
          <w:p w14:paraId="63110017">
            <w:pPr>
              <w:widowControl w:val="0"/>
              <w:bidi w:val="0"/>
              <w:jc w:val="left"/>
              <w:rPr>
                <w:rFonts w:hint="eastAsia" w:ascii="宋体" w:hAnsi="宋体" w:eastAsia="宋体" w:cs="宋体"/>
                <w:sz w:val="20"/>
                <w:szCs w:val="20"/>
              </w:rPr>
            </w:pPr>
            <w:r>
              <w:rPr>
                <w:rFonts w:hint="eastAsia" w:ascii="宋体" w:hAnsi="宋体" w:eastAsia="宋体" w:cs="宋体"/>
                <w:sz w:val="20"/>
                <w:szCs w:val="20"/>
              </w:rPr>
              <w:t>1、筒型网络摄像机；在2560x1440@25fps下，码率设置为2Mbps，清晰度不小于1400TVL。</w:t>
            </w:r>
            <w:r>
              <w:rPr>
                <w:rFonts w:hint="eastAsia" w:ascii="宋体" w:hAnsi="宋体" w:eastAsia="宋体" w:cs="宋体"/>
                <w:sz w:val="20"/>
                <w:szCs w:val="20"/>
              </w:rPr>
              <w:br w:type="textWrapping"/>
            </w:r>
            <w:r>
              <w:rPr>
                <w:rFonts w:hint="eastAsia" w:ascii="宋体" w:hAnsi="宋体" w:eastAsia="宋体" w:cs="宋体"/>
                <w:sz w:val="20"/>
                <w:szCs w:val="20"/>
              </w:rPr>
              <w:t>2、传感器类型：1/1.8英寸CMOS；</w:t>
            </w:r>
            <w:r>
              <w:rPr>
                <w:rFonts w:hint="eastAsia" w:ascii="宋体" w:hAnsi="宋体" w:eastAsia="宋体" w:cs="宋体"/>
                <w:sz w:val="20"/>
                <w:szCs w:val="20"/>
              </w:rPr>
              <w:br w:type="textWrapping"/>
            </w:r>
            <w:r>
              <w:rPr>
                <w:rFonts w:hint="eastAsia" w:ascii="宋体" w:hAnsi="宋体" w:eastAsia="宋体" w:cs="宋体"/>
                <w:sz w:val="20"/>
                <w:szCs w:val="20"/>
              </w:rPr>
              <w:t xml:space="preserve">3、像素不低于400万；视频压缩标准：主码流：H.265/H.264，在大模型的加持下，对人等高价值目标进行解析，通过ROI分割技术，分离前景目标与背景区域，前景采用常规编码保障细节完整，背景实施高效压缩降低存储占用，兼顾画质与效率                              </w:t>
            </w:r>
          </w:p>
          <w:p w14:paraId="3E9BB45B">
            <w:pPr>
              <w:widowControl w:val="0"/>
              <w:bidi w:val="0"/>
              <w:jc w:val="left"/>
              <w:rPr>
                <w:rFonts w:hint="eastAsia" w:ascii="宋体" w:hAnsi="宋体" w:eastAsia="宋体" w:cs="宋体"/>
                <w:sz w:val="20"/>
                <w:szCs w:val="20"/>
              </w:rPr>
            </w:pPr>
            <w:r>
              <w:rPr>
                <w:rFonts w:hint="eastAsia" w:ascii="宋体" w:hAnsi="宋体" w:eastAsia="宋体" w:cs="宋体"/>
                <w:sz w:val="20"/>
                <w:szCs w:val="20"/>
              </w:rPr>
              <w:t>4、★内置1颗CPU.GPU.NPU于一体的芯片，提供有效证明材料。</w:t>
            </w:r>
          </w:p>
          <w:p w14:paraId="7BBE4652">
            <w:pPr>
              <w:widowControl w:val="0"/>
              <w:bidi w:val="0"/>
              <w:jc w:val="left"/>
              <w:rPr>
                <w:rFonts w:hint="eastAsia" w:ascii="宋体" w:hAnsi="宋体" w:eastAsia="宋体" w:cs="宋体"/>
                <w:sz w:val="20"/>
                <w:szCs w:val="20"/>
              </w:rPr>
            </w:pPr>
            <w:r>
              <w:rPr>
                <w:rFonts w:hint="eastAsia" w:ascii="宋体" w:hAnsi="宋体" w:eastAsia="宋体" w:cs="宋体"/>
                <w:sz w:val="20"/>
                <w:szCs w:val="20"/>
              </w:rPr>
              <w:t>5、内置麦克风.扬声器，喊话对讲全兼顾；</w:t>
            </w:r>
            <w:r>
              <w:rPr>
                <w:rFonts w:hint="eastAsia" w:ascii="宋体" w:hAnsi="宋体" w:eastAsia="宋体" w:cs="宋体"/>
                <w:sz w:val="20"/>
                <w:szCs w:val="20"/>
              </w:rPr>
              <w:br w:type="textWrapping"/>
            </w:r>
            <w:r>
              <w:rPr>
                <w:rFonts w:hint="eastAsia" w:ascii="宋体" w:hAnsi="宋体" w:eastAsia="宋体" w:cs="宋体"/>
                <w:sz w:val="20"/>
                <w:szCs w:val="20"/>
              </w:rPr>
              <w:t>6、最低照度：彩色：0.0005 Lux；</w:t>
            </w:r>
            <w:r>
              <w:rPr>
                <w:rFonts w:hint="eastAsia" w:ascii="宋体" w:hAnsi="宋体" w:eastAsia="宋体" w:cs="宋体"/>
                <w:sz w:val="20"/>
                <w:szCs w:val="20"/>
              </w:rPr>
              <w:br w:type="textWrapping"/>
            </w:r>
            <w:r>
              <w:rPr>
                <w:rFonts w:hint="eastAsia" w:ascii="宋体" w:hAnsi="宋体" w:eastAsia="宋体" w:cs="宋体"/>
                <w:sz w:val="20"/>
                <w:szCs w:val="20"/>
              </w:rPr>
              <w:t>7、支持柔光灯补光，照射距离最远可达30 m；</w:t>
            </w:r>
            <w:r>
              <w:rPr>
                <w:rFonts w:hint="eastAsia" w:ascii="宋体" w:hAnsi="宋体" w:eastAsia="宋体" w:cs="宋体"/>
                <w:sz w:val="20"/>
                <w:szCs w:val="20"/>
              </w:rPr>
              <w:br w:type="textWrapping"/>
            </w:r>
            <w:r>
              <w:rPr>
                <w:rFonts w:hint="eastAsia" w:ascii="宋体" w:hAnsi="宋体" w:eastAsia="宋体" w:cs="宋体"/>
                <w:sz w:val="20"/>
                <w:szCs w:val="20"/>
              </w:rPr>
              <w:t xml:space="preserve">8、★补光灯灯杯采用双层透镜结构，外表平面为柔光层，采用复眼式微透镜阵列，具有六边形阵列纹路;下层束光层为鳞甲TIR透镜，内壁具有鳞甲阵列纹路，提供有效证明材料。                        </w:t>
            </w:r>
            <w:r>
              <w:rPr>
                <w:rFonts w:hint="eastAsia" w:ascii="宋体" w:hAnsi="宋体" w:eastAsia="宋体" w:cs="宋体"/>
                <w:sz w:val="20"/>
                <w:szCs w:val="20"/>
              </w:rPr>
              <w:br w:type="textWrapping"/>
            </w:r>
            <w:r>
              <w:rPr>
                <w:rFonts w:hint="eastAsia" w:ascii="宋体" w:hAnsi="宋体" w:eastAsia="宋体" w:cs="宋体"/>
                <w:sz w:val="20"/>
                <w:szCs w:val="20"/>
              </w:rPr>
              <w:t xml:space="preserve">9、具有日夜场景自适应功能，在白天和夜晚环境下，样机均可输出彩色图像，在夜晚自动开启补光灯条件下，夜晚图像清晰度应不低于白天图像清晰度的95%，提供有效证明材料。                      </w:t>
            </w:r>
            <w:r>
              <w:rPr>
                <w:rFonts w:hint="eastAsia" w:ascii="宋体" w:hAnsi="宋体" w:eastAsia="宋体" w:cs="宋体"/>
                <w:sz w:val="20"/>
                <w:szCs w:val="20"/>
              </w:rPr>
              <w:br w:type="textWrapping"/>
            </w:r>
            <w:r>
              <w:rPr>
                <w:rFonts w:hint="eastAsia" w:ascii="宋体" w:hAnsi="宋体" w:eastAsia="宋体" w:cs="宋体"/>
                <w:sz w:val="20"/>
                <w:szCs w:val="20"/>
              </w:rPr>
              <w:t>10、具有AI-ISP图像质量提升功能，在低照度环境下，可自动调节预览场景视频画面中人脸.人体.车辆等目标及预览场景视频画面的区域曝光.亮度.色彩饱和度.对比度.锐度等，提供有效证明材料。</w:t>
            </w:r>
            <w:r>
              <w:rPr>
                <w:rFonts w:hint="eastAsia" w:ascii="宋体" w:hAnsi="宋体" w:eastAsia="宋体" w:cs="宋体"/>
                <w:sz w:val="20"/>
                <w:szCs w:val="20"/>
              </w:rPr>
              <w:br w:type="textWrapping"/>
            </w:r>
            <w:r>
              <w:rPr>
                <w:rFonts w:hint="eastAsia" w:ascii="宋体" w:hAnsi="宋体" w:eastAsia="宋体" w:cs="宋体"/>
                <w:sz w:val="20"/>
                <w:szCs w:val="20"/>
              </w:rPr>
              <w:t>12、全彩级高灵敏度传感器，F1.0超大光圈镜头，提供更清晰的视频流输入，人/车目标分类，报警精准减打扰</w:t>
            </w:r>
          </w:p>
          <w:p w14:paraId="6C8AD5FF">
            <w:pPr>
              <w:widowControl w:val="0"/>
              <w:bidi w:val="0"/>
              <w:jc w:val="left"/>
              <w:rPr>
                <w:sz w:val="20"/>
                <w:szCs w:val="20"/>
                <w:vertAlign w:val="baseline"/>
              </w:rPr>
            </w:pPr>
            <w:r>
              <w:rPr>
                <w:rFonts w:hint="eastAsia" w:ascii="宋体" w:hAnsi="宋体" w:eastAsia="宋体" w:cs="宋体"/>
                <w:sz w:val="20"/>
                <w:szCs w:val="20"/>
              </w:rPr>
              <w:t>13、在同一监控场景下，AI编码功能开启并运行24h后，相比于不开启AI编码功能状态下的H.265编码，在目标清晰度无明显降低的条件下，码率节约不小于50％</w:t>
            </w:r>
          </w:p>
        </w:tc>
        <w:tc>
          <w:tcPr>
            <w:tcW w:w="400" w:type="pct"/>
            <w:vAlign w:val="center"/>
          </w:tcPr>
          <w:p w14:paraId="668470AF">
            <w:pPr>
              <w:widowControl/>
              <w:jc w:val="center"/>
              <w:textAlignment w:val="center"/>
              <w:rPr>
                <w:vertAlign w:val="baseline"/>
              </w:rPr>
            </w:pPr>
            <w:r>
              <w:rPr>
                <w:rFonts w:hint="eastAsia" w:ascii="宋体" w:hAnsi="宋体" w:eastAsia="宋体" w:cs="宋体"/>
                <w:color w:val="000000"/>
                <w:kern w:val="0"/>
                <w:sz w:val="22"/>
                <w:szCs w:val="22"/>
                <w:highlight w:val="none"/>
                <w:lang w:bidi="ar"/>
              </w:rPr>
              <w:t>台</w:t>
            </w:r>
          </w:p>
        </w:tc>
        <w:tc>
          <w:tcPr>
            <w:tcW w:w="412" w:type="pct"/>
            <w:vAlign w:val="center"/>
          </w:tcPr>
          <w:p w14:paraId="2CD0D631">
            <w:pPr>
              <w:widowControl/>
              <w:jc w:val="center"/>
              <w:textAlignment w:val="center"/>
              <w:rPr>
                <w:vertAlign w:val="baseline"/>
              </w:rPr>
            </w:pPr>
            <w:r>
              <w:rPr>
                <w:rFonts w:hint="eastAsia" w:ascii="宋体" w:hAnsi="宋体" w:eastAsia="宋体" w:cs="宋体"/>
                <w:color w:val="000000"/>
                <w:kern w:val="0"/>
                <w:sz w:val="22"/>
                <w:szCs w:val="22"/>
                <w:highlight w:val="none"/>
                <w:lang w:bidi="ar"/>
              </w:rPr>
              <w:t>123</w:t>
            </w:r>
          </w:p>
        </w:tc>
      </w:tr>
      <w:tr w14:paraId="1DD5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7C55663D">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28</w:t>
            </w:r>
          </w:p>
        </w:tc>
        <w:tc>
          <w:tcPr>
            <w:tcW w:w="958" w:type="pct"/>
            <w:vAlign w:val="center"/>
          </w:tcPr>
          <w:p w14:paraId="67D60BC7">
            <w:pPr>
              <w:widowControl/>
              <w:jc w:val="left"/>
              <w:textAlignment w:val="center"/>
              <w:rPr>
                <w:vertAlign w:val="baseline"/>
              </w:rPr>
            </w:pPr>
            <w:r>
              <w:rPr>
                <w:rFonts w:hint="eastAsia" w:ascii="宋体" w:hAnsi="宋体" w:eastAsia="宋体" w:cs="宋体"/>
                <w:color w:val="000000"/>
                <w:kern w:val="0"/>
                <w:sz w:val="22"/>
                <w:szCs w:val="22"/>
                <w:highlight w:val="none"/>
                <w:lang w:bidi="ar"/>
              </w:rPr>
              <w:t>筒机支架</w:t>
            </w:r>
          </w:p>
        </w:tc>
        <w:tc>
          <w:tcPr>
            <w:tcW w:w="2832" w:type="pct"/>
            <w:vAlign w:val="center"/>
          </w:tcPr>
          <w:p w14:paraId="673A71A7">
            <w:pPr>
              <w:widowControl w:val="0"/>
              <w:bidi w:val="0"/>
              <w:jc w:val="left"/>
              <w:rPr>
                <w:sz w:val="20"/>
                <w:szCs w:val="20"/>
                <w:vertAlign w:val="baseline"/>
              </w:rPr>
            </w:pPr>
            <w:r>
              <w:rPr>
                <w:rFonts w:hint="eastAsia" w:ascii="宋体" w:hAnsi="宋体" w:eastAsia="宋体" w:cs="宋体"/>
                <w:sz w:val="20"/>
                <w:szCs w:val="20"/>
              </w:rPr>
              <w:t>配套筒机支架</w:t>
            </w:r>
          </w:p>
        </w:tc>
        <w:tc>
          <w:tcPr>
            <w:tcW w:w="400" w:type="pct"/>
            <w:vAlign w:val="center"/>
          </w:tcPr>
          <w:p w14:paraId="3427F831">
            <w:pPr>
              <w:widowControl/>
              <w:jc w:val="center"/>
              <w:textAlignment w:val="center"/>
              <w:rPr>
                <w:vertAlign w:val="baseline"/>
              </w:rPr>
            </w:pPr>
            <w:r>
              <w:rPr>
                <w:rFonts w:hint="eastAsia" w:ascii="宋体" w:hAnsi="宋体" w:eastAsia="宋体" w:cs="宋体"/>
                <w:color w:val="000000"/>
                <w:kern w:val="0"/>
                <w:sz w:val="22"/>
                <w:szCs w:val="22"/>
                <w:highlight w:val="none"/>
                <w:lang w:bidi="ar"/>
              </w:rPr>
              <w:t>个</w:t>
            </w:r>
          </w:p>
        </w:tc>
        <w:tc>
          <w:tcPr>
            <w:tcW w:w="412" w:type="pct"/>
            <w:vAlign w:val="center"/>
          </w:tcPr>
          <w:p w14:paraId="13613B93">
            <w:pPr>
              <w:widowControl/>
              <w:jc w:val="center"/>
              <w:textAlignment w:val="center"/>
              <w:rPr>
                <w:vertAlign w:val="baseline"/>
              </w:rPr>
            </w:pPr>
            <w:r>
              <w:rPr>
                <w:rFonts w:hint="eastAsia" w:ascii="宋体" w:hAnsi="宋体" w:eastAsia="宋体" w:cs="宋体"/>
                <w:color w:val="000000"/>
                <w:kern w:val="0"/>
                <w:sz w:val="22"/>
                <w:szCs w:val="22"/>
                <w:highlight w:val="none"/>
                <w:lang w:bidi="ar"/>
              </w:rPr>
              <w:t>123</w:t>
            </w:r>
          </w:p>
        </w:tc>
      </w:tr>
      <w:tr w14:paraId="61A5E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1F8FC057">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29</w:t>
            </w:r>
          </w:p>
        </w:tc>
        <w:tc>
          <w:tcPr>
            <w:tcW w:w="958" w:type="pct"/>
            <w:vAlign w:val="center"/>
          </w:tcPr>
          <w:p w14:paraId="6317379E">
            <w:pPr>
              <w:widowControl/>
              <w:jc w:val="left"/>
              <w:textAlignment w:val="center"/>
              <w:rPr>
                <w:vertAlign w:val="baseline"/>
              </w:rPr>
            </w:pPr>
            <w:r>
              <w:rPr>
                <w:rFonts w:hint="eastAsia" w:ascii="宋体" w:hAnsi="宋体" w:eastAsia="宋体" w:cs="宋体"/>
                <w:color w:val="000000"/>
                <w:kern w:val="0"/>
                <w:sz w:val="22"/>
                <w:szCs w:val="22"/>
                <w:highlight w:val="none"/>
                <w:lang w:bidi="ar"/>
              </w:rPr>
              <w:t>鱼眼半球</w:t>
            </w:r>
          </w:p>
        </w:tc>
        <w:tc>
          <w:tcPr>
            <w:tcW w:w="2832" w:type="pct"/>
            <w:vAlign w:val="top"/>
          </w:tcPr>
          <w:p w14:paraId="3CEBDB43">
            <w:pPr>
              <w:widowControl w:val="0"/>
              <w:bidi w:val="0"/>
              <w:jc w:val="left"/>
              <w:rPr>
                <w:rFonts w:hint="eastAsia" w:ascii="宋体" w:hAnsi="宋体" w:eastAsia="宋体" w:cs="宋体"/>
                <w:sz w:val="20"/>
                <w:szCs w:val="20"/>
              </w:rPr>
            </w:pPr>
            <w:r>
              <w:rPr>
                <w:rFonts w:hint="eastAsia" w:ascii="宋体" w:hAnsi="宋体" w:eastAsia="宋体" w:cs="宋体"/>
                <w:sz w:val="20"/>
                <w:szCs w:val="20"/>
              </w:rPr>
              <w:t>1、支持1920 × 1920 @25 fps，在该分辨率下可输出实时图像；</w:t>
            </w:r>
            <w:r>
              <w:rPr>
                <w:rFonts w:hint="eastAsia" w:ascii="宋体" w:hAnsi="宋体" w:eastAsia="宋体" w:cs="宋体"/>
                <w:sz w:val="20"/>
                <w:szCs w:val="20"/>
              </w:rPr>
              <w:br w:type="textWrapping"/>
            </w:r>
            <w:r>
              <w:rPr>
                <w:rFonts w:hint="eastAsia" w:ascii="宋体" w:hAnsi="宋体" w:eastAsia="宋体" w:cs="宋体"/>
                <w:sz w:val="20"/>
                <w:szCs w:val="20"/>
              </w:rPr>
              <w:t>2、支持背光补偿，强光抑制，3D数字降噪，120 dB宽动态；</w:t>
            </w:r>
            <w:r>
              <w:rPr>
                <w:rFonts w:hint="eastAsia" w:ascii="宋体" w:hAnsi="宋体" w:eastAsia="宋体" w:cs="宋体"/>
                <w:sz w:val="20"/>
                <w:szCs w:val="20"/>
              </w:rPr>
              <w:br w:type="textWrapping"/>
            </w:r>
            <w:r>
              <w:rPr>
                <w:rFonts w:hint="eastAsia" w:ascii="宋体" w:hAnsi="宋体" w:eastAsia="宋体" w:cs="宋体"/>
                <w:sz w:val="20"/>
                <w:szCs w:val="20"/>
              </w:rPr>
              <w:t>3、支持越界侦测，区域入侵侦测；</w:t>
            </w:r>
          </w:p>
          <w:p w14:paraId="6F681BE2">
            <w:pPr>
              <w:widowControl w:val="0"/>
              <w:bidi w:val="0"/>
              <w:jc w:val="left"/>
              <w:rPr>
                <w:rFonts w:hint="eastAsia" w:ascii="宋体" w:hAnsi="宋体" w:eastAsia="宋体" w:cs="宋体"/>
                <w:sz w:val="20"/>
                <w:szCs w:val="20"/>
              </w:rPr>
            </w:pPr>
            <w:r>
              <w:rPr>
                <w:rFonts w:hint="eastAsia" w:ascii="宋体" w:hAnsi="宋体" w:eastAsia="宋体" w:cs="宋体"/>
                <w:sz w:val="20"/>
                <w:szCs w:val="20"/>
              </w:rPr>
              <w:t>4、支持开放型网络视频接口，ISAPI，SDK，GB28181协议接入；</w:t>
            </w:r>
            <w:r>
              <w:rPr>
                <w:rFonts w:hint="eastAsia" w:ascii="宋体" w:hAnsi="宋体" w:eastAsia="宋体" w:cs="宋体"/>
                <w:sz w:val="20"/>
                <w:szCs w:val="20"/>
              </w:rPr>
              <w:br w:type="textWrapping"/>
            </w:r>
            <w:r>
              <w:rPr>
                <w:rFonts w:hint="eastAsia" w:ascii="宋体" w:hAnsi="宋体" w:eastAsia="宋体" w:cs="宋体"/>
                <w:sz w:val="20"/>
                <w:szCs w:val="20"/>
              </w:rPr>
              <w:t>5、采用鱼眼镜头，可用于拍摄360°环视画面，实现无盲区监控；</w:t>
            </w:r>
          </w:p>
          <w:p w14:paraId="0BF5D780">
            <w:pPr>
              <w:widowControl w:val="0"/>
              <w:bidi w:val="0"/>
              <w:jc w:val="left"/>
              <w:rPr>
                <w:rFonts w:hint="eastAsia" w:eastAsia="宋体"/>
                <w:sz w:val="20"/>
                <w:szCs w:val="20"/>
                <w:vertAlign w:val="baseline"/>
                <w:lang w:eastAsia="zh-CN"/>
              </w:rPr>
            </w:pPr>
            <w:r>
              <w:rPr>
                <w:rFonts w:hint="eastAsia" w:ascii="宋体" w:hAnsi="宋体" w:eastAsia="宋体" w:cs="宋体"/>
                <w:sz w:val="20"/>
                <w:szCs w:val="20"/>
              </w:rPr>
              <w:t>6、采用高效红外灯，使用寿命长，红外照射直径范围最远可达10 m；</w:t>
            </w:r>
            <w:r>
              <w:rPr>
                <w:rFonts w:hint="eastAsia" w:ascii="宋体" w:hAnsi="宋体" w:eastAsia="宋体" w:cs="宋体"/>
                <w:sz w:val="20"/>
                <w:szCs w:val="20"/>
              </w:rPr>
              <w:br w:type="textWrapping"/>
            </w:r>
            <w:r>
              <w:rPr>
                <w:rFonts w:hint="eastAsia" w:ascii="宋体" w:hAnsi="宋体" w:eastAsia="宋体" w:cs="宋体"/>
                <w:sz w:val="20"/>
                <w:szCs w:val="20"/>
              </w:rPr>
              <w:t>7、支持10 M/100 M自适应网口；</w:t>
            </w:r>
            <w:r>
              <w:rPr>
                <w:rFonts w:hint="eastAsia" w:ascii="宋体" w:hAnsi="宋体" w:eastAsia="宋体" w:cs="宋体"/>
                <w:sz w:val="20"/>
                <w:szCs w:val="20"/>
              </w:rPr>
              <w:br w:type="textWrapping"/>
            </w:r>
            <w:r>
              <w:rPr>
                <w:rFonts w:hint="eastAsia" w:ascii="宋体" w:hAnsi="宋体" w:eastAsia="宋体" w:cs="宋体"/>
                <w:sz w:val="20"/>
                <w:szCs w:val="20"/>
              </w:rPr>
              <w:t>8、支持14种软解显示模式：鱼眼原图、180全景、360全景、360全景+PTZ、360全景+3PTZ、360全景+6PTZ、360全景+8PTZ、2PTZ、4PTZ、鱼眼+3PTZ、鱼眼+8PTZ、半球、AR半球、圆柱展开；</w:t>
            </w:r>
            <w:r>
              <w:rPr>
                <w:rFonts w:hint="eastAsia" w:ascii="宋体" w:hAnsi="宋体" w:eastAsia="宋体" w:cs="宋体"/>
                <w:sz w:val="20"/>
                <w:szCs w:val="20"/>
              </w:rPr>
              <w:br w:type="textWrapping"/>
            </w:r>
            <w:r>
              <w:rPr>
                <w:rFonts w:hint="eastAsia" w:ascii="宋体" w:hAnsi="宋体" w:eastAsia="宋体" w:cs="宋体"/>
                <w:sz w:val="20"/>
                <w:szCs w:val="20"/>
              </w:rPr>
              <w:t>9、视频压缩标准：主码流：H.265/H.264支持超级智能编码</w:t>
            </w:r>
            <w:r>
              <w:rPr>
                <w:rFonts w:hint="eastAsia" w:ascii="宋体" w:hAnsi="宋体" w:cs="宋体"/>
                <w:sz w:val="20"/>
                <w:szCs w:val="20"/>
                <w:lang w:eastAsia="zh-CN"/>
              </w:rPr>
              <w:t>；</w:t>
            </w:r>
          </w:p>
        </w:tc>
        <w:tc>
          <w:tcPr>
            <w:tcW w:w="400" w:type="pct"/>
            <w:vAlign w:val="center"/>
          </w:tcPr>
          <w:p w14:paraId="669A3B74">
            <w:pPr>
              <w:widowControl/>
              <w:jc w:val="center"/>
              <w:textAlignment w:val="center"/>
              <w:rPr>
                <w:vertAlign w:val="baseline"/>
              </w:rPr>
            </w:pPr>
            <w:r>
              <w:rPr>
                <w:rFonts w:hint="eastAsia" w:ascii="宋体" w:hAnsi="宋体" w:eastAsia="宋体" w:cs="宋体"/>
                <w:color w:val="000000"/>
                <w:kern w:val="0"/>
                <w:sz w:val="22"/>
                <w:szCs w:val="22"/>
                <w:highlight w:val="none"/>
                <w:lang w:bidi="ar"/>
              </w:rPr>
              <w:t>个</w:t>
            </w:r>
          </w:p>
        </w:tc>
        <w:tc>
          <w:tcPr>
            <w:tcW w:w="412" w:type="pct"/>
            <w:vAlign w:val="center"/>
          </w:tcPr>
          <w:p w14:paraId="72ECA16D">
            <w:pPr>
              <w:widowControl/>
              <w:jc w:val="center"/>
              <w:textAlignment w:val="center"/>
              <w:rPr>
                <w:vertAlign w:val="baseline"/>
              </w:rPr>
            </w:pPr>
            <w:r>
              <w:rPr>
                <w:rFonts w:hint="eastAsia" w:ascii="宋体" w:hAnsi="宋体" w:eastAsia="宋体" w:cs="宋体"/>
                <w:color w:val="000000"/>
                <w:kern w:val="0"/>
                <w:sz w:val="22"/>
                <w:szCs w:val="22"/>
                <w:highlight w:val="none"/>
                <w:lang w:bidi="ar"/>
              </w:rPr>
              <w:t>12</w:t>
            </w:r>
          </w:p>
        </w:tc>
      </w:tr>
      <w:tr w14:paraId="3EDF9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236DD5F6">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30</w:t>
            </w:r>
          </w:p>
        </w:tc>
        <w:tc>
          <w:tcPr>
            <w:tcW w:w="958" w:type="pct"/>
            <w:vAlign w:val="center"/>
          </w:tcPr>
          <w:p w14:paraId="43931FB8">
            <w:pPr>
              <w:widowControl/>
              <w:jc w:val="left"/>
              <w:textAlignment w:val="center"/>
              <w:rPr>
                <w:vertAlign w:val="baseline"/>
              </w:rPr>
            </w:pPr>
            <w:r>
              <w:rPr>
                <w:rFonts w:hint="eastAsia" w:ascii="宋体" w:hAnsi="宋体" w:eastAsia="宋体" w:cs="宋体"/>
                <w:color w:val="000000"/>
                <w:kern w:val="0"/>
                <w:sz w:val="22"/>
                <w:szCs w:val="22"/>
                <w:highlight w:val="none"/>
                <w:lang w:bidi="ar"/>
              </w:rPr>
              <w:t>大模型智能球型摄像机</w:t>
            </w:r>
          </w:p>
        </w:tc>
        <w:tc>
          <w:tcPr>
            <w:tcW w:w="2832" w:type="pct"/>
            <w:vAlign w:val="top"/>
          </w:tcPr>
          <w:p w14:paraId="39535388">
            <w:pPr>
              <w:widowControl w:val="0"/>
              <w:bidi w:val="0"/>
              <w:jc w:val="left"/>
              <w:rPr>
                <w:rFonts w:hint="eastAsia" w:ascii="宋体" w:hAnsi="宋体" w:eastAsia="宋体" w:cs="宋体"/>
                <w:sz w:val="20"/>
                <w:szCs w:val="20"/>
              </w:rPr>
            </w:pPr>
            <w:r>
              <w:rPr>
                <w:rFonts w:hint="eastAsia" w:ascii="宋体" w:hAnsi="宋体" w:eastAsia="宋体" w:cs="宋体"/>
                <w:sz w:val="20"/>
                <w:szCs w:val="20"/>
              </w:rPr>
              <w:t>1、视频图像分辨率不低于2688×1520</w:t>
            </w:r>
            <w:r>
              <w:rPr>
                <w:rFonts w:hint="eastAsia" w:ascii="宋体" w:hAnsi="宋体" w:eastAsia="宋体" w:cs="宋体"/>
                <w:sz w:val="20"/>
                <w:szCs w:val="20"/>
              </w:rPr>
              <w:br w:type="textWrapping"/>
            </w:r>
            <w:r>
              <w:rPr>
                <w:rFonts w:hint="eastAsia" w:ascii="宋体" w:hAnsi="宋体" w:eastAsia="宋体" w:cs="宋体"/>
                <w:sz w:val="20"/>
                <w:szCs w:val="20"/>
              </w:rPr>
              <w:t>2、最低照度：彩色≤0.0005lx，黑白≤0.0001lx</w:t>
            </w:r>
            <w:r>
              <w:rPr>
                <w:rFonts w:hint="eastAsia" w:ascii="宋体" w:hAnsi="宋体" w:eastAsia="宋体" w:cs="宋体"/>
                <w:sz w:val="20"/>
                <w:szCs w:val="20"/>
              </w:rPr>
              <w:br w:type="textWrapping"/>
            </w:r>
            <w:r>
              <w:rPr>
                <w:rFonts w:hint="eastAsia" w:ascii="宋体" w:hAnsi="宋体" w:eastAsia="宋体" w:cs="宋体"/>
                <w:sz w:val="20"/>
                <w:szCs w:val="20"/>
              </w:rPr>
              <w:t xml:space="preserve">3、★内置GPU芯片；摄像机靶面尺寸不小于1/1.8英寸;采用基于transformer架构的大模型算法，内置1颗算力为10TOPS的NPU芯片，提供有效证明材料。            </w:t>
            </w:r>
            <w:r>
              <w:rPr>
                <w:rFonts w:hint="eastAsia" w:ascii="宋体" w:hAnsi="宋体" w:eastAsia="宋体" w:cs="宋体"/>
                <w:sz w:val="20"/>
                <w:szCs w:val="20"/>
              </w:rPr>
              <w:br w:type="textWrapping"/>
            </w:r>
            <w:r>
              <w:rPr>
                <w:rFonts w:hint="eastAsia" w:ascii="宋体" w:hAnsi="宋体" w:eastAsia="宋体" w:cs="宋体"/>
                <w:sz w:val="20"/>
                <w:szCs w:val="20"/>
              </w:rPr>
              <w:t>4、摄像机内置镜头，支持不小于25倍光学变倍，镜头最大焦距不小于147mm；</w:t>
            </w:r>
            <w:r>
              <w:rPr>
                <w:rFonts w:hint="eastAsia" w:ascii="宋体" w:hAnsi="宋体" w:eastAsia="宋体" w:cs="宋体"/>
                <w:sz w:val="20"/>
                <w:szCs w:val="20"/>
              </w:rPr>
              <w:br w:type="textWrapping"/>
            </w:r>
            <w:r>
              <w:rPr>
                <w:rFonts w:hint="eastAsia" w:ascii="宋体" w:hAnsi="宋体" w:eastAsia="宋体" w:cs="宋体"/>
                <w:sz w:val="20"/>
                <w:szCs w:val="20"/>
              </w:rPr>
              <w:t>5、设备支持水平旋转范围0~360°连续旋转，垂直旋转范围-15°~90°;具有300个预置位，可设置8条巡航路径。支持预置位视频冻结功能；</w:t>
            </w:r>
            <w:r>
              <w:rPr>
                <w:rFonts w:hint="eastAsia" w:ascii="宋体" w:hAnsi="宋体" w:eastAsia="宋体" w:cs="宋体"/>
                <w:sz w:val="20"/>
                <w:szCs w:val="20"/>
              </w:rPr>
              <w:br w:type="textWrapping"/>
            </w:r>
            <w:r>
              <w:rPr>
                <w:rFonts w:hint="eastAsia" w:ascii="宋体" w:hAnsi="宋体" w:eastAsia="宋体" w:cs="宋体"/>
                <w:sz w:val="20"/>
                <w:szCs w:val="20"/>
              </w:rPr>
              <w:t>6、可通过IE浏览器将视频编码格式设置为 H.265、H.264、MJPEG；</w:t>
            </w:r>
            <w:r>
              <w:rPr>
                <w:rFonts w:hint="eastAsia" w:ascii="宋体" w:hAnsi="宋体" w:eastAsia="宋体" w:cs="宋体"/>
                <w:sz w:val="20"/>
                <w:szCs w:val="20"/>
              </w:rPr>
              <w:br w:type="textWrapping"/>
            </w:r>
            <w:r>
              <w:rPr>
                <w:rFonts w:hint="eastAsia" w:ascii="宋体" w:hAnsi="宋体" w:eastAsia="宋体" w:cs="宋体"/>
                <w:sz w:val="20"/>
                <w:szCs w:val="20"/>
              </w:rPr>
              <w:t>7、设备可对监控画面中不小于15个人脸进行检测、跟踪并进行抓拍图片；支持人脸图片对比功能，提供有效证明材料。</w:t>
            </w:r>
          </w:p>
          <w:p w14:paraId="05ADF4D7">
            <w:pPr>
              <w:widowControl w:val="0"/>
              <w:bidi w:val="0"/>
              <w:jc w:val="left"/>
              <w:rPr>
                <w:rFonts w:hint="eastAsia" w:ascii="宋体" w:hAnsi="宋体" w:eastAsia="宋体" w:cs="宋体"/>
                <w:sz w:val="20"/>
                <w:szCs w:val="20"/>
              </w:rPr>
            </w:pPr>
            <w:r>
              <w:rPr>
                <w:rFonts w:hint="eastAsia" w:ascii="宋体" w:hAnsi="宋体" w:eastAsia="宋体" w:cs="宋体"/>
                <w:sz w:val="20"/>
                <w:szCs w:val="20"/>
              </w:rPr>
              <w:t>8、★支持大模型结构化混行目标检测功能，支持混行目标（类型包括行人、人脸、车辆、非机动车）检测、抓拍及结构化属性分析;设备可对镜头前玻璃进行加热，去除玻璃上的冰状和水状附着物；</w:t>
            </w:r>
            <w:r>
              <w:rPr>
                <w:rFonts w:hint="eastAsia" w:ascii="宋体" w:hAnsi="宋体" w:eastAsia="宋体" w:cs="宋体"/>
                <w:sz w:val="20"/>
                <w:szCs w:val="20"/>
              </w:rPr>
              <w:br w:type="textWrapping"/>
            </w:r>
            <w:r>
              <w:rPr>
                <w:rFonts w:hint="eastAsia" w:ascii="宋体" w:hAnsi="宋体" w:eastAsia="宋体" w:cs="宋体"/>
                <w:sz w:val="20"/>
                <w:szCs w:val="20"/>
              </w:rPr>
              <w:t xml:space="preserve">9、★设备具有AI-ISP图像质量提升功能，在低照度环境下，可自动调节预览场景视频画面中人脸、人体、车辆等目标及预览场景视频画面的区域曝光、亮度、色彩饱和度、对比度、锐度等；         </w:t>
            </w:r>
            <w:r>
              <w:rPr>
                <w:rFonts w:hint="eastAsia" w:ascii="宋体" w:hAnsi="宋体" w:eastAsia="宋体" w:cs="宋体"/>
                <w:sz w:val="20"/>
                <w:szCs w:val="20"/>
              </w:rPr>
              <w:br w:type="textWrapping"/>
            </w:r>
            <w:r>
              <w:rPr>
                <w:rFonts w:hint="eastAsia" w:ascii="宋体" w:hAnsi="宋体" w:eastAsia="宋体" w:cs="宋体"/>
                <w:sz w:val="20"/>
                <w:szCs w:val="20"/>
              </w:rPr>
              <w:t>10、设备内置8GB eMMC，内置大模型算法芯片，可调用大模型算法检测并分类识别目标（人员、机动车、动物），提供有效证明材料。</w:t>
            </w:r>
          </w:p>
          <w:p w14:paraId="26930A17">
            <w:pPr>
              <w:widowControl w:val="0"/>
              <w:bidi w:val="0"/>
              <w:jc w:val="left"/>
              <w:rPr>
                <w:rFonts w:hint="eastAsia" w:ascii="宋体" w:hAnsi="宋体" w:eastAsia="宋体" w:cs="宋体"/>
                <w:sz w:val="20"/>
                <w:szCs w:val="20"/>
              </w:rPr>
            </w:pPr>
            <w:r>
              <w:rPr>
                <w:rFonts w:hint="eastAsia" w:ascii="宋体" w:hAnsi="宋体" w:eastAsia="宋体" w:cs="宋体"/>
                <w:sz w:val="20"/>
                <w:szCs w:val="20"/>
              </w:rPr>
              <w:t>11.备具有 VR 全景拼接功能，拼接图像具有柱状全景图和鱼眼全景图 2 种模式，生成柱状全景图分辨率为 8192×2436，鱼眼全景图分辨率为3446×3446；</w:t>
            </w:r>
            <w:r>
              <w:rPr>
                <w:rFonts w:hint="eastAsia" w:ascii="宋体" w:hAnsi="宋体" w:eastAsia="宋体" w:cs="宋体"/>
                <w:sz w:val="20"/>
                <w:szCs w:val="20"/>
              </w:rPr>
              <w:br w:type="textWrapping"/>
            </w:r>
            <w:r>
              <w:rPr>
                <w:rFonts w:hint="eastAsia" w:ascii="宋体" w:hAnsi="宋体" w:eastAsia="宋体" w:cs="宋体"/>
                <w:sz w:val="20"/>
                <w:szCs w:val="20"/>
              </w:rPr>
              <w:t>12、设备具有 VR 展示功能，可在客户端软件展示实时视频和生成的全景图；全景图可与实时视频联动，可通过点击全景图，使实时视频画面转动至点击位置；</w:t>
            </w:r>
            <w:r>
              <w:rPr>
                <w:rFonts w:hint="eastAsia" w:ascii="宋体" w:hAnsi="宋体" w:eastAsia="宋体" w:cs="宋体"/>
                <w:sz w:val="20"/>
                <w:szCs w:val="20"/>
              </w:rPr>
              <w:br w:type="textWrapping"/>
            </w:r>
            <w:r>
              <w:rPr>
                <w:rFonts w:hint="eastAsia" w:ascii="宋体" w:hAnsi="宋体" w:eastAsia="宋体" w:cs="宋体"/>
                <w:sz w:val="20"/>
                <w:szCs w:val="20"/>
              </w:rPr>
              <w:t>13、支持开启、关闭智能文搜功能，功能开启后，设备可上传目标场景图片及目标信息，目标信息包括出现的时间、目标类别、在视场中的位置；</w:t>
            </w:r>
          </w:p>
          <w:p w14:paraId="5CA37ADE">
            <w:pPr>
              <w:widowControl w:val="0"/>
              <w:bidi w:val="0"/>
              <w:jc w:val="left"/>
              <w:rPr>
                <w:rFonts w:hint="eastAsia" w:ascii="宋体" w:hAnsi="宋体" w:eastAsia="宋体" w:cs="宋体"/>
                <w:sz w:val="20"/>
                <w:szCs w:val="20"/>
              </w:rPr>
            </w:pPr>
            <w:r>
              <w:rPr>
                <w:rFonts w:hint="eastAsia" w:ascii="宋体" w:hAnsi="宋体" w:eastAsia="宋体" w:cs="宋体"/>
                <w:sz w:val="20"/>
                <w:szCs w:val="20"/>
              </w:rPr>
              <w:t>14、设备内置暖白光补光灯，在夜晚天气晴朗无遮挡的情况下，仅开启暖白光补光灯，可识别距离设备至少30m处的人体轮廓；红外作用距离：可识别距离设备至少200m处的人体轮廓；</w:t>
            </w:r>
            <w:r>
              <w:rPr>
                <w:rFonts w:hint="eastAsia" w:ascii="宋体" w:hAnsi="宋体" w:eastAsia="宋体" w:cs="宋体"/>
                <w:sz w:val="20"/>
                <w:szCs w:val="20"/>
              </w:rPr>
              <w:br w:type="textWrapping"/>
            </w:r>
            <w:r>
              <w:rPr>
                <w:rFonts w:hint="eastAsia" w:ascii="宋体" w:hAnsi="宋体" w:eastAsia="宋体" w:cs="宋体"/>
                <w:sz w:val="20"/>
                <w:szCs w:val="20"/>
              </w:rPr>
              <w:t>15、具有2路报警输入、1路报警输出、1路音频输入、1路音频输出，提供有效证明材料。</w:t>
            </w:r>
          </w:p>
          <w:p w14:paraId="433C473C">
            <w:pPr>
              <w:widowControl w:val="0"/>
              <w:bidi w:val="0"/>
              <w:jc w:val="left"/>
              <w:rPr>
                <w:sz w:val="20"/>
                <w:szCs w:val="20"/>
                <w:vertAlign w:val="baseline"/>
              </w:rPr>
            </w:pPr>
            <w:r>
              <w:rPr>
                <w:rFonts w:hint="eastAsia" w:ascii="宋体" w:hAnsi="宋体" w:eastAsia="宋体" w:cs="宋体"/>
                <w:sz w:val="20"/>
                <w:szCs w:val="20"/>
              </w:rPr>
              <w:t>16、外壳防护能力不低于IP66</w:t>
            </w:r>
          </w:p>
        </w:tc>
        <w:tc>
          <w:tcPr>
            <w:tcW w:w="400" w:type="pct"/>
            <w:vAlign w:val="center"/>
          </w:tcPr>
          <w:p w14:paraId="6C56AD10">
            <w:pPr>
              <w:widowControl/>
              <w:jc w:val="center"/>
              <w:textAlignment w:val="center"/>
              <w:rPr>
                <w:vertAlign w:val="baseline"/>
              </w:rPr>
            </w:pPr>
            <w:r>
              <w:rPr>
                <w:rFonts w:hint="eastAsia" w:ascii="宋体" w:hAnsi="宋体" w:eastAsia="宋体" w:cs="宋体"/>
                <w:color w:val="000000"/>
                <w:kern w:val="0"/>
                <w:sz w:val="22"/>
                <w:szCs w:val="22"/>
                <w:highlight w:val="none"/>
                <w:lang w:bidi="ar"/>
              </w:rPr>
              <w:t>台</w:t>
            </w:r>
          </w:p>
        </w:tc>
        <w:tc>
          <w:tcPr>
            <w:tcW w:w="412" w:type="pct"/>
            <w:vAlign w:val="center"/>
          </w:tcPr>
          <w:p w14:paraId="5B3FE6B0">
            <w:pPr>
              <w:widowControl/>
              <w:jc w:val="center"/>
              <w:textAlignment w:val="center"/>
              <w:rPr>
                <w:vertAlign w:val="baseline"/>
              </w:rPr>
            </w:pPr>
            <w:r>
              <w:rPr>
                <w:rFonts w:hint="eastAsia" w:ascii="宋体" w:hAnsi="宋体" w:eastAsia="宋体" w:cs="宋体"/>
                <w:color w:val="000000"/>
                <w:kern w:val="0"/>
                <w:sz w:val="22"/>
                <w:szCs w:val="22"/>
                <w:highlight w:val="none"/>
                <w:lang w:bidi="ar"/>
              </w:rPr>
              <w:t>5</w:t>
            </w:r>
          </w:p>
        </w:tc>
      </w:tr>
      <w:tr w14:paraId="7C6C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2B55D008">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31</w:t>
            </w:r>
          </w:p>
        </w:tc>
        <w:tc>
          <w:tcPr>
            <w:tcW w:w="958" w:type="pct"/>
            <w:vAlign w:val="center"/>
          </w:tcPr>
          <w:p w14:paraId="40BA19F4">
            <w:pPr>
              <w:widowControl/>
              <w:jc w:val="left"/>
              <w:textAlignment w:val="center"/>
              <w:rPr>
                <w:vertAlign w:val="baseline"/>
              </w:rPr>
            </w:pPr>
            <w:r>
              <w:rPr>
                <w:rFonts w:hint="eastAsia" w:ascii="宋体" w:hAnsi="宋体" w:eastAsia="宋体" w:cs="宋体"/>
                <w:color w:val="000000"/>
                <w:kern w:val="0"/>
                <w:sz w:val="22"/>
                <w:szCs w:val="22"/>
                <w:highlight w:val="none"/>
                <w:lang w:bidi="ar"/>
              </w:rPr>
              <w:t>球机支架</w:t>
            </w:r>
          </w:p>
        </w:tc>
        <w:tc>
          <w:tcPr>
            <w:tcW w:w="2832" w:type="pct"/>
            <w:vAlign w:val="center"/>
          </w:tcPr>
          <w:p w14:paraId="5D13E761">
            <w:pPr>
              <w:widowControl w:val="0"/>
              <w:bidi w:val="0"/>
              <w:jc w:val="left"/>
              <w:rPr>
                <w:sz w:val="20"/>
                <w:szCs w:val="20"/>
                <w:vertAlign w:val="baseline"/>
              </w:rPr>
            </w:pPr>
            <w:r>
              <w:rPr>
                <w:rFonts w:hint="eastAsia" w:ascii="宋体" w:hAnsi="宋体" w:eastAsia="宋体" w:cs="宋体"/>
                <w:sz w:val="20"/>
                <w:szCs w:val="20"/>
              </w:rPr>
              <w:t>配套球机支架</w:t>
            </w:r>
          </w:p>
        </w:tc>
        <w:tc>
          <w:tcPr>
            <w:tcW w:w="400" w:type="pct"/>
            <w:vAlign w:val="center"/>
          </w:tcPr>
          <w:p w14:paraId="3D6C2B3B">
            <w:pPr>
              <w:widowControl/>
              <w:jc w:val="center"/>
              <w:textAlignment w:val="center"/>
              <w:rPr>
                <w:vertAlign w:val="baseline"/>
              </w:rPr>
            </w:pPr>
            <w:r>
              <w:rPr>
                <w:rFonts w:hint="eastAsia" w:ascii="宋体" w:hAnsi="宋体" w:eastAsia="宋体" w:cs="宋体"/>
                <w:color w:val="000000"/>
                <w:kern w:val="0"/>
                <w:sz w:val="22"/>
                <w:szCs w:val="22"/>
                <w:highlight w:val="none"/>
                <w:lang w:bidi="ar"/>
              </w:rPr>
              <w:t>个</w:t>
            </w:r>
          </w:p>
        </w:tc>
        <w:tc>
          <w:tcPr>
            <w:tcW w:w="412" w:type="pct"/>
            <w:vAlign w:val="center"/>
          </w:tcPr>
          <w:p w14:paraId="64FCF3B8">
            <w:pPr>
              <w:widowControl/>
              <w:jc w:val="center"/>
              <w:textAlignment w:val="center"/>
              <w:rPr>
                <w:vertAlign w:val="baseline"/>
              </w:rPr>
            </w:pPr>
            <w:r>
              <w:rPr>
                <w:rFonts w:hint="eastAsia" w:ascii="宋体" w:hAnsi="宋体" w:eastAsia="宋体" w:cs="宋体"/>
                <w:color w:val="000000"/>
                <w:kern w:val="0"/>
                <w:sz w:val="22"/>
                <w:szCs w:val="22"/>
                <w:highlight w:val="none"/>
                <w:lang w:bidi="ar"/>
              </w:rPr>
              <w:t>5</w:t>
            </w:r>
          </w:p>
        </w:tc>
      </w:tr>
      <w:tr w14:paraId="5452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4FE3E47B">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32</w:t>
            </w:r>
          </w:p>
        </w:tc>
        <w:tc>
          <w:tcPr>
            <w:tcW w:w="958" w:type="pct"/>
            <w:vAlign w:val="center"/>
          </w:tcPr>
          <w:p w14:paraId="37D00A08">
            <w:pPr>
              <w:widowControl/>
              <w:jc w:val="left"/>
              <w:textAlignment w:val="center"/>
              <w:rPr>
                <w:vertAlign w:val="baseline"/>
              </w:rPr>
            </w:pPr>
            <w:r>
              <w:rPr>
                <w:rFonts w:hint="eastAsia" w:ascii="宋体" w:hAnsi="宋体" w:eastAsia="宋体" w:cs="宋体"/>
                <w:color w:val="000000"/>
                <w:kern w:val="0"/>
                <w:sz w:val="22"/>
                <w:szCs w:val="22"/>
                <w:highlight w:val="none"/>
                <w:lang w:bidi="ar"/>
              </w:rPr>
              <w:t>智能网络存储设备</w:t>
            </w:r>
          </w:p>
        </w:tc>
        <w:tc>
          <w:tcPr>
            <w:tcW w:w="2832" w:type="pct"/>
            <w:vAlign w:val="top"/>
          </w:tcPr>
          <w:p w14:paraId="42C46537">
            <w:pPr>
              <w:widowControl w:val="0"/>
              <w:bidi w:val="0"/>
              <w:jc w:val="left"/>
              <w:rPr>
                <w:rFonts w:hint="eastAsia" w:ascii="宋体" w:hAnsi="宋体" w:eastAsia="宋体" w:cs="宋体"/>
                <w:sz w:val="20"/>
                <w:szCs w:val="20"/>
              </w:rPr>
            </w:pPr>
            <w:r>
              <w:rPr>
                <w:rFonts w:hint="eastAsia" w:ascii="宋体" w:hAnsi="宋体" w:eastAsia="宋体" w:cs="宋体"/>
                <w:sz w:val="20"/>
                <w:szCs w:val="20"/>
              </w:rPr>
              <w:t>1、输入带宽至少850Mbps，图片性能：最大支持30张/S（单张图片500KB），回放性能：最大支持35路2Mbps；包含至少360T企业级硬盘。</w:t>
            </w:r>
          </w:p>
          <w:p w14:paraId="53A7EC79">
            <w:pPr>
              <w:widowControl w:val="0"/>
              <w:bidi w:val="0"/>
              <w:jc w:val="left"/>
              <w:rPr>
                <w:rFonts w:hint="eastAsia" w:ascii="宋体" w:hAnsi="宋体" w:eastAsia="宋体" w:cs="宋体"/>
                <w:sz w:val="20"/>
                <w:szCs w:val="20"/>
              </w:rPr>
            </w:pPr>
            <w:r>
              <w:rPr>
                <w:rFonts w:hint="eastAsia" w:ascii="宋体" w:hAnsi="宋体" w:eastAsia="宋体" w:cs="宋体"/>
                <w:sz w:val="20"/>
                <w:szCs w:val="20"/>
              </w:rPr>
              <w:t>2、Linux存储专用操作系统，配置1颗64位多核处理器，配置16GB内存，并可扩展到64GB；支持不少于3个风扇，可热插拔冗余温控调速风扇。</w:t>
            </w:r>
          </w:p>
          <w:p w14:paraId="23AB0DF8">
            <w:pPr>
              <w:widowControl w:val="0"/>
              <w:bidi w:val="0"/>
              <w:jc w:val="left"/>
              <w:rPr>
                <w:rFonts w:hint="eastAsia" w:ascii="宋体" w:hAnsi="宋体" w:eastAsia="宋体" w:cs="宋体"/>
                <w:sz w:val="20"/>
                <w:szCs w:val="20"/>
              </w:rPr>
            </w:pPr>
            <w:r>
              <w:rPr>
                <w:rFonts w:hint="eastAsia" w:ascii="宋体" w:hAnsi="宋体" w:eastAsia="宋体" w:cs="宋体"/>
                <w:sz w:val="20"/>
                <w:szCs w:val="20"/>
              </w:rPr>
              <w:t>3、设备具有1个RS232串口/CONSOLE接口、1个VGA接口、1个HDMI、2个USB2.0接口、2个USB3.0接口、2个千兆网口、1个千兆管理网口、支持PCI-E3.0插槽，采用可热插拔1+1AC220V电源，机箱具备防尘滤网和双立柱。</w:t>
            </w:r>
          </w:p>
          <w:p w14:paraId="5E6926E0">
            <w:pPr>
              <w:widowControl w:val="0"/>
              <w:bidi w:val="0"/>
              <w:jc w:val="left"/>
              <w:rPr>
                <w:rFonts w:hint="eastAsia" w:ascii="宋体" w:hAnsi="宋体" w:eastAsia="宋体" w:cs="宋体"/>
                <w:sz w:val="20"/>
                <w:szCs w:val="20"/>
              </w:rPr>
            </w:pPr>
            <w:r>
              <w:rPr>
                <w:rFonts w:hint="eastAsia" w:ascii="宋体" w:hAnsi="宋体" w:eastAsia="宋体" w:cs="宋体"/>
                <w:sz w:val="20"/>
                <w:szCs w:val="20"/>
              </w:rPr>
              <w:t>4、★在RAID内丢失2块（含）以上硬盘但至少有1块正常磁盘时，无需等待丢失盘恢复，保留的硬盘中的数据可正常读出，且新数据可正常写入。</w:t>
            </w:r>
          </w:p>
          <w:p w14:paraId="46904E8E">
            <w:pPr>
              <w:widowControl w:val="0"/>
              <w:bidi w:val="0"/>
              <w:jc w:val="left"/>
              <w:rPr>
                <w:rFonts w:hint="eastAsia" w:ascii="宋体" w:hAnsi="宋体" w:eastAsia="宋体" w:cs="宋体"/>
                <w:sz w:val="20"/>
                <w:szCs w:val="20"/>
              </w:rPr>
            </w:pPr>
            <w:r>
              <w:rPr>
                <w:rFonts w:hint="eastAsia" w:ascii="宋体" w:hAnsi="宋体" w:eastAsia="宋体" w:cs="宋体"/>
                <w:sz w:val="20"/>
                <w:szCs w:val="20"/>
              </w:rPr>
              <w:t>5、可对视音频、图片、智能数据（智能行为分析录像）流进行混合直存，无须存储服务器和图片服务器的参与，平台服务器宕机时，存储业务正常</w:t>
            </w:r>
            <w:r>
              <w:rPr>
                <w:rFonts w:hint="eastAsia" w:ascii="宋体" w:hAnsi="宋体" w:cs="宋体"/>
                <w:sz w:val="20"/>
                <w:szCs w:val="20"/>
                <w:lang w:eastAsia="zh-CN"/>
              </w:rPr>
              <w:t>，</w:t>
            </w:r>
            <w:r>
              <w:rPr>
                <w:rFonts w:hint="eastAsia" w:ascii="宋体" w:hAnsi="宋体" w:eastAsia="宋体" w:cs="宋体"/>
                <w:sz w:val="20"/>
                <w:szCs w:val="20"/>
              </w:rPr>
              <w:t>提供有效证明材料。</w:t>
            </w:r>
          </w:p>
          <w:p w14:paraId="5D65EB28">
            <w:pPr>
              <w:widowControl w:val="0"/>
              <w:bidi w:val="0"/>
              <w:jc w:val="left"/>
              <w:rPr>
                <w:rFonts w:hint="eastAsia" w:ascii="宋体" w:hAnsi="宋体" w:eastAsia="宋体" w:cs="宋体"/>
                <w:sz w:val="20"/>
                <w:szCs w:val="20"/>
              </w:rPr>
            </w:pPr>
            <w:r>
              <w:rPr>
                <w:rFonts w:hint="eastAsia" w:ascii="宋体" w:hAnsi="宋体" w:eastAsia="宋体" w:cs="宋体"/>
                <w:sz w:val="20"/>
                <w:szCs w:val="20"/>
              </w:rPr>
              <w:t>6、★设备内置大模型算法引擎，支持对目标图像和自然语言的多模态大模型建模，建立目标图像和自然语言的对应关系，目标包括人、车、非机动车及其附属物品</w:t>
            </w:r>
            <w:r>
              <w:rPr>
                <w:rFonts w:hint="eastAsia" w:ascii="宋体" w:hAnsi="宋体" w:eastAsia="宋体" w:cs="宋体"/>
                <w:sz w:val="20"/>
                <w:szCs w:val="20"/>
                <w:lang w:eastAsia="zh-CN"/>
              </w:rPr>
              <w:t>，</w:t>
            </w:r>
            <w:r>
              <w:rPr>
                <w:rFonts w:hint="eastAsia" w:ascii="宋体" w:hAnsi="宋体" w:eastAsia="宋体" w:cs="宋体"/>
                <w:sz w:val="20"/>
                <w:szCs w:val="20"/>
              </w:rPr>
              <w:t>提供有效证明材料。</w:t>
            </w:r>
          </w:p>
          <w:p w14:paraId="6B2AC5D8">
            <w:pPr>
              <w:widowControl w:val="0"/>
              <w:bidi w:val="0"/>
              <w:jc w:val="left"/>
              <w:rPr>
                <w:rFonts w:hint="eastAsia" w:ascii="宋体" w:hAnsi="宋体" w:eastAsia="宋体" w:cs="宋体"/>
                <w:sz w:val="20"/>
                <w:szCs w:val="20"/>
              </w:rPr>
            </w:pPr>
            <w:r>
              <w:rPr>
                <w:rFonts w:hint="eastAsia" w:ascii="宋体" w:hAnsi="宋体" w:eastAsia="宋体" w:cs="宋体"/>
                <w:sz w:val="20"/>
                <w:szCs w:val="20"/>
              </w:rPr>
              <w:t>7、</w:t>
            </w:r>
            <w:r>
              <w:rPr>
                <w:rFonts w:hint="eastAsia" w:ascii="宋体" w:hAnsi="宋体" w:eastAsia="宋体" w:cs="宋体"/>
                <w:sz w:val="20"/>
                <w:szCs w:val="20"/>
                <w:lang w:val="en-US" w:eastAsia="en-US"/>
              </w:rPr>
              <w:t>★</w:t>
            </w:r>
            <w:r>
              <w:rPr>
                <w:rFonts w:hint="eastAsia" w:ascii="宋体" w:hAnsi="宋体" w:eastAsia="宋体" w:cs="宋体"/>
                <w:sz w:val="20"/>
                <w:szCs w:val="20"/>
              </w:rPr>
              <w:t>支持接入智能相机、结构化相机、抓拍机，对图片中的目标进行多模态大模型建模，目标图片大模型建模性能20张/s。</w:t>
            </w:r>
          </w:p>
          <w:p w14:paraId="57C1ED62">
            <w:pPr>
              <w:widowControl w:val="0"/>
              <w:bidi w:val="0"/>
              <w:jc w:val="left"/>
              <w:rPr>
                <w:rFonts w:hint="eastAsia" w:ascii="宋体" w:hAnsi="宋体" w:eastAsia="宋体" w:cs="宋体"/>
                <w:sz w:val="20"/>
                <w:szCs w:val="20"/>
              </w:rPr>
            </w:pPr>
            <w:r>
              <w:rPr>
                <w:rFonts w:hint="eastAsia" w:ascii="宋体" w:hAnsi="宋体" w:eastAsia="宋体" w:cs="宋体"/>
                <w:sz w:val="20"/>
                <w:szCs w:val="20"/>
              </w:rPr>
              <w:t>8、以文搜图支持秒级检索，500w条目标数据3s内出结果，首页以文搜图结果正样本召回率大于90%。</w:t>
            </w:r>
          </w:p>
          <w:p w14:paraId="2383F948">
            <w:pPr>
              <w:widowControl w:val="0"/>
              <w:bidi w:val="0"/>
              <w:jc w:val="left"/>
              <w:rPr>
                <w:rFonts w:hint="eastAsia" w:ascii="宋体" w:hAnsi="宋体" w:eastAsia="宋体" w:cs="宋体"/>
                <w:sz w:val="20"/>
                <w:szCs w:val="20"/>
              </w:rPr>
            </w:pPr>
            <w:r>
              <w:rPr>
                <w:rFonts w:hint="eastAsia" w:ascii="宋体" w:hAnsi="宋体" w:eastAsia="宋体" w:cs="宋体"/>
                <w:sz w:val="20"/>
                <w:szCs w:val="20"/>
              </w:rPr>
              <w:t>9、内置图文搜索引擎，支持开放式语义检索，输入文字描述即可查找人、车、非机动车及附属物等目标；搜索文本支持32个以内文字。</w:t>
            </w:r>
          </w:p>
          <w:p w14:paraId="140F9B03">
            <w:pPr>
              <w:widowControl w:val="0"/>
              <w:bidi w:val="0"/>
              <w:jc w:val="left"/>
              <w:rPr>
                <w:rFonts w:hint="eastAsia" w:ascii="宋体" w:hAnsi="宋体" w:eastAsia="宋体" w:cs="宋体"/>
                <w:sz w:val="20"/>
                <w:szCs w:val="20"/>
              </w:rPr>
            </w:pPr>
            <w:r>
              <w:rPr>
                <w:rFonts w:hint="eastAsia" w:ascii="宋体" w:hAnsi="宋体" w:eastAsia="宋体" w:cs="宋体"/>
                <w:sz w:val="20"/>
                <w:szCs w:val="20"/>
              </w:rPr>
              <w:t>10、支持独立的以文搜图应用展示界面，默认支持全通道录像检索，且通道和时间范围可设；支持搜索结果相似度自定义设置展示；支持自定义选择时间范围。</w:t>
            </w:r>
          </w:p>
          <w:p w14:paraId="6EF5DFB7">
            <w:pPr>
              <w:widowControl w:val="0"/>
              <w:bidi w:val="0"/>
              <w:jc w:val="left"/>
              <w:rPr>
                <w:rFonts w:hint="eastAsia" w:ascii="宋体" w:hAnsi="宋体" w:eastAsia="宋体" w:cs="宋体"/>
                <w:sz w:val="20"/>
                <w:szCs w:val="20"/>
              </w:rPr>
            </w:pPr>
            <w:r>
              <w:rPr>
                <w:rFonts w:hint="eastAsia" w:ascii="宋体" w:hAnsi="宋体" w:eastAsia="宋体" w:cs="宋体"/>
                <w:sz w:val="20"/>
                <w:szCs w:val="20"/>
              </w:rPr>
              <w:t>11、界面支持以图形和文字方式展示高频词，可自由组合选择，如人的上衣颜色、下装颜色、随身物品、性别等；车的颜色、类型、品牌等；其他的包括保安、抽烟、打电话、玩手机等。</w:t>
            </w:r>
          </w:p>
          <w:p w14:paraId="45EFFA36">
            <w:pPr>
              <w:widowControl w:val="0"/>
              <w:bidi w:val="0"/>
              <w:jc w:val="left"/>
              <w:rPr>
                <w:rFonts w:hint="eastAsia" w:ascii="宋体" w:hAnsi="宋体" w:eastAsia="宋体" w:cs="宋体"/>
                <w:sz w:val="20"/>
                <w:szCs w:val="20"/>
              </w:rPr>
            </w:pPr>
            <w:r>
              <w:rPr>
                <w:rFonts w:hint="eastAsia" w:ascii="宋体" w:hAnsi="宋体" w:eastAsia="宋体" w:cs="宋体"/>
                <w:sz w:val="20"/>
                <w:szCs w:val="20"/>
              </w:rPr>
              <w:t>12、支持自定义以文搜图的8个高频热词分组，组内可添加高频搜索词汇；支持用户选择高频词后，设备可自动填充描述成句。</w:t>
            </w:r>
          </w:p>
          <w:p w14:paraId="15793AE6">
            <w:pPr>
              <w:widowControl w:val="0"/>
              <w:bidi w:val="0"/>
              <w:jc w:val="left"/>
              <w:rPr>
                <w:rFonts w:hint="eastAsia" w:ascii="宋体" w:hAnsi="宋体" w:eastAsia="宋体" w:cs="宋体"/>
                <w:sz w:val="20"/>
                <w:szCs w:val="20"/>
              </w:rPr>
            </w:pPr>
            <w:r>
              <w:rPr>
                <w:rFonts w:hint="eastAsia" w:ascii="宋体" w:hAnsi="宋体" w:eastAsia="宋体" w:cs="宋体"/>
                <w:sz w:val="20"/>
                <w:szCs w:val="20"/>
              </w:rPr>
              <w:t>13、★支持将搜索内容添加到历史记录，历史检索词条保持最近10条，通过直接点击该高频热词或历史记录可直接进行重复检索。</w:t>
            </w:r>
          </w:p>
          <w:p w14:paraId="07CB7D84">
            <w:pPr>
              <w:widowControl w:val="0"/>
              <w:bidi w:val="0"/>
              <w:jc w:val="left"/>
              <w:rPr>
                <w:rFonts w:hint="eastAsia" w:ascii="宋体" w:hAnsi="宋体" w:eastAsia="宋体" w:cs="宋体"/>
                <w:sz w:val="20"/>
                <w:szCs w:val="20"/>
              </w:rPr>
            </w:pPr>
            <w:r>
              <w:rPr>
                <w:rFonts w:hint="eastAsia" w:ascii="宋体" w:hAnsi="宋体" w:eastAsia="宋体" w:cs="宋体"/>
                <w:sz w:val="20"/>
                <w:szCs w:val="20"/>
              </w:rPr>
              <w:t>14、支持搜索结果按相似度排序展示，根据搜索结果，可一键关联录像片段及以图搜图，对目标进行二次精准检索定位，还原目标的跨通道行动轨迹。</w:t>
            </w:r>
          </w:p>
          <w:p w14:paraId="7CD6AB58">
            <w:pPr>
              <w:widowControl w:val="0"/>
              <w:bidi w:val="0"/>
              <w:jc w:val="left"/>
              <w:rPr>
                <w:rFonts w:hint="eastAsia" w:ascii="宋体" w:hAnsi="宋体" w:eastAsia="宋体" w:cs="宋体"/>
                <w:sz w:val="20"/>
                <w:szCs w:val="20"/>
              </w:rPr>
            </w:pPr>
            <w:r>
              <w:rPr>
                <w:rFonts w:hint="eastAsia" w:ascii="宋体" w:hAnsi="宋体" w:eastAsia="宋体" w:cs="宋体"/>
                <w:sz w:val="20"/>
                <w:szCs w:val="20"/>
              </w:rPr>
              <w:t>15、以文搜图检索结果支持以相似度、时间、通道等条件对检出录像/图片进行排序或筛选。</w:t>
            </w:r>
          </w:p>
          <w:p w14:paraId="4C440089">
            <w:pPr>
              <w:widowControl w:val="0"/>
              <w:bidi w:val="0"/>
              <w:jc w:val="left"/>
              <w:rPr>
                <w:rFonts w:hint="eastAsia" w:ascii="宋体" w:hAnsi="宋体" w:eastAsia="宋体" w:cs="宋体"/>
                <w:sz w:val="20"/>
                <w:szCs w:val="20"/>
              </w:rPr>
            </w:pPr>
            <w:r>
              <w:rPr>
                <w:rFonts w:hint="eastAsia" w:ascii="宋体" w:hAnsi="宋体" w:eastAsia="宋体" w:cs="宋体"/>
                <w:sz w:val="20"/>
                <w:szCs w:val="20"/>
              </w:rPr>
              <w:t>16、支持关键视频数据的加锁保护功能，防止循环覆盖。</w:t>
            </w:r>
          </w:p>
          <w:p w14:paraId="1A8B0F57">
            <w:pPr>
              <w:widowControl w:val="0"/>
              <w:bidi w:val="0"/>
              <w:jc w:val="left"/>
              <w:rPr>
                <w:rFonts w:hint="eastAsia" w:ascii="宋体" w:hAnsi="宋体" w:eastAsia="宋体" w:cs="宋体"/>
                <w:sz w:val="20"/>
                <w:szCs w:val="20"/>
              </w:rPr>
            </w:pPr>
            <w:r>
              <w:rPr>
                <w:rFonts w:hint="eastAsia" w:ascii="宋体" w:hAnsi="宋体" w:eastAsia="宋体" w:cs="宋体"/>
                <w:sz w:val="20"/>
                <w:szCs w:val="20"/>
              </w:rPr>
              <w:t>17、支持VRAID2.0数据保护技术，实现空间和数据的精细化管理。</w:t>
            </w:r>
          </w:p>
          <w:p w14:paraId="523162E8">
            <w:pPr>
              <w:widowControl w:val="0"/>
              <w:bidi w:val="0"/>
              <w:jc w:val="left"/>
              <w:rPr>
                <w:sz w:val="20"/>
                <w:szCs w:val="20"/>
                <w:vertAlign w:val="baseline"/>
              </w:rPr>
            </w:pPr>
            <w:r>
              <w:rPr>
                <w:rFonts w:hint="eastAsia" w:ascii="宋体" w:hAnsi="宋体" w:eastAsia="宋体" w:cs="宋体"/>
                <w:sz w:val="20"/>
                <w:szCs w:val="20"/>
              </w:rPr>
              <w:t>18、支持关键视频数据的加锁保护功能，防止循环覆盖；支持多级运维管理，多渠道报警机制防止报警信息遗漏</w:t>
            </w:r>
          </w:p>
        </w:tc>
        <w:tc>
          <w:tcPr>
            <w:tcW w:w="400" w:type="pct"/>
            <w:vAlign w:val="center"/>
          </w:tcPr>
          <w:p w14:paraId="5A0D72F9">
            <w:pPr>
              <w:widowControl/>
              <w:jc w:val="center"/>
              <w:textAlignment w:val="center"/>
              <w:rPr>
                <w:vertAlign w:val="baseline"/>
              </w:rPr>
            </w:pPr>
            <w:r>
              <w:rPr>
                <w:rFonts w:hint="eastAsia" w:ascii="宋体" w:hAnsi="宋体" w:eastAsia="宋体" w:cs="宋体"/>
                <w:color w:val="000000"/>
                <w:kern w:val="0"/>
                <w:sz w:val="22"/>
                <w:szCs w:val="22"/>
                <w:highlight w:val="none"/>
                <w:lang w:bidi="ar"/>
              </w:rPr>
              <w:t>台</w:t>
            </w:r>
          </w:p>
        </w:tc>
        <w:tc>
          <w:tcPr>
            <w:tcW w:w="412" w:type="pct"/>
            <w:vAlign w:val="center"/>
          </w:tcPr>
          <w:p w14:paraId="75BFAC21">
            <w:pPr>
              <w:widowControl/>
              <w:jc w:val="center"/>
              <w:textAlignment w:val="center"/>
              <w:rPr>
                <w:vertAlign w:val="baseline"/>
              </w:rPr>
            </w:pPr>
            <w:r>
              <w:rPr>
                <w:rFonts w:hint="eastAsia" w:ascii="宋体" w:hAnsi="宋体" w:eastAsia="宋体" w:cs="宋体"/>
                <w:color w:val="000000"/>
                <w:kern w:val="0"/>
                <w:sz w:val="22"/>
                <w:szCs w:val="22"/>
                <w:highlight w:val="none"/>
                <w:lang w:bidi="ar"/>
              </w:rPr>
              <w:t>1</w:t>
            </w:r>
          </w:p>
        </w:tc>
      </w:tr>
      <w:tr w14:paraId="61C6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10E19B78">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33</w:t>
            </w:r>
          </w:p>
        </w:tc>
        <w:tc>
          <w:tcPr>
            <w:tcW w:w="958" w:type="pct"/>
            <w:vAlign w:val="center"/>
          </w:tcPr>
          <w:p w14:paraId="2E41BC09">
            <w:pPr>
              <w:widowControl/>
              <w:jc w:val="left"/>
              <w:textAlignment w:val="center"/>
              <w:rPr>
                <w:rFonts w:hint="eastAsia" w:eastAsia="宋体"/>
                <w:vertAlign w:val="baseline"/>
                <w:lang w:eastAsia="zh-CN"/>
              </w:rPr>
            </w:pPr>
            <w:r>
              <w:rPr>
                <w:rFonts w:hint="eastAsia" w:ascii="宋体" w:hAnsi="宋体" w:eastAsia="宋体" w:cs="宋体"/>
                <w:color w:val="000000"/>
                <w:kern w:val="0"/>
                <w:sz w:val="22"/>
                <w:szCs w:val="22"/>
                <w:highlight w:val="none"/>
                <w:lang w:bidi="ar"/>
              </w:rPr>
              <w:t>网络存储设备</w:t>
            </w:r>
            <w:r>
              <w:rPr>
                <w:rFonts w:hint="eastAsia" w:ascii="宋体" w:hAnsi="宋体" w:cs="宋体"/>
                <w:color w:val="000000"/>
                <w:kern w:val="0"/>
                <w:sz w:val="22"/>
                <w:szCs w:val="22"/>
                <w:highlight w:val="none"/>
                <w:lang w:eastAsia="zh-CN" w:bidi="ar"/>
              </w:rPr>
              <w:t>（</w:t>
            </w:r>
            <w:r>
              <w:rPr>
                <w:rFonts w:hint="eastAsia" w:ascii="宋体" w:hAnsi="宋体" w:cs="宋体"/>
                <w:color w:val="000000"/>
                <w:kern w:val="0"/>
                <w:sz w:val="22"/>
                <w:szCs w:val="22"/>
                <w:highlight w:val="none"/>
                <w:lang w:val="en-US" w:eastAsia="zh-CN" w:bidi="ar"/>
              </w:rPr>
              <w:t>核心产品</w:t>
            </w:r>
            <w:r>
              <w:rPr>
                <w:rFonts w:hint="eastAsia" w:ascii="宋体" w:hAnsi="宋体" w:cs="宋体"/>
                <w:color w:val="000000"/>
                <w:kern w:val="0"/>
                <w:sz w:val="22"/>
                <w:szCs w:val="22"/>
                <w:highlight w:val="none"/>
                <w:lang w:eastAsia="zh-CN" w:bidi="ar"/>
              </w:rPr>
              <w:t>）</w:t>
            </w:r>
          </w:p>
        </w:tc>
        <w:tc>
          <w:tcPr>
            <w:tcW w:w="2832" w:type="pct"/>
            <w:vAlign w:val="top"/>
          </w:tcPr>
          <w:p w14:paraId="7A175C96">
            <w:pPr>
              <w:widowControl w:val="0"/>
              <w:bidi w:val="0"/>
              <w:jc w:val="left"/>
              <w:rPr>
                <w:rFonts w:hint="eastAsia" w:ascii="宋体" w:hAnsi="宋体" w:eastAsia="宋体" w:cs="宋体"/>
                <w:sz w:val="20"/>
                <w:szCs w:val="20"/>
              </w:rPr>
            </w:pPr>
            <w:r>
              <w:rPr>
                <w:rFonts w:hint="eastAsia" w:ascii="宋体" w:hAnsi="宋体" w:eastAsia="宋体" w:cs="宋体"/>
                <w:sz w:val="20"/>
                <w:szCs w:val="20"/>
              </w:rPr>
              <w:t>1、设备配置≥3个2.5G网口、1个2.5G管理口、1个Esata接口、2个USB2.0接口、2个USB3.0接口、1个VGA接口、1个HDMI接口，采用可热插拔1+1AC220V电源。</w:t>
            </w:r>
          </w:p>
          <w:p w14:paraId="1C627902">
            <w:pPr>
              <w:widowControl w:val="0"/>
              <w:bidi w:val="0"/>
              <w:jc w:val="left"/>
              <w:rPr>
                <w:rFonts w:hint="eastAsia" w:ascii="宋体" w:hAnsi="宋体" w:eastAsia="宋体" w:cs="宋体"/>
                <w:sz w:val="20"/>
                <w:szCs w:val="20"/>
              </w:rPr>
            </w:pPr>
            <w:r>
              <w:rPr>
                <w:rFonts w:hint="eastAsia" w:ascii="宋体" w:hAnsi="宋体" w:eastAsia="宋体" w:cs="宋体"/>
                <w:sz w:val="20"/>
                <w:szCs w:val="20"/>
              </w:rPr>
              <w:t>2、单设备配置≥64位多核处理器，标配8GB内存，内置EMMC系统盘和loT企业级硬盘，支持可热插拔冗余温控调速风扇。</w:t>
            </w:r>
          </w:p>
          <w:p w14:paraId="7385CC6C">
            <w:pPr>
              <w:widowControl w:val="0"/>
              <w:bidi w:val="0"/>
              <w:jc w:val="left"/>
              <w:rPr>
                <w:rFonts w:hint="eastAsia" w:ascii="宋体" w:hAnsi="宋体" w:eastAsia="宋体" w:cs="宋体"/>
                <w:sz w:val="20"/>
                <w:szCs w:val="20"/>
              </w:rPr>
            </w:pPr>
            <w:r>
              <w:rPr>
                <w:rFonts w:hint="eastAsia" w:ascii="宋体" w:hAnsi="宋体" w:eastAsia="宋体" w:cs="宋体"/>
                <w:sz w:val="20"/>
                <w:szCs w:val="20"/>
              </w:rPr>
              <w:t>3、应能在RAID内丢失2块（含）以上硬盘但至少有8块正常磁盘时，无需等待丢失盘恢复，保留的硬盘中的数据可正常读出，且新数据可正常写入。</w:t>
            </w:r>
          </w:p>
          <w:p w14:paraId="55933CBF">
            <w:pPr>
              <w:widowControl w:val="0"/>
              <w:bidi w:val="0"/>
              <w:jc w:val="left"/>
              <w:rPr>
                <w:rFonts w:hint="eastAsia" w:ascii="宋体" w:hAnsi="宋体" w:eastAsia="宋体" w:cs="宋体"/>
                <w:sz w:val="20"/>
                <w:szCs w:val="20"/>
              </w:rPr>
            </w:pPr>
            <w:r>
              <w:rPr>
                <w:rFonts w:hint="eastAsia" w:ascii="宋体" w:hAnsi="宋体" w:eastAsia="宋体" w:cs="宋体"/>
                <w:sz w:val="20"/>
                <w:szCs w:val="20"/>
              </w:rPr>
              <w:t>4、可对视图片、视频进行混合直存，无须存储服务器和图片服务器的参与，平台服务器宕机时，存储业务正常。</w:t>
            </w:r>
          </w:p>
          <w:p w14:paraId="20B63F97">
            <w:pPr>
              <w:widowControl w:val="0"/>
              <w:bidi w:val="0"/>
              <w:jc w:val="left"/>
              <w:rPr>
                <w:rFonts w:hint="eastAsia" w:ascii="宋体" w:hAnsi="宋体" w:eastAsia="宋体" w:cs="宋体"/>
                <w:sz w:val="20"/>
                <w:szCs w:val="20"/>
              </w:rPr>
            </w:pPr>
            <w:r>
              <w:rPr>
                <w:rFonts w:hint="eastAsia" w:ascii="宋体" w:hAnsi="宋体" w:eastAsia="宋体" w:cs="宋体"/>
                <w:sz w:val="20"/>
                <w:szCs w:val="20"/>
              </w:rPr>
              <w:t>5、一键配置存储模式，自动实现RAID创建和空间划分及CVR服务配置。</w:t>
            </w:r>
          </w:p>
          <w:p w14:paraId="406D6D8C">
            <w:pPr>
              <w:widowControl w:val="0"/>
              <w:bidi w:val="0"/>
              <w:jc w:val="left"/>
              <w:rPr>
                <w:rFonts w:hint="eastAsia" w:ascii="宋体" w:hAnsi="宋体" w:eastAsia="宋体" w:cs="宋体"/>
                <w:sz w:val="20"/>
                <w:szCs w:val="20"/>
              </w:rPr>
            </w:pPr>
            <w:r>
              <w:rPr>
                <w:rFonts w:hint="eastAsia" w:ascii="宋体" w:hAnsi="宋体" w:eastAsia="宋体" w:cs="宋体"/>
                <w:sz w:val="20"/>
                <w:szCs w:val="20"/>
              </w:rPr>
              <w:t>6、支持录像存储过程中加入特殊字段，防止录像被篡改或伪造，以保证录像的原始性及完整性。可对录像的某个时间点添加标签，并可进行查询、回放、下载。</w:t>
            </w:r>
          </w:p>
          <w:p w14:paraId="10754807">
            <w:pPr>
              <w:widowControl w:val="0"/>
              <w:bidi w:val="0"/>
              <w:jc w:val="left"/>
              <w:rPr>
                <w:rFonts w:hint="eastAsia" w:ascii="宋体" w:hAnsi="宋体" w:eastAsia="宋体" w:cs="宋体"/>
                <w:sz w:val="20"/>
                <w:szCs w:val="20"/>
              </w:rPr>
            </w:pPr>
            <w:r>
              <w:rPr>
                <w:rFonts w:hint="eastAsia" w:ascii="宋体" w:hAnsi="宋体" w:eastAsia="宋体" w:cs="宋体"/>
                <w:sz w:val="20"/>
                <w:szCs w:val="20"/>
              </w:rPr>
              <w:t>7、接入带宽至少1100Mbps，包含600T企业级硬盘，可接入MPEG4、H.264、H.265、Smart265、SVAC编码格式和分辨率为4096×2160的前端设备并存储录像文件。</w:t>
            </w:r>
          </w:p>
          <w:p w14:paraId="6C7E95F1">
            <w:pPr>
              <w:widowControl w:val="0"/>
              <w:bidi w:val="0"/>
              <w:jc w:val="left"/>
              <w:rPr>
                <w:rFonts w:hint="eastAsia" w:ascii="宋体" w:hAnsi="宋体" w:eastAsia="宋体" w:cs="宋体"/>
                <w:sz w:val="20"/>
                <w:szCs w:val="20"/>
              </w:rPr>
            </w:pPr>
            <w:r>
              <w:rPr>
                <w:rFonts w:hint="eastAsia" w:ascii="宋体" w:hAnsi="宋体" w:eastAsia="宋体" w:cs="宋体"/>
                <w:sz w:val="20"/>
                <w:szCs w:val="20"/>
              </w:rPr>
              <w:t>8、可将接入样机的网络设备的IP地址、端口号等信息以excel形式进行导入导出，应能预录报警触发前30秒的视频录像。</w:t>
            </w:r>
          </w:p>
          <w:p w14:paraId="7C723763">
            <w:pPr>
              <w:widowControl w:val="0"/>
              <w:bidi w:val="0"/>
              <w:jc w:val="left"/>
              <w:rPr>
                <w:rFonts w:hint="eastAsia" w:ascii="宋体" w:hAnsi="宋体" w:eastAsia="宋体" w:cs="宋体"/>
                <w:sz w:val="20"/>
                <w:szCs w:val="20"/>
              </w:rPr>
            </w:pPr>
            <w:r>
              <w:rPr>
                <w:rFonts w:hint="eastAsia" w:ascii="宋体" w:hAnsi="宋体" w:eastAsia="宋体" w:cs="宋体"/>
                <w:sz w:val="20"/>
                <w:szCs w:val="20"/>
              </w:rPr>
              <w:t>9、当接入的视频图像的警戒区域内探测到移动目标时，可给出报警提示信息并进行录像。</w:t>
            </w:r>
          </w:p>
          <w:p w14:paraId="7FB54D3E">
            <w:pPr>
              <w:widowControl w:val="0"/>
              <w:bidi w:val="0"/>
              <w:jc w:val="left"/>
              <w:rPr>
                <w:rFonts w:hint="eastAsia" w:ascii="宋体" w:hAnsi="宋体" w:eastAsia="宋体" w:cs="宋体"/>
                <w:sz w:val="20"/>
                <w:szCs w:val="20"/>
              </w:rPr>
            </w:pPr>
            <w:r>
              <w:rPr>
                <w:rFonts w:hint="eastAsia" w:ascii="宋体" w:hAnsi="宋体" w:eastAsia="宋体" w:cs="宋体"/>
                <w:sz w:val="20"/>
                <w:szCs w:val="20"/>
              </w:rPr>
              <w:t>10、设备存储池添加、删除硬盘时，业务不中断，数据不丢失，并可自动重新配置负载均衡。</w:t>
            </w:r>
          </w:p>
          <w:p w14:paraId="2D4D02A8">
            <w:pPr>
              <w:widowControl w:val="0"/>
              <w:bidi w:val="0"/>
              <w:jc w:val="left"/>
              <w:rPr>
                <w:rFonts w:hint="eastAsia" w:ascii="宋体" w:hAnsi="宋体" w:eastAsia="宋体" w:cs="宋体"/>
                <w:sz w:val="20"/>
                <w:szCs w:val="20"/>
              </w:rPr>
            </w:pPr>
            <w:r>
              <w:rPr>
                <w:rFonts w:hint="eastAsia" w:ascii="宋体" w:hAnsi="宋体" w:eastAsia="宋体" w:cs="宋体"/>
                <w:sz w:val="20"/>
                <w:szCs w:val="20"/>
              </w:rPr>
              <w:t>11、在UI界面实时显示磁盘体检状态，对异常状态磁盘，可查看处理建议信息。</w:t>
            </w:r>
          </w:p>
          <w:p w14:paraId="74455AE9">
            <w:pPr>
              <w:widowControl w:val="0"/>
              <w:bidi w:val="0"/>
              <w:jc w:val="left"/>
              <w:rPr>
                <w:rFonts w:hint="eastAsia" w:ascii="宋体" w:hAnsi="宋体" w:eastAsia="宋体" w:cs="宋体"/>
                <w:sz w:val="20"/>
                <w:szCs w:val="20"/>
              </w:rPr>
            </w:pPr>
            <w:r>
              <w:rPr>
                <w:rFonts w:hint="eastAsia" w:ascii="宋体" w:hAnsi="宋体" w:eastAsia="宋体" w:cs="宋体"/>
                <w:sz w:val="20"/>
                <w:szCs w:val="20"/>
              </w:rPr>
              <w:t>12、支持远程实现每一块硬盘指示灯的单独点亮操作，可定位磁盘位置。</w:t>
            </w:r>
          </w:p>
          <w:p w14:paraId="750B71EA">
            <w:pPr>
              <w:widowControl w:val="0"/>
              <w:bidi w:val="0"/>
              <w:jc w:val="left"/>
              <w:rPr>
                <w:rFonts w:hint="eastAsia" w:ascii="宋体" w:hAnsi="宋体" w:eastAsia="宋体" w:cs="宋体"/>
                <w:sz w:val="20"/>
                <w:szCs w:val="20"/>
              </w:rPr>
            </w:pPr>
            <w:r>
              <w:rPr>
                <w:rFonts w:hint="eastAsia" w:ascii="宋体" w:hAnsi="宋体" w:eastAsia="宋体" w:cs="宋体"/>
                <w:sz w:val="20"/>
                <w:szCs w:val="20"/>
              </w:rPr>
              <w:t>13、样机硬盘上的视（音）频信息，取出存储后，第三方无法识别硬盘的数据信息。</w:t>
            </w:r>
          </w:p>
          <w:p w14:paraId="3E982505">
            <w:pPr>
              <w:widowControl w:val="0"/>
              <w:bidi w:val="0"/>
              <w:jc w:val="left"/>
              <w:rPr>
                <w:sz w:val="20"/>
                <w:szCs w:val="20"/>
                <w:vertAlign w:val="baseline"/>
              </w:rPr>
            </w:pPr>
            <w:r>
              <w:rPr>
                <w:rFonts w:hint="eastAsia" w:ascii="宋体" w:hAnsi="宋体" w:eastAsia="宋体" w:cs="宋体"/>
                <w:sz w:val="20"/>
                <w:szCs w:val="20"/>
              </w:rPr>
              <w:t>14、支持多级运维管理，多渠道报警机制防止报警信息遗漏,支持VRAID2.0数据保护技术，实现空间和数据的精细化管理。</w:t>
            </w:r>
          </w:p>
        </w:tc>
        <w:tc>
          <w:tcPr>
            <w:tcW w:w="400" w:type="pct"/>
            <w:vAlign w:val="center"/>
          </w:tcPr>
          <w:p w14:paraId="0AF87278">
            <w:pPr>
              <w:widowControl/>
              <w:jc w:val="center"/>
              <w:textAlignment w:val="center"/>
              <w:rPr>
                <w:vertAlign w:val="baseline"/>
              </w:rPr>
            </w:pPr>
            <w:r>
              <w:rPr>
                <w:rFonts w:hint="eastAsia" w:ascii="宋体" w:hAnsi="宋体" w:eastAsia="宋体" w:cs="宋体"/>
                <w:color w:val="000000"/>
                <w:kern w:val="0"/>
                <w:sz w:val="22"/>
                <w:szCs w:val="22"/>
                <w:highlight w:val="none"/>
                <w:lang w:bidi="ar"/>
              </w:rPr>
              <w:t>台</w:t>
            </w:r>
          </w:p>
        </w:tc>
        <w:tc>
          <w:tcPr>
            <w:tcW w:w="412" w:type="pct"/>
            <w:vAlign w:val="center"/>
          </w:tcPr>
          <w:p w14:paraId="56076450">
            <w:pPr>
              <w:widowControl/>
              <w:jc w:val="center"/>
              <w:textAlignment w:val="center"/>
              <w:rPr>
                <w:vertAlign w:val="baseline"/>
              </w:rPr>
            </w:pPr>
            <w:r>
              <w:rPr>
                <w:rFonts w:hint="eastAsia" w:ascii="宋体" w:hAnsi="宋体" w:eastAsia="宋体" w:cs="宋体"/>
                <w:color w:val="000000"/>
                <w:kern w:val="0"/>
                <w:sz w:val="22"/>
                <w:szCs w:val="22"/>
                <w:highlight w:val="none"/>
                <w:lang w:bidi="ar"/>
              </w:rPr>
              <w:t>1</w:t>
            </w:r>
          </w:p>
        </w:tc>
      </w:tr>
      <w:tr w14:paraId="30DBF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437BE04F">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34</w:t>
            </w:r>
          </w:p>
        </w:tc>
        <w:tc>
          <w:tcPr>
            <w:tcW w:w="958" w:type="pct"/>
            <w:vAlign w:val="center"/>
          </w:tcPr>
          <w:p w14:paraId="0DC7EEFF">
            <w:pPr>
              <w:widowControl/>
              <w:jc w:val="left"/>
              <w:textAlignment w:val="center"/>
              <w:rPr>
                <w:vertAlign w:val="baseline"/>
              </w:rPr>
            </w:pPr>
            <w:r>
              <w:rPr>
                <w:rFonts w:hint="eastAsia" w:ascii="宋体" w:hAnsi="宋体" w:eastAsia="宋体" w:cs="宋体"/>
                <w:color w:val="000000"/>
                <w:kern w:val="0"/>
                <w:sz w:val="22"/>
                <w:szCs w:val="22"/>
                <w:highlight w:val="none"/>
                <w:lang w:bidi="ar"/>
              </w:rPr>
              <w:t>服务器</w:t>
            </w:r>
          </w:p>
        </w:tc>
        <w:tc>
          <w:tcPr>
            <w:tcW w:w="2832" w:type="pct"/>
            <w:vAlign w:val="top"/>
          </w:tcPr>
          <w:p w14:paraId="494AEF45">
            <w:pPr>
              <w:widowControl w:val="0"/>
              <w:bidi w:val="0"/>
              <w:jc w:val="left"/>
              <w:rPr>
                <w:rFonts w:hint="eastAsia" w:ascii="宋体" w:hAnsi="宋体" w:eastAsia="宋体" w:cs="宋体"/>
                <w:sz w:val="20"/>
                <w:szCs w:val="20"/>
              </w:rPr>
            </w:pPr>
            <w:r>
              <w:rPr>
                <w:rFonts w:hint="eastAsia" w:ascii="宋体" w:hAnsi="宋体" w:eastAsia="宋体" w:cs="宋体"/>
                <w:sz w:val="20"/>
                <w:szCs w:val="20"/>
              </w:rPr>
              <w:t>1、2U双路标准机架式服务器。</w:t>
            </w:r>
          </w:p>
          <w:p w14:paraId="5987FDE3">
            <w:pPr>
              <w:widowControl w:val="0"/>
              <w:bidi w:val="0"/>
              <w:jc w:val="left"/>
              <w:rPr>
                <w:rFonts w:hint="eastAsia" w:ascii="宋体" w:hAnsi="宋体" w:eastAsia="宋体" w:cs="宋体"/>
                <w:sz w:val="20"/>
                <w:szCs w:val="20"/>
              </w:rPr>
            </w:pPr>
            <w:r>
              <w:rPr>
                <w:rFonts w:hint="eastAsia" w:ascii="宋体" w:hAnsi="宋体" w:eastAsia="宋体" w:cs="宋体"/>
                <w:sz w:val="20"/>
                <w:szCs w:val="20"/>
              </w:rPr>
              <w:t>2、CPU：配置2颗处理器，单处理器物理核心数≥16核，主频≥2.5 GHz，末级缓存容量≥32 MB，线程数≥32线程，热设计功耗≥135 W，支持内存的最高速率≥3200 MHz，通道数≥4，位宽≥64。</w:t>
            </w:r>
          </w:p>
          <w:p w14:paraId="10D97EAE">
            <w:pPr>
              <w:widowControl w:val="0"/>
              <w:bidi w:val="0"/>
              <w:jc w:val="left"/>
              <w:rPr>
                <w:rFonts w:hint="eastAsia" w:ascii="宋体" w:hAnsi="宋体" w:eastAsia="宋体" w:cs="宋体"/>
                <w:sz w:val="20"/>
                <w:szCs w:val="20"/>
              </w:rPr>
            </w:pPr>
            <w:r>
              <w:rPr>
                <w:rFonts w:hint="eastAsia" w:ascii="宋体" w:hAnsi="宋体" w:eastAsia="宋体" w:cs="宋体"/>
                <w:sz w:val="20"/>
                <w:szCs w:val="20"/>
              </w:rPr>
              <w:t>3、内存：配置64G DDR4，配备16根内存插槽。</w:t>
            </w:r>
          </w:p>
          <w:p w14:paraId="2369F878">
            <w:pPr>
              <w:widowControl w:val="0"/>
              <w:bidi w:val="0"/>
              <w:jc w:val="left"/>
              <w:rPr>
                <w:rFonts w:hint="eastAsia" w:ascii="宋体" w:hAnsi="宋体" w:eastAsia="宋体" w:cs="宋体"/>
                <w:sz w:val="20"/>
                <w:szCs w:val="20"/>
              </w:rPr>
            </w:pPr>
            <w:r>
              <w:rPr>
                <w:rFonts w:hint="eastAsia" w:ascii="宋体" w:hAnsi="宋体" w:eastAsia="宋体" w:cs="宋体"/>
                <w:sz w:val="20"/>
                <w:szCs w:val="20"/>
              </w:rPr>
              <w:t>4、硬盘：配置2块1.2T 10K SAS盘。</w:t>
            </w:r>
          </w:p>
          <w:p w14:paraId="6204834C">
            <w:pPr>
              <w:widowControl w:val="0"/>
              <w:bidi w:val="0"/>
              <w:jc w:val="left"/>
              <w:rPr>
                <w:rFonts w:hint="eastAsia" w:ascii="宋体" w:hAnsi="宋体" w:eastAsia="宋体" w:cs="宋体"/>
                <w:sz w:val="20"/>
                <w:szCs w:val="20"/>
              </w:rPr>
            </w:pPr>
            <w:r>
              <w:rPr>
                <w:rFonts w:hint="eastAsia" w:ascii="宋体" w:hAnsi="宋体" w:eastAsia="宋体" w:cs="宋体"/>
                <w:sz w:val="20"/>
                <w:szCs w:val="20"/>
              </w:rPr>
              <w:t>5、阵列卡：配置1块SAS+HBA卡(支持RAID 0/1/10)。</w:t>
            </w:r>
          </w:p>
          <w:p w14:paraId="3A7E1379">
            <w:pPr>
              <w:widowControl w:val="0"/>
              <w:bidi w:val="0"/>
              <w:jc w:val="left"/>
              <w:rPr>
                <w:rFonts w:hint="eastAsia" w:ascii="宋体" w:hAnsi="宋体" w:eastAsia="宋体" w:cs="宋体"/>
                <w:sz w:val="20"/>
                <w:szCs w:val="20"/>
              </w:rPr>
            </w:pPr>
            <w:r>
              <w:rPr>
                <w:rFonts w:hint="eastAsia" w:ascii="宋体" w:hAnsi="宋体" w:eastAsia="宋体" w:cs="宋体"/>
                <w:sz w:val="20"/>
                <w:szCs w:val="20"/>
              </w:rPr>
              <w:t>6、PCIE扩展：最大可支持3个PCIE扩展槽（网卡、阵列卡已占用2个）。</w:t>
            </w:r>
          </w:p>
          <w:p w14:paraId="51A4A68F">
            <w:pPr>
              <w:widowControl w:val="0"/>
              <w:bidi w:val="0"/>
              <w:jc w:val="left"/>
              <w:rPr>
                <w:rFonts w:hint="eastAsia" w:ascii="宋体" w:hAnsi="宋体" w:eastAsia="宋体" w:cs="宋体"/>
                <w:sz w:val="20"/>
                <w:szCs w:val="20"/>
              </w:rPr>
            </w:pPr>
            <w:r>
              <w:rPr>
                <w:rFonts w:hint="eastAsia" w:ascii="宋体" w:hAnsi="宋体" w:eastAsia="宋体" w:cs="宋体"/>
                <w:sz w:val="20"/>
                <w:szCs w:val="20"/>
              </w:rPr>
              <w:t>7、网口：默认2个千兆电口，配置2个万兆光口。</w:t>
            </w:r>
          </w:p>
          <w:p w14:paraId="0D16B190">
            <w:pPr>
              <w:widowControl w:val="0"/>
              <w:bidi w:val="0"/>
              <w:jc w:val="left"/>
              <w:rPr>
                <w:rFonts w:hint="eastAsia" w:ascii="宋体" w:hAnsi="宋体" w:eastAsia="宋体" w:cs="宋体"/>
                <w:sz w:val="20"/>
                <w:szCs w:val="20"/>
              </w:rPr>
            </w:pPr>
            <w:r>
              <w:rPr>
                <w:rFonts w:hint="eastAsia" w:ascii="宋体" w:hAnsi="宋体" w:eastAsia="宋体" w:cs="宋体"/>
                <w:sz w:val="20"/>
                <w:szCs w:val="20"/>
              </w:rPr>
              <w:t>8、其他接口：1个千兆RJ-45管理接口，4个USB接口，2个位于机箱后部，2个位于机箱前部；2个VGA口，一个位于机箱前部，一个位于机箱后部。</w:t>
            </w:r>
          </w:p>
          <w:p w14:paraId="212055BA">
            <w:pPr>
              <w:widowControl w:val="0"/>
              <w:bidi w:val="0"/>
              <w:jc w:val="left"/>
              <w:rPr>
                <w:sz w:val="20"/>
                <w:szCs w:val="20"/>
                <w:vertAlign w:val="baseline"/>
              </w:rPr>
            </w:pPr>
            <w:r>
              <w:rPr>
                <w:rFonts w:hint="eastAsia" w:ascii="宋体" w:hAnsi="宋体" w:eastAsia="宋体" w:cs="宋体"/>
                <w:sz w:val="20"/>
                <w:szCs w:val="20"/>
              </w:rPr>
              <w:t>9、电源：配置800W（1+1）高效CRPS冗余白金电源。</w:t>
            </w:r>
          </w:p>
        </w:tc>
        <w:tc>
          <w:tcPr>
            <w:tcW w:w="400" w:type="pct"/>
            <w:vAlign w:val="center"/>
          </w:tcPr>
          <w:p w14:paraId="6FEF7AC2">
            <w:pPr>
              <w:widowControl/>
              <w:jc w:val="center"/>
              <w:textAlignment w:val="center"/>
              <w:rPr>
                <w:vertAlign w:val="baseline"/>
              </w:rPr>
            </w:pPr>
            <w:r>
              <w:rPr>
                <w:rFonts w:hint="eastAsia" w:ascii="宋体" w:hAnsi="宋体" w:eastAsia="宋体" w:cs="宋体"/>
                <w:color w:val="000000"/>
                <w:kern w:val="0"/>
                <w:sz w:val="22"/>
                <w:szCs w:val="22"/>
                <w:highlight w:val="none"/>
                <w:lang w:bidi="ar"/>
              </w:rPr>
              <w:t>台</w:t>
            </w:r>
          </w:p>
        </w:tc>
        <w:tc>
          <w:tcPr>
            <w:tcW w:w="412" w:type="pct"/>
            <w:vAlign w:val="center"/>
          </w:tcPr>
          <w:p w14:paraId="421BC3F5">
            <w:pPr>
              <w:widowControl/>
              <w:jc w:val="center"/>
              <w:textAlignment w:val="center"/>
              <w:rPr>
                <w:vertAlign w:val="baseline"/>
              </w:rPr>
            </w:pPr>
            <w:r>
              <w:rPr>
                <w:rFonts w:hint="eastAsia" w:ascii="宋体" w:hAnsi="宋体" w:eastAsia="宋体" w:cs="宋体"/>
                <w:color w:val="000000"/>
                <w:kern w:val="0"/>
                <w:sz w:val="22"/>
                <w:szCs w:val="22"/>
                <w:highlight w:val="none"/>
                <w:lang w:bidi="ar"/>
              </w:rPr>
              <w:t>1</w:t>
            </w:r>
          </w:p>
        </w:tc>
      </w:tr>
      <w:tr w14:paraId="2406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0AB22C9D">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35</w:t>
            </w:r>
          </w:p>
        </w:tc>
        <w:tc>
          <w:tcPr>
            <w:tcW w:w="958" w:type="pct"/>
            <w:vAlign w:val="center"/>
          </w:tcPr>
          <w:p w14:paraId="3EE38D4F">
            <w:pPr>
              <w:widowControl/>
              <w:jc w:val="left"/>
              <w:textAlignment w:val="center"/>
              <w:rPr>
                <w:vertAlign w:val="baseline"/>
              </w:rPr>
            </w:pPr>
            <w:r>
              <w:rPr>
                <w:rFonts w:hint="eastAsia" w:ascii="宋体" w:hAnsi="宋体" w:eastAsia="宋体" w:cs="宋体"/>
                <w:color w:val="000000"/>
                <w:kern w:val="0"/>
                <w:sz w:val="22"/>
                <w:szCs w:val="22"/>
                <w:highlight w:val="none"/>
                <w:lang w:bidi="ar"/>
              </w:rPr>
              <w:t>智慧安防管理平台</w:t>
            </w:r>
          </w:p>
        </w:tc>
        <w:tc>
          <w:tcPr>
            <w:tcW w:w="2832" w:type="pct"/>
            <w:vAlign w:val="top"/>
          </w:tcPr>
          <w:p w14:paraId="0D0B01D7">
            <w:pPr>
              <w:widowControl w:val="0"/>
              <w:bidi w:val="0"/>
              <w:jc w:val="left"/>
              <w:rPr>
                <w:rFonts w:hint="eastAsia" w:ascii="宋体" w:hAnsi="宋体" w:eastAsia="宋体" w:cs="宋体"/>
                <w:sz w:val="20"/>
                <w:szCs w:val="20"/>
              </w:rPr>
            </w:pPr>
            <w:r>
              <w:rPr>
                <w:rFonts w:hint="eastAsia" w:ascii="宋体" w:hAnsi="宋体" w:eastAsia="宋体" w:cs="宋体"/>
                <w:sz w:val="20"/>
                <w:szCs w:val="20"/>
              </w:rPr>
              <w:t>1、系统管理基础包，提供业务应用依赖的基础资源信息及基础服务能力，包括系统基础信息、用户管理、用户权限管理、物联设备管理、事件联动、NTP校时服务、运行管理中心、统一开放能力等。特性功能包含门户工作台、事件中心、图上监控、移动APP。</w:t>
            </w:r>
          </w:p>
          <w:p w14:paraId="2F53EB90">
            <w:pPr>
              <w:widowControl w:val="0"/>
              <w:bidi w:val="0"/>
              <w:jc w:val="left"/>
              <w:rPr>
                <w:rFonts w:hint="eastAsia" w:ascii="宋体" w:hAnsi="宋体" w:eastAsia="宋体" w:cs="宋体"/>
                <w:sz w:val="20"/>
                <w:szCs w:val="20"/>
              </w:rPr>
            </w:pPr>
            <w:r>
              <w:rPr>
                <w:rFonts w:hint="eastAsia" w:ascii="宋体" w:hAnsi="宋体" w:eastAsia="宋体" w:cs="宋体"/>
                <w:sz w:val="20"/>
                <w:szCs w:val="20"/>
              </w:rPr>
              <w:t>2、包含800路摄像机接入授权，200路文搜大模型接入授权。</w:t>
            </w:r>
          </w:p>
          <w:p w14:paraId="79521BC0">
            <w:pPr>
              <w:widowControl w:val="0"/>
              <w:bidi w:val="0"/>
              <w:jc w:val="left"/>
              <w:rPr>
                <w:rFonts w:hint="eastAsia" w:ascii="宋体" w:hAnsi="宋体" w:eastAsia="宋体" w:cs="宋体"/>
                <w:sz w:val="20"/>
                <w:szCs w:val="20"/>
              </w:rPr>
            </w:pPr>
            <w:r>
              <w:rPr>
                <w:rFonts w:hint="eastAsia" w:ascii="宋体" w:hAnsi="宋体" w:eastAsia="宋体" w:cs="宋体"/>
                <w:sz w:val="20"/>
                <w:szCs w:val="20"/>
              </w:rPr>
              <w:t>3、支持监控摄像机、编码设备、存储设备、解码设备等物联设备在线状态、工作状态、硬盘状态、指标采集。</w:t>
            </w:r>
          </w:p>
          <w:p w14:paraId="0CBE46BD">
            <w:pPr>
              <w:widowControl w:val="0"/>
              <w:bidi w:val="0"/>
              <w:jc w:val="left"/>
              <w:rPr>
                <w:rFonts w:hint="eastAsia" w:ascii="宋体" w:hAnsi="宋体" w:eastAsia="宋体" w:cs="宋体"/>
                <w:sz w:val="20"/>
                <w:szCs w:val="20"/>
              </w:rPr>
            </w:pPr>
            <w:r>
              <w:rPr>
                <w:rFonts w:hint="eastAsia" w:ascii="宋体" w:hAnsi="宋体" w:eastAsia="宋体" w:cs="宋体"/>
                <w:sz w:val="20"/>
                <w:szCs w:val="20"/>
              </w:rPr>
              <w:t>4、支持监控点通道的在线状态、录制状态、录像完整性、录像保存天数指标检测。</w:t>
            </w:r>
          </w:p>
          <w:p w14:paraId="7200F7CD">
            <w:pPr>
              <w:widowControl w:val="0"/>
              <w:bidi w:val="0"/>
              <w:jc w:val="left"/>
              <w:rPr>
                <w:rFonts w:hint="eastAsia" w:ascii="宋体" w:hAnsi="宋体" w:eastAsia="宋体" w:cs="宋体"/>
                <w:sz w:val="20"/>
                <w:szCs w:val="20"/>
              </w:rPr>
            </w:pPr>
            <w:r>
              <w:rPr>
                <w:rFonts w:hint="eastAsia" w:ascii="宋体" w:hAnsi="宋体" w:eastAsia="宋体" w:cs="宋体"/>
                <w:sz w:val="20"/>
                <w:szCs w:val="20"/>
              </w:rPr>
              <w:t>5、支持告警信息统计展现。</w:t>
            </w:r>
          </w:p>
          <w:p w14:paraId="6E7B8A41">
            <w:pPr>
              <w:widowControl w:val="0"/>
              <w:bidi w:val="0"/>
              <w:jc w:val="left"/>
              <w:rPr>
                <w:rFonts w:hint="eastAsia" w:ascii="宋体" w:hAnsi="宋体" w:eastAsia="宋体" w:cs="宋体"/>
                <w:sz w:val="20"/>
                <w:szCs w:val="20"/>
              </w:rPr>
            </w:pPr>
            <w:r>
              <w:rPr>
                <w:rFonts w:hint="eastAsia" w:ascii="宋体" w:hAnsi="宋体" w:eastAsia="宋体" w:cs="宋体"/>
                <w:sz w:val="20"/>
                <w:szCs w:val="20"/>
              </w:rPr>
              <w:t>6、支持监控点图像质量统计报表，展现各类诊断故障数量。</w:t>
            </w:r>
          </w:p>
          <w:p w14:paraId="2CA2D65A">
            <w:pPr>
              <w:widowControl w:val="0"/>
              <w:bidi w:val="0"/>
              <w:jc w:val="left"/>
              <w:rPr>
                <w:sz w:val="20"/>
                <w:szCs w:val="20"/>
                <w:vertAlign w:val="baseline"/>
              </w:rPr>
            </w:pPr>
            <w:r>
              <w:rPr>
                <w:rFonts w:hint="eastAsia" w:ascii="宋体" w:hAnsi="宋体" w:eastAsia="宋体" w:cs="宋体"/>
                <w:sz w:val="20"/>
                <w:szCs w:val="20"/>
              </w:rPr>
              <w:t>7、支持在以文搜图界面即时开启模型训练。支持选择多个正确样本和错误样本，并发起训练；可针对每条搜索结果设置为正确或错误样本</w:t>
            </w:r>
          </w:p>
        </w:tc>
        <w:tc>
          <w:tcPr>
            <w:tcW w:w="400" w:type="pct"/>
            <w:vAlign w:val="center"/>
          </w:tcPr>
          <w:p w14:paraId="14BC1D68">
            <w:pPr>
              <w:widowControl/>
              <w:jc w:val="center"/>
              <w:textAlignment w:val="center"/>
              <w:rPr>
                <w:vertAlign w:val="baseline"/>
              </w:rPr>
            </w:pPr>
            <w:r>
              <w:rPr>
                <w:rFonts w:hint="eastAsia" w:ascii="宋体" w:hAnsi="宋体" w:eastAsia="宋体" w:cs="宋体"/>
                <w:color w:val="000000"/>
                <w:kern w:val="0"/>
                <w:sz w:val="22"/>
                <w:szCs w:val="22"/>
                <w:highlight w:val="none"/>
                <w:lang w:bidi="ar"/>
              </w:rPr>
              <w:t>套</w:t>
            </w:r>
          </w:p>
        </w:tc>
        <w:tc>
          <w:tcPr>
            <w:tcW w:w="412" w:type="pct"/>
            <w:vAlign w:val="center"/>
          </w:tcPr>
          <w:p w14:paraId="1FC87B18">
            <w:pPr>
              <w:widowControl/>
              <w:jc w:val="center"/>
              <w:textAlignment w:val="center"/>
              <w:rPr>
                <w:vertAlign w:val="baseline"/>
              </w:rPr>
            </w:pPr>
            <w:r>
              <w:rPr>
                <w:rFonts w:hint="eastAsia" w:ascii="宋体" w:hAnsi="宋体" w:eastAsia="宋体" w:cs="宋体"/>
                <w:color w:val="000000"/>
                <w:kern w:val="0"/>
                <w:sz w:val="22"/>
                <w:szCs w:val="22"/>
                <w:highlight w:val="none"/>
                <w:lang w:bidi="ar"/>
              </w:rPr>
              <w:t>1</w:t>
            </w:r>
          </w:p>
        </w:tc>
      </w:tr>
      <w:tr w14:paraId="0687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32DDBCC8">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36</w:t>
            </w:r>
          </w:p>
        </w:tc>
        <w:tc>
          <w:tcPr>
            <w:tcW w:w="958" w:type="pct"/>
            <w:vAlign w:val="center"/>
          </w:tcPr>
          <w:p w14:paraId="39A6F3ED">
            <w:pPr>
              <w:widowControl/>
              <w:jc w:val="left"/>
              <w:textAlignment w:val="center"/>
              <w:rPr>
                <w:vertAlign w:val="baseline"/>
              </w:rPr>
            </w:pPr>
            <w:r>
              <w:rPr>
                <w:rFonts w:hint="eastAsia" w:ascii="宋体" w:hAnsi="宋体" w:eastAsia="宋体" w:cs="宋体"/>
                <w:color w:val="000000"/>
                <w:kern w:val="0"/>
                <w:sz w:val="22"/>
                <w:szCs w:val="22"/>
                <w:highlight w:val="none"/>
                <w:lang w:bidi="ar"/>
              </w:rPr>
              <w:t>LCD拼接屏</w:t>
            </w:r>
          </w:p>
        </w:tc>
        <w:tc>
          <w:tcPr>
            <w:tcW w:w="2832" w:type="pct"/>
            <w:vAlign w:val="top"/>
          </w:tcPr>
          <w:p w14:paraId="52C82D47">
            <w:pPr>
              <w:widowControl w:val="0"/>
              <w:bidi w:val="0"/>
              <w:jc w:val="left"/>
              <w:rPr>
                <w:rFonts w:hint="eastAsia" w:ascii="宋体" w:hAnsi="宋体" w:eastAsia="宋体" w:cs="宋体"/>
                <w:sz w:val="20"/>
                <w:szCs w:val="20"/>
              </w:rPr>
            </w:pPr>
            <w:r>
              <w:rPr>
                <w:rFonts w:hint="eastAsia" w:ascii="宋体" w:hAnsi="宋体" w:eastAsia="宋体" w:cs="宋体"/>
                <w:sz w:val="20"/>
                <w:szCs w:val="20"/>
              </w:rPr>
              <w:t>1、55英寸超窄边液晶屏；物理分辨率达到1920×1080，响应时间≤8ms。</w:t>
            </w:r>
          </w:p>
          <w:p w14:paraId="04690F2F">
            <w:pPr>
              <w:widowControl w:val="0"/>
              <w:bidi w:val="0"/>
              <w:jc w:val="left"/>
              <w:rPr>
                <w:rFonts w:hint="eastAsia" w:ascii="宋体" w:hAnsi="宋体" w:eastAsia="宋体" w:cs="宋体"/>
                <w:sz w:val="20"/>
                <w:szCs w:val="20"/>
              </w:rPr>
            </w:pPr>
            <w:r>
              <w:rPr>
                <w:rFonts w:hint="eastAsia" w:ascii="宋体" w:hAnsi="宋体" w:eastAsia="宋体" w:cs="宋体"/>
                <w:sz w:val="20"/>
                <w:szCs w:val="20"/>
              </w:rPr>
              <w:t>2、LCD显示单元物理拼缝≤3.5mm，亮度达到500cd/㎡，图像显示清晰度≥950TVL，对比度达到1000：1。</w:t>
            </w:r>
          </w:p>
          <w:p w14:paraId="1BECB460">
            <w:pPr>
              <w:widowControl w:val="0"/>
              <w:bidi w:val="0"/>
              <w:jc w:val="left"/>
              <w:rPr>
                <w:rFonts w:hint="eastAsia" w:ascii="宋体" w:hAnsi="宋体" w:eastAsia="宋体" w:cs="宋体"/>
                <w:sz w:val="20"/>
                <w:szCs w:val="20"/>
              </w:rPr>
            </w:pPr>
            <w:r>
              <w:rPr>
                <w:rFonts w:hint="eastAsia" w:ascii="宋体" w:hAnsi="宋体" w:eastAsia="宋体" w:cs="宋体"/>
                <w:sz w:val="20"/>
                <w:szCs w:val="20"/>
              </w:rPr>
              <w:t>3、可通过控制面板进行监控场景切换，最大可支持切换场景数为4个，场景切换时间≤2s，切换过程中无黑屏、闪屏现象。</w:t>
            </w:r>
          </w:p>
          <w:p w14:paraId="78FD513E">
            <w:pPr>
              <w:widowControl w:val="0"/>
              <w:bidi w:val="0"/>
              <w:jc w:val="left"/>
              <w:rPr>
                <w:rFonts w:hint="eastAsia" w:ascii="宋体" w:hAnsi="宋体" w:eastAsia="宋体" w:cs="宋体"/>
                <w:sz w:val="20"/>
                <w:szCs w:val="20"/>
              </w:rPr>
            </w:pPr>
            <w:r>
              <w:rPr>
                <w:rFonts w:hint="eastAsia" w:ascii="宋体" w:hAnsi="宋体" w:eastAsia="宋体" w:cs="宋体"/>
                <w:sz w:val="20"/>
                <w:szCs w:val="20"/>
              </w:rPr>
              <w:t>4、支持自动检测输入源的信号类型，根据信号源类型和显示位置，自动配置信号源所在屏幕的显示场景模式。</w:t>
            </w:r>
          </w:p>
          <w:p w14:paraId="0F9B8A14">
            <w:pPr>
              <w:widowControl w:val="0"/>
              <w:bidi w:val="0"/>
              <w:jc w:val="left"/>
              <w:rPr>
                <w:rFonts w:hint="eastAsia" w:ascii="宋体" w:hAnsi="宋体" w:eastAsia="宋体" w:cs="宋体"/>
                <w:sz w:val="20"/>
                <w:szCs w:val="20"/>
              </w:rPr>
            </w:pPr>
            <w:r>
              <w:rPr>
                <w:rFonts w:hint="eastAsia" w:ascii="宋体" w:hAnsi="宋体" w:eastAsia="宋体" w:cs="宋体"/>
                <w:sz w:val="20"/>
                <w:szCs w:val="20"/>
              </w:rPr>
              <w:t>5、液晶拼接显示单元具有信号自动检测功能，当有新信号输入时，自动转到相应信源；当前接入的信号接口无信号输入时，可自动切换到其他有信号输入的接口。</w:t>
            </w:r>
          </w:p>
          <w:p w14:paraId="02F01931">
            <w:pPr>
              <w:widowControl w:val="0"/>
              <w:bidi w:val="0"/>
              <w:jc w:val="left"/>
              <w:rPr>
                <w:sz w:val="20"/>
                <w:szCs w:val="20"/>
                <w:vertAlign w:val="baseline"/>
              </w:rPr>
            </w:pPr>
            <w:r>
              <w:rPr>
                <w:rFonts w:hint="eastAsia" w:ascii="宋体" w:hAnsi="宋体" w:eastAsia="宋体" w:cs="宋体"/>
                <w:sz w:val="20"/>
                <w:szCs w:val="20"/>
              </w:rPr>
              <w:t>6、可通过客户端或菜单设置屏幕ID，ID属性包含行、列，实现自动分配ID。</w:t>
            </w:r>
          </w:p>
        </w:tc>
        <w:tc>
          <w:tcPr>
            <w:tcW w:w="400" w:type="pct"/>
            <w:vAlign w:val="center"/>
          </w:tcPr>
          <w:p w14:paraId="49845642">
            <w:pPr>
              <w:widowControl/>
              <w:jc w:val="center"/>
              <w:textAlignment w:val="center"/>
              <w:rPr>
                <w:vertAlign w:val="baseline"/>
              </w:rPr>
            </w:pPr>
            <w:r>
              <w:rPr>
                <w:rFonts w:hint="eastAsia" w:ascii="宋体" w:hAnsi="宋体" w:eastAsia="宋体" w:cs="宋体"/>
                <w:color w:val="000000"/>
                <w:kern w:val="0"/>
                <w:sz w:val="22"/>
                <w:szCs w:val="22"/>
                <w:highlight w:val="none"/>
                <w:lang w:bidi="ar"/>
              </w:rPr>
              <w:t>台</w:t>
            </w:r>
          </w:p>
        </w:tc>
        <w:tc>
          <w:tcPr>
            <w:tcW w:w="412" w:type="pct"/>
            <w:vAlign w:val="center"/>
          </w:tcPr>
          <w:p w14:paraId="79A54431">
            <w:pPr>
              <w:widowControl/>
              <w:jc w:val="center"/>
              <w:textAlignment w:val="center"/>
              <w:rPr>
                <w:vertAlign w:val="baseline"/>
              </w:rPr>
            </w:pPr>
            <w:r>
              <w:rPr>
                <w:rFonts w:hint="eastAsia" w:ascii="宋体" w:hAnsi="宋体" w:eastAsia="宋体" w:cs="宋体"/>
                <w:color w:val="000000"/>
                <w:kern w:val="0"/>
                <w:sz w:val="22"/>
                <w:szCs w:val="22"/>
                <w:highlight w:val="none"/>
                <w:lang w:bidi="ar"/>
              </w:rPr>
              <w:t>9</w:t>
            </w:r>
          </w:p>
        </w:tc>
      </w:tr>
      <w:tr w14:paraId="2003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0B32B1E">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37</w:t>
            </w:r>
          </w:p>
        </w:tc>
        <w:tc>
          <w:tcPr>
            <w:tcW w:w="958" w:type="pct"/>
            <w:vAlign w:val="center"/>
          </w:tcPr>
          <w:p w14:paraId="41F2F407">
            <w:pPr>
              <w:widowControl/>
              <w:jc w:val="left"/>
              <w:textAlignment w:val="center"/>
              <w:rPr>
                <w:vertAlign w:val="baseline"/>
              </w:rPr>
            </w:pPr>
            <w:r>
              <w:rPr>
                <w:rFonts w:hint="eastAsia" w:ascii="宋体" w:hAnsi="宋体" w:eastAsia="宋体" w:cs="宋体"/>
                <w:color w:val="000000"/>
                <w:kern w:val="0"/>
                <w:sz w:val="22"/>
                <w:szCs w:val="22"/>
                <w:highlight w:val="none"/>
                <w:lang w:bidi="ar"/>
              </w:rPr>
              <w:t>壁挂前维护支架</w:t>
            </w:r>
          </w:p>
        </w:tc>
        <w:tc>
          <w:tcPr>
            <w:tcW w:w="2832" w:type="pct"/>
            <w:vAlign w:val="top"/>
          </w:tcPr>
          <w:p w14:paraId="20042614">
            <w:pPr>
              <w:widowControl w:val="0"/>
              <w:bidi w:val="0"/>
              <w:jc w:val="left"/>
              <w:rPr>
                <w:sz w:val="20"/>
                <w:szCs w:val="20"/>
                <w:vertAlign w:val="baseline"/>
              </w:rPr>
            </w:pPr>
            <w:r>
              <w:rPr>
                <w:rFonts w:hint="eastAsia" w:ascii="宋体" w:hAnsi="宋体" w:eastAsia="宋体" w:cs="宋体"/>
                <w:sz w:val="20"/>
                <w:szCs w:val="20"/>
              </w:rPr>
              <w:t>1、材质：优质冷轧钢板(SPCC)，材料厚度从T1.0-T5不等</w:t>
            </w:r>
            <w:r>
              <w:rPr>
                <w:rFonts w:hint="eastAsia" w:ascii="宋体" w:hAnsi="宋体" w:eastAsia="宋体" w:cs="宋体"/>
                <w:sz w:val="20"/>
                <w:szCs w:val="20"/>
              </w:rPr>
              <w:br w:type="textWrapping"/>
            </w:r>
            <w:r>
              <w:rPr>
                <w:rFonts w:hint="eastAsia" w:ascii="宋体" w:hAnsi="宋体" w:eastAsia="宋体" w:cs="宋体"/>
                <w:sz w:val="20"/>
                <w:szCs w:val="20"/>
              </w:rPr>
              <w:t>2、表面处理：静电喷塑，涂层厚度&gt;60微米</w:t>
            </w:r>
          </w:p>
        </w:tc>
        <w:tc>
          <w:tcPr>
            <w:tcW w:w="400" w:type="pct"/>
            <w:vAlign w:val="center"/>
          </w:tcPr>
          <w:p w14:paraId="63D1B1B8">
            <w:pPr>
              <w:widowControl/>
              <w:jc w:val="center"/>
              <w:textAlignment w:val="center"/>
              <w:rPr>
                <w:vertAlign w:val="baseline"/>
              </w:rPr>
            </w:pPr>
            <w:r>
              <w:rPr>
                <w:rFonts w:hint="eastAsia" w:ascii="宋体" w:hAnsi="宋体" w:eastAsia="宋体" w:cs="宋体"/>
                <w:color w:val="000000"/>
                <w:kern w:val="0"/>
                <w:sz w:val="22"/>
                <w:szCs w:val="22"/>
                <w:highlight w:val="none"/>
                <w:lang w:bidi="ar"/>
              </w:rPr>
              <w:t>个</w:t>
            </w:r>
          </w:p>
        </w:tc>
        <w:tc>
          <w:tcPr>
            <w:tcW w:w="412" w:type="pct"/>
            <w:vAlign w:val="center"/>
          </w:tcPr>
          <w:p w14:paraId="640AF61D">
            <w:pPr>
              <w:widowControl/>
              <w:jc w:val="center"/>
              <w:textAlignment w:val="center"/>
              <w:rPr>
                <w:vertAlign w:val="baseline"/>
              </w:rPr>
            </w:pPr>
            <w:r>
              <w:rPr>
                <w:rFonts w:hint="eastAsia" w:ascii="宋体" w:hAnsi="宋体" w:eastAsia="宋体" w:cs="宋体"/>
                <w:color w:val="000000"/>
                <w:kern w:val="0"/>
                <w:sz w:val="22"/>
                <w:szCs w:val="22"/>
                <w:highlight w:val="none"/>
                <w:lang w:bidi="ar"/>
              </w:rPr>
              <w:t>9</w:t>
            </w:r>
          </w:p>
        </w:tc>
      </w:tr>
      <w:tr w14:paraId="44AE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076A2FB">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38</w:t>
            </w:r>
          </w:p>
        </w:tc>
        <w:tc>
          <w:tcPr>
            <w:tcW w:w="958" w:type="pct"/>
            <w:vAlign w:val="center"/>
          </w:tcPr>
          <w:p w14:paraId="449FF15A">
            <w:pPr>
              <w:widowControl/>
              <w:jc w:val="left"/>
              <w:textAlignment w:val="center"/>
              <w:rPr>
                <w:vertAlign w:val="baseline"/>
              </w:rPr>
            </w:pPr>
            <w:r>
              <w:rPr>
                <w:rFonts w:hint="eastAsia" w:ascii="宋体" w:hAnsi="宋体" w:eastAsia="宋体" w:cs="宋体"/>
                <w:color w:val="000000"/>
                <w:kern w:val="0"/>
                <w:sz w:val="22"/>
                <w:szCs w:val="22"/>
                <w:highlight w:val="none"/>
                <w:lang w:bidi="ar"/>
              </w:rPr>
              <w:t>解码设备</w:t>
            </w:r>
          </w:p>
        </w:tc>
        <w:tc>
          <w:tcPr>
            <w:tcW w:w="2832" w:type="pct"/>
            <w:vAlign w:val="top"/>
          </w:tcPr>
          <w:p w14:paraId="19AADBDC">
            <w:pPr>
              <w:widowControl w:val="0"/>
              <w:bidi w:val="0"/>
              <w:jc w:val="left"/>
              <w:rPr>
                <w:rFonts w:hint="eastAsia" w:ascii="宋体" w:hAnsi="宋体" w:eastAsia="宋体" w:cs="宋体"/>
                <w:sz w:val="20"/>
                <w:szCs w:val="20"/>
              </w:rPr>
            </w:pPr>
            <w:r>
              <w:rPr>
                <w:rFonts w:hint="eastAsia" w:ascii="宋体" w:hAnsi="宋体" w:eastAsia="宋体" w:cs="宋体"/>
                <w:sz w:val="20"/>
                <w:szCs w:val="20"/>
              </w:rPr>
              <w:t>1、支持HDMI 1.4视频信号输出，支持4K分辨率（3840 × 2160@30 Hz）超高清输出；支持对接显示系统，视频输出最大的LED带载能力为单口260 W。</w:t>
            </w:r>
          </w:p>
          <w:p w14:paraId="762574C2">
            <w:pPr>
              <w:widowControl w:val="0"/>
              <w:bidi w:val="0"/>
              <w:jc w:val="left"/>
              <w:rPr>
                <w:rFonts w:hint="eastAsia" w:ascii="宋体" w:hAnsi="宋体" w:eastAsia="宋体" w:cs="宋体"/>
                <w:sz w:val="20"/>
                <w:szCs w:val="20"/>
              </w:rPr>
            </w:pPr>
            <w:r>
              <w:rPr>
                <w:rFonts w:hint="eastAsia" w:ascii="宋体" w:hAnsi="宋体" w:eastAsia="宋体" w:cs="宋体"/>
                <w:sz w:val="20"/>
                <w:szCs w:val="20"/>
              </w:rPr>
              <w:t>2、支持两种音频输出方式：HDMI内嵌音频和外置音频输出。</w:t>
            </w:r>
          </w:p>
          <w:p w14:paraId="67F0D7C2">
            <w:pPr>
              <w:widowControl w:val="0"/>
              <w:bidi w:val="0"/>
              <w:jc w:val="left"/>
              <w:rPr>
                <w:rFonts w:hint="eastAsia" w:ascii="宋体" w:hAnsi="宋体" w:eastAsia="宋体" w:cs="宋体"/>
                <w:sz w:val="20"/>
                <w:szCs w:val="20"/>
              </w:rPr>
            </w:pPr>
            <w:r>
              <w:rPr>
                <w:rFonts w:hint="eastAsia" w:ascii="宋体" w:hAnsi="宋体" w:eastAsia="宋体" w:cs="宋体"/>
                <w:sz w:val="20"/>
                <w:szCs w:val="20"/>
              </w:rPr>
              <w:t>3、采用H.264/H.265编码标准，默认采用H.265，支持子码流及主码流编码。</w:t>
            </w:r>
          </w:p>
          <w:p w14:paraId="42A16C9C">
            <w:pPr>
              <w:widowControl w:val="0"/>
              <w:bidi w:val="0"/>
              <w:jc w:val="left"/>
              <w:rPr>
                <w:rFonts w:hint="eastAsia" w:ascii="宋体" w:hAnsi="宋体" w:eastAsia="宋体" w:cs="宋体"/>
                <w:sz w:val="20"/>
                <w:szCs w:val="20"/>
              </w:rPr>
            </w:pPr>
            <w:r>
              <w:rPr>
                <w:rFonts w:hint="eastAsia" w:ascii="宋体" w:hAnsi="宋体" w:eastAsia="宋体" w:cs="宋体"/>
                <w:sz w:val="20"/>
                <w:szCs w:val="20"/>
              </w:rPr>
              <w:t>4、支持网络设备解码，支持H.264、H.265、Smart264、Smart265、MJPEG等主流码流格式，支持PS、TS、ES、RTP等主流封装格式，支持子码流及主码流切换。</w:t>
            </w:r>
          </w:p>
          <w:p w14:paraId="41EF8172">
            <w:pPr>
              <w:widowControl w:val="0"/>
              <w:bidi w:val="0"/>
              <w:jc w:val="left"/>
              <w:rPr>
                <w:rFonts w:hint="eastAsia" w:ascii="宋体" w:hAnsi="宋体" w:eastAsia="宋体" w:cs="宋体"/>
                <w:sz w:val="20"/>
                <w:szCs w:val="20"/>
              </w:rPr>
            </w:pPr>
            <w:r>
              <w:rPr>
                <w:rFonts w:hint="eastAsia" w:ascii="宋体" w:hAnsi="宋体" w:eastAsia="宋体" w:cs="宋体"/>
                <w:sz w:val="20"/>
                <w:szCs w:val="20"/>
              </w:rPr>
              <w:t>5、最大支持3200w分辨率解码，具有128个解码通道，支持64路200W，或128路720P视频同时解码上墙。</w:t>
            </w:r>
          </w:p>
          <w:p w14:paraId="4B80EACA">
            <w:pPr>
              <w:widowControl w:val="0"/>
              <w:bidi w:val="0"/>
              <w:jc w:val="left"/>
              <w:rPr>
                <w:rFonts w:hint="eastAsia" w:ascii="宋体" w:hAnsi="宋体" w:eastAsia="宋体" w:cs="宋体"/>
                <w:sz w:val="20"/>
                <w:szCs w:val="20"/>
              </w:rPr>
            </w:pPr>
            <w:r>
              <w:rPr>
                <w:rFonts w:hint="eastAsia" w:ascii="宋体" w:hAnsi="宋体" w:eastAsia="宋体" w:cs="宋体"/>
                <w:sz w:val="20"/>
                <w:szCs w:val="20"/>
              </w:rPr>
              <w:t>6、支持加密码流、多轨码流、智能码流解码；支持码流修改和切换；支持解码异常提示。</w:t>
            </w:r>
          </w:p>
          <w:p w14:paraId="7FBE474C">
            <w:pPr>
              <w:widowControl w:val="0"/>
              <w:bidi w:val="0"/>
              <w:jc w:val="left"/>
              <w:rPr>
                <w:rFonts w:hint="eastAsia" w:ascii="宋体" w:hAnsi="宋体" w:eastAsia="宋体" w:cs="宋体"/>
                <w:sz w:val="20"/>
                <w:szCs w:val="20"/>
              </w:rPr>
            </w:pPr>
            <w:r>
              <w:rPr>
                <w:rFonts w:hint="eastAsia" w:ascii="宋体" w:hAnsi="宋体" w:eastAsia="宋体" w:cs="宋体"/>
                <w:sz w:val="20"/>
                <w:szCs w:val="20"/>
              </w:rPr>
              <w:t>7、支持单面电视墙拼接、开窗、窗口跨屏漫游、场景轮巡和窗口轮巡功能，单屏支持4个1080P或2个4K图层，单窗口支持1/4/6/8/9/16/25/36窗口分屏功能，整机最大支持64个场景，整机支持256个平台预案轮巡组。</w:t>
            </w:r>
          </w:p>
          <w:p w14:paraId="27B4ABD7">
            <w:pPr>
              <w:widowControl w:val="0"/>
              <w:bidi w:val="0"/>
              <w:jc w:val="left"/>
              <w:rPr>
                <w:rFonts w:hint="eastAsia" w:ascii="宋体" w:hAnsi="宋体" w:eastAsia="宋体" w:cs="宋体"/>
                <w:sz w:val="20"/>
                <w:szCs w:val="20"/>
              </w:rPr>
            </w:pPr>
            <w:r>
              <w:rPr>
                <w:rFonts w:hint="eastAsia" w:ascii="宋体" w:hAnsi="宋体" w:eastAsia="宋体" w:cs="宋体"/>
                <w:sz w:val="20"/>
                <w:szCs w:val="20"/>
              </w:rPr>
              <w:t>8、支持RTP\RTSP协议进行网络源预览，可通过客户端进行桌面投屏上墙。</w:t>
            </w:r>
          </w:p>
          <w:p w14:paraId="421DED9A">
            <w:pPr>
              <w:widowControl w:val="0"/>
              <w:bidi w:val="0"/>
              <w:jc w:val="left"/>
              <w:rPr>
                <w:rFonts w:hint="eastAsia" w:ascii="宋体" w:hAnsi="宋体" w:eastAsia="宋体" w:cs="宋体"/>
                <w:sz w:val="20"/>
                <w:szCs w:val="20"/>
              </w:rPr>
            </w:pPr>
            <w:r>
              <w:rPr>
                <w:rFonts w:hint="eastAsia" w:ascii="宋体" w:hAnsi="宋体" w:eastAsia="宋体" w:cs="宋体"/>
                <w:sz w:val="20"/>
                <w:szCs w:val="20"/>
              </w:rPr>
              <w:t>9、支持电视墙界面对网络信号源云台八个方向、自动扫描、光圈、调焦、聚焦、调用预置点等操作。</w:t>
            </w:r>
          </w:p>
          <w:p w14:paraId="180DA144">
            <w:pPr>
              <w:widowControl w:val="0"/>
              <w:bidi w:val="0"/>
              <w:jc w:val="left"/>
              <w:rPr>
                <w:rFonts w:hint="eastAsia" w:ascii="宋体" w:hAnsi="宋体" w:eastAsia="宋体" w:cs="宋体"/>
                <w:sz w:val="20"/>
                <w:szCs w:val="20"/>
              </w:rPr>
            </w:pPr>
            <w:r>
              <w:rPr>
                <w:rFonts w:hint="eastAsia" w:ascii="宋体" w:hAnsi="宋体" w:eastAsia="宋体" w:cs="宋体"/>
                <w:sz w:val="20"/>
                <w:szCs w:val="20"/>
              </w:rPr>
              <w:t>10、支持电视墙窗口开始/停止预览、开始/停止解码、开始/停止轮巡、打开/关闭声音、置顶、置底等操作。</w:t>
            </w:r>
          </w:p>
          <w:p w14:paraId="5391AA1E">
            <w:pPr>
              <w:widowControl w:val="0"/>
              <w:bidi w:val="0"/>
              <w:jc w:val="left"/>
              <w:rPr>
                <w:rFonts w:hint="eastAsia" w:ascii="宋体" w:hAnsi="宋体" w:eastAsia="宋体" w:cs="宋体"/>
                <w:sz w:val="20"/>
                <w:szCs w:val="20"/>
              </w:rPr>
            </w:pPr>
            <w:r>
              <w:rPr>
                <w:rFonts w:hint="eastAsia" w:ascii="宋体" w:hAnsi="宋体" w:eastAsia="宋体" w:cs="宋体"/>
                <w:sz w:val="20"/>
                <w:szCs w:val="20"/>
              </w:rPr>
              <w:t>11、解码分辨率：最高3200W像素；视频解码通道：128。</w:t>
            </w:r>
          </w:p>
          <w:p w14:paraId="74363789">
            <w:pPr>
              <w:widowControl w:val="0"/>
              <w:bidi w:val="0"/>
              <w:jc w:val="left"/>
              <w:rPr>
                <w:rFonts w:hint="eastAsia" w:ascii="宋体" w:hAnsi="宋体" w:eastAsia="宋体" w:cs="宋体"/>
                <w:sz w:val="20"/>
                <w:szCs w:val="20"/>
              </w:rPr>
            </w:pPr>
            <w:r>
              <w:rPr>
                <w:rFonts w:hint="eastAsia" w:ascii="宋体" w:hAnsi="宋体" w:eastAsia="宋体" w:cs="宋体"/>
                <w:sz w:val="20"/>
                <w:szCs w:val="20"/>
              </w:rPr>
              <w:t>12、视频解码能力：H.264/H.265：支持4路3200 W，或4路2400 W，或8路1200 W，或16路800 W，或20路600W，或32路400W，或64路1080P，或128路720P及以下分辨率实时解码（每4个输出口一组，共享解码能力）。</w:t>
            </w:r>
          </w:p>
          <w:p w14:paraId="213084EE">
            <w:pPr>
              <w:widowControl w:val="0"/>
              <w:bidi w:val="0"/>
              <w:jc w:val="left"/>
              <w:rPr>
                <w:rFonts w:hint="eastAsia" w:ascii="宋体" w:hAnsi="宋体" w:eastAsia="宋体" w:cs="宋体"/>
                <w:sz w:val="20"/>
                <w:szCs w:val="20"/>
              </w:rPr>
            </w:pPr>
            <w:r>
              <w:rPr>
                <w:rFonts w:hint="eastAsia" w:ascii="宋体" w:hAnsi="宋体" w:eastAsia="宋体" w:cs="宋体"/>
                <w:sz w:val="20"/>
                <w:szCs w:val="20"/>
              </w:rPr>
              <w:t>13、单口画面分割数：1、2、4、6、8、9、12、16、25、36；场景数量：64。</w:t>
            </w:r>
          </w:p>
          <w:p w14:paraId="297ABAD7">
            <w:pPr>
              <w:widowControl w:val="0"/>
              <w:bidi w:val="0"/>
              <w:jc w:val="left"/>
              <w:rPr>
                <w:sz w:val="20"/>
                <w:szCs w:val="20"/>
                <w:vertAlign w:val="baseline"/>
              </w:rPr>
            </w:pPr>
            <w:r>
              <w:rPr>
                <w:rFonts w:hint="eastAsia" w:ascii="宋体" w:hAnsi="宋体" w:eastAsia="宋体" w:cs="宋体"/>
                <w:sz w:val="20"/>
                <w:szCs w:val="20"/>
              </w:rPr>
              <w:t>14、视频输出接口类型：</w:t>
            </w:r>
            <w:r>
              <w:rPr>
                <w:rFonts w:hint="eastAsia" w:ascii="宋体" w:hAnsi="宋体" w:cs="宋体"/>
                <w:sz w:val="20"/>
                <w:szCs w:val="20"/>
                <w:lang w:val="en-US" w:eastAsia="zh-CN"/>
              </w:rPr>
              <w:t>不少于</w:t>
            </w:r>
            <w:r>
              <w:rPr>
                <w:rFonts w:hint="eastAsia" w:ascii="宋体" w:hAnsi="宋体" w:eastAsia="宋体" w:cs="宋体"/>
                <w:sz w:val="20"/>
                <w:szCs w:val="20"/>
              </w:rPr>
              <w:t>12路HDMI 1.4，支持4K。</w:t>
            </w:r>
          </w:p>
        </w:tc>
        <w:tc>
          <w:tcPr>
            <w:tcW w:w="400" w:type="pct"/>
            <w:vAlign w:val="center"/>
          </w:tcPr>
          <w:p w14:paraId="5BDB24F4">
            <w:pPr>
              <w:widowControl/>
              <w:jc w:val="center"/>
              <w:textAlignment w:val="center"/>
              <w:rPr>
                <w:vertAlign w:val="baseline"/>
              </w:rPr>
            </w:pPr>
            <w:r>
              <w:rPr>
                <w:rFonts w:hint="eastAsia" w:ascii="宋体" w:hAnsi="宋体" w:eastAsia="宋体" w:cs="宋体"/>
                <w:color w:val="000000"/>
                <w:kern w:val="0"/>
                <w:sz w:val="22"/>
                <w:szCs w:val="22"/>
                <w:highlight w:val="none"/>
                <w:lang w:bidi="ar"/>
              </w:rPr>
              <w:t>台</w:t>
            </w:r>
          </w:p>
        </w:tc>
        <w:tc>
          <w:tcPr>
            <w:tcW w:w="412" w:type="pct"/>
            <w:vAlign w:val="center"/>
          </w:tcPr>
          <w:p w14:paraId="5E9EDA2E">
            <w:pPr>
              <w:widowControl/>
              <w:jc w:val="center"/>
              <w:textAlignment w:val="center"/>
              <w:rPr>
                <w:vertAlign w:val="baseline"/>
              </w:rPr>
            </w:pPr>
            <w:r>
              <w:rPr>
                <w:rFonts w:hint="eastAsia" w:ascii="宋体" w:hAnsi="宋体" w:eastAsia="宋体" w:cs="宋体"/>
                <w:color w:val="000000"/>
                <w:kern w:val="0"/>
                <w:sz w:val="22"/>
                <w:szCs w:val="22"/>
                <w:highlight w:val="none"/>
                <w:lang w:bidi="ar"/>
              </w:rPr>
              <w:t>1</w:t>
            </w:r>
          </w:p>
        </w:tc>
      </w:tr>
      <w:tr w14:paraId="21EB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09463F52">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39</w:t>
            </w:r>
          </w:p>
        </w:tc>
        <w:tc>
          <w:tcPr>
            <w:tcW w:w="958" w:type="pct"/>
            <w:vAlign w:val="center"/>
          </w:tcPr>
          <w:p w14:paraId="38ABDBEB">
            <w:pPr>
              <w:widowControl/>
              <w:jc w:val="left"/>
              <w:textAlignment w:val="center"/>
              <w:rPr>
                <w:vertAlign w:val="baseline"/>
              </w:rPr>
            </w:pPr>
            <w:r>
              <w:rPr>
                <w:rFonts w:hint="eastAsia" w:ascii="宋体" w:hAnsi="宋体" w:eastAsia="宋体" w:cs="宋体"/>
                <w:color w:val="000000"/>
                <w:kern w:val="0"/>
                <w:sz w:val="22"/>
                <w:szCs w:val="22"/>
                <w:highlight w:val="none"/>
                <w:lang w:bidi="ar"/>
              </w:rPr>
              <w:t>核心交换机</w:t>
            </w:r>
          </w:p>
        </w:tc>
        <w:tc>
          <w:tcPr>
            <w:tcW w:w="2832" w:type="pct"/>
            <w:vAlign w:val="top"/>
          </w:tcPr>
          <w:p w14:paraId="55ED2DB1">
            <w:pPr>
              <w:widowControl w:val="0"/>
              <w:bidi w:val="0"/>
              <w:jc w:val="left"/>
              <w:rPr>
                <w:rFonts w:hint="eastAsia" w:ascii="宋体" w:hAnsi="宋体" w:eastAsia="宋体" w:cs="宋体"/>
                <w:sz w:val="20"/>
                <w:szCs w:val="20"/>
              </w:rPr>
            </w:pPr>
            <w:r>
              <w:rPr>
                <w:rFonts w:hint="eastAsia" w:ascii="宋体" w:hAnsi="宋体" w:eastAsia="宋体" w:cs="宋体"/>
                <w:sz w:val="20"/>
                <w:szCs w:val="20"/>
              </w:rPr>
              <w:t>1、支持槽位数≥3，3个业务板槽，业务板卡集成主控能力，无需独立主控板卡，支持电源冗余，整机高度≤4U。</w:t>
            </w:r>
          </w:p>
          <w:p w14:paraId="76F254E9">
            <w:pPr>
              <w:widowControl w:val="0"/>
              <w:bidi w:val="0"/>
              <w:jc w:val="left"/>
              <w:rPr>
                <w:rFonts w:hint="eastAsia" w:ascii="宋体" w:hAnsi="宋体" w:eastAsia="宋体" w:cs="宋体"/>
                <w:sz w:val="20"/>
                <w:szCs w:val="20"/>
              </w:rPr>
            </w:pPr>
            <w:r>
              <w:rPr>
                <w:rFonts w:hint="eastAsia" w:ascii="宋体" w:hAnsi="宋体" w:eastAsia="宋体" w:cs="宋体"/>
                <w:sz w:val="20"/>
                <w:szCs w:val="20"/>
              </w:rPr>
              <w:t>2、支持独立的console管理串口。</w:t>
            </w:r>
          </w:p>
          <w:p w14:paraId="4BE8C0F8">
            <w:pPr>
              <w:widowControl w:val="0"/>
              <w:bidi w:val="0"/>
              <w:jc w:val="left"/>
              <w:rPr>
                <w:rFonts w:hint="eastAsia" w:ascii="宋体" w:hAnsi="宋体" w:eastAsia="宋体" w:cs="宋体"/>
                <w:sz w:val="20"/>
                <w:szCs w:val="20"/>
              </w:rPr>
            </w:pPr>
            <w:r>
              <w:rPr>
                <w:rFonts w:hint="eastAsia" w:ascii="宋体" w:hAnsi="宋体" w:eastAsia="宋体" w:cs="宋体"/>
                <w:sz w:val="20"/>
                <w:szCs w:val="20"/>
              </w:rPr>
              <w:t>3、交换容量：≥38.4Tbps,转发性能：≥7200Mpps。</w:t>
            </w:r>
          </w:p>
          <w:p w14:paraId="4686FF88">
            <w:pPr>
              <w:widowControl w:val="0"/>
              <w:bidi w:val="0"/>
              <w:jc w:val="left"/>
              <w:rPr>
                <w:rFonts w:hint="eastAsia" w:ascii="宋体" w:hAnsi="宋体" w:eastAsia="宋体" w:cs="宋体"/>
                <w:sz w:val="20"/>
                <w:szCs w:val="20"/>
              </w:rPr>
            </w:pPr>
            <w:r>
              <w:rPr>
                <w:rFonts w:hint="eastAsia" w:ascii="宋体" w:hAnsi="宋体" w:eastAsia="宋体" w:cs="宋体"/>
                <w:sz w:val="20"/>
                <w:szCs w:val="20"/>
              </w:rPr>
              <w:t>4、支持802.3ad规定的链路聚合功能，支持MAC地址绑定功能。</w:t>
            </w:r>
          </w:p>
          <w:p w14:paraId="15202CCE">
            <w:pPr>
              <w:widowControl w:val="0"/>
              <w:bidi w:val="0"/>
              <w:jc w:val="left"/>
              <w:rPr>
                <w:rFonts w:hint="eastAsia" w:ascii="宋体" w:hAnsi="宋体" w:eastAsia="宋体" w:cs="宋体"/>
                <w:sz w:val="20"/>
                <w:szCs w:val="20"/>
              </w:rPr>
            </w:pPr>
            <w:r>
              <w:rPr>
                <w:rFonts w:hint="eastAsia" w:ascii="宋体" w:hAnsi="宋体" w:eastAsia="宋体" w:cs="宋体"/>
                <w:sz w:val="20"/>
                <w:szCs w:val="20"/>
              </w:rPr>
              <w:t>5、支持按端口划分VLAN，支持VLAN TRUNK；支持静态路由、支持OSPFv2、支持RIPv1/v2、支持等价路由，策略路由、支持VRRP。</w:t>
            </w:r>
          </w:p>
          <w:p w14:paraId="5AFE3330">
            <w:pPr>
              <w:widowControl w:val="0"/>
              <w:bidi w:val="0"/>
              <w:jc w:val="left"/>
              <w:rPr>
                <w:rFonts w:hint="eastAsia" w:ascii="宋体" w:hAnsi="宋体" w:eastAsia="宋体" w:cs="宋体"/>
                <w:sz w:val="20"/>
                <w:szCs w:val="20"/>
              </w:rPr>
            </w:pPr>
            <w:r>
              <w:rPr>
                <w:rFonts w:hint="eastAsia" w:ascii="宋体" w:hAnsi="宋体" w:eastAsia="宋体" w:cs="宋体"/>
                <w:sz w:val="20"/>
                <w:szCs w:val="20"/>
              </w:rPr>
              <w:t>6、支持基于源MAC地址、源IP、源端口、指定协议的ACL。</w:t>
            </w:r>
          </w:p>
          <w:p w14:paraId="017AEDDD">
            <w:pPr>
              <w:widowControl w:val="0"/>
              <w:bidi w:val="0"/>
              <w:jc w:val="left"/>
              <w:rPr>
                <w:rFonts w:hint="eastAsia" w:ascii="宋体" w:hAnsi="宋体" w:eastAsia="宋体" w:cs="宋体"/>
                <w:sz w:val="20"/>
                <w:szCs w:val="20"/>
              </w:rPr>
            </w:pPr>
            <w:r>
              <w:rPr>
                <w:rFonts w:hint="eastAsia" w:ascii="宋体" w:hAnsi="宋体" w:eastAsia="宋体" w:cs="宋体"/>
                <w:sz w:val="20"/>
                <w:szCs w:val="20"/>
              </w:rPr>
              <w:t>7、支持端口镜像。</w:t>
            </w:r>
          </w:p>
          <w:p w14:paraId="5AB23FB5">
            <w:pPr>
              <w:widowControl w:val="0"/>
              <w:bidi w:val="0"/>
              <w:jc w:val="left"/>
              <w:rPr>
                <w:rFonts w:hint="eastAsia" w:ascii="宋体" w:hAnsi="宋体" w:eastAsia="宋体" w:cs="宋体"/>
                <w:sz w:val="20"/>
                <w:szCs w:val="20"/>
              </w:rPr>
            </w:pPr>
            <w:r>
              <w:rPr>
                <w:rFonts w:hint="eastAsia" w:ascii="宋体" w:hAnsi="宋体" w:eastAsia="宋体" w:cs="宋体"/>
                <w:sz w:val="20"/>
                <w:szCs w:val="20"/>
              </w:rPr>
              <w:t>8、支持用户的分级分权控制，可以为用户分配不同权限，每个用户只能进行其权限所允许的操作。</w:t>
            </w:r>
          </w:p>
          <w:p w14:paraId="1FE37BAC">
            <w:pPr>
              <w:widowControl w:val="0"/>
              <w:bidi w:val="0"/>
              <w:jc w:val="left"/>
              <w:rPr>
                <w:rFonts w:hint="eastAsia" w:ascii="宋体" w:hAnsi="宋体" w:eastAsia="宋体" w:cs="宋体"/>
                <w:sz w:val="20"/>
                <w:szCs w:val="20"/>
              </w:rPr>
            </w:pPr>
            <w:r>
              <w:rPr>
                <w:rFonts w:hint="eastAsia" w:ascii="宋体" w:hAnsi="宋体" w:eastAsia="宋体" w:cs="宋体"/>
                <w:sz w:val="20"/>
                <w:szCs w:val="20"/>
              </w:rPr>
              <w:t>9、可以为远程连接用户提供访问控制，拒绝未通过验证的连接。</w:t>
            </w:r>
          </w:p>
          <w:p w14:paraId="64F95CF0">
            <w:pPr>
              <w:widowControl w:val="0"/>
              <w:bidi w:val="0"/>
              <w:jc w:val="left"/>
              <w:rPr>
                <w:rFonts w:hint="eastAsia" w:ascii="宋体" w:hAnsi="宋体" w:eastAsia="宋体" w:cs="宋体"/>
                <w:sz w:val="20"/>
                <w:szCs w:val="20"/>
              </w:rPr>
            </w:pPr>
            <w:r>
              <w:rPr>
                <w:rFonts w:hint="eastAsia" w:ascii="宋体" w:hAnsi="宋体" w:eastAsia="宋体" w:cs="宋体"/>
                <w:sz w:val="20"/>
                <w:szCs w:val="20"/>
              </w:rPr>
              <w:t>10、支持通过平台进行区域分组管理，支持设备名称同步、设备名称下发、固件升级、一键免密远程跳转到设备web端、定位到拓扑图显示等操作。</w:t>
            </w:r>
          </w:p>
          <w:p w14:paraId="40D2AE14">
            <w:pPr>
              <w:widowControl w:val="0"/>
              <w:bidi w:val="0"/>
              <w:jc w:val="left"/>
              <w:rPr>
                <w:sz w:val="20"/>
                <w:szCs w:val="20"/>
                <w:vertAlign w:val="baseline"/>
              </w:rPr>
            </w:pPr>
            <w:r>
              <w:rPr>
                <w:rFonts w:hint="eastAsia" w:ascii="宋体" w:hAnsi="宋体" w:eastAsia="宋体" w:cs="宋体"/>
                <w:sz w:val="20"/>
                <w:szCs w:val="20"/>
              </w:rPr>
              <w:t>11、支持通过平台对交换机与摄像头、NVR、DVR、门禁设备、报警设备、解码设备等物联设备进行资产统一管理，资产信息的导入和导出；查看每个设备的使用时间。</w:t>
            </w:r>
          </w:p>
        </w:tc>
        <w:tc>
          <w:tcPr>
            <w:tcW w:w="400" w:type="pct"/>
            <w:vAlign w:val="center"/>
          </w:tcPr>
          <w:p w14:paraId="37C335AF">
            <w:pPr>
              <w:widowControl/>
              <w:jc w:val="center"/>
              <w:textAlignment w:val="center"/>
              <w:rPr>
                <w:vertAlign w:val="baseline"/>
              </w:rPr>
            </w:pPr>
            <w:r>
              <w:rPr>
                <w:rFonts w:hint="eastAsia" w:ascii="宋体" w:hAnsi="宋体" w:eastAsia="宋体" w:cs="宋体"/>
                <w:color w:val="000000"/>
                <w:kern w:val="0"/>
                <w:sz w:val="22"/>
                <w:szCs w:val="22"/>
                <w:highlight w:val="none"/>
                <w:lang w:bidi="ar"/>
              </w:rPr>
              <w:t>套</w:t>
            </w:r>
          </w:p>
        </w:tc>
        <w:tc>
          <w:tcPr>
            <w:tcW w:w="412" w:type="pct"/>
            <w:vAlign w:val="center"/>
          </w:tcPr>
          <w:p w14:paraId="6DD49DF1">
            <w:pPr>
              <w:widowControl/>
              <w:jc w:val="center"/>
              <w:textAlignment w:val="center"/>
              <w:rPr>
                <w:vertAlign w:val="baseline"/>
              </w:rPr>
            </w:pPr>
            <w:r>
              <w:rPr>
                <w:rFonts w:hint="eastAsia" w:ascii="宋体" w:hAnsi="宋体" w:eastAsia="宋体" w:cs="宋体"/>
                <w:color w:val="000000"/>
                <w:kern w:val="0"/>
                <w:sz w:val="22"/>
                <w:szCs w:val="22"/>
                <w:highlight w:val="none"/>
                <w:lang w:bidi="ar"/>
              </w:rPr>
              <w:t>1</w:t>
            </w:r>
          </w:p>
        </w:tc>
      </w:tr>
      <w:tr w14:paraId="49E11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1A5CA009">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40</w:t>
            </w:r>
          </w:p>
        </w:tc>
        <w:tc>
          <w:tcPr>
            <w:tcW w:w="958" w:type="pct"/>
            <w:vAlign w:val="center"/>
          </w:tcPr>
          <w:p w14:paraId="16880E42">
            <w:pPr>
              <w:widowControl/>
              <w:jc w:val="left"/>
              <w:textAlignment w:val="center"/>
              <w:rPr>
                <w:vertAlign w:val="baseline"/>
              </w:rPr>
            </w:pPr>
            <w:r>
              <w:rPr>
                <w:rFonts w:hint="eastAsia" w:ascii="宋体" w:hAnsi="宋体" w:eastAsia="宋体" w:cs="宋体"/>
                <w:color w:val="000000"/>
                <w:kern w:val="0"/>
                <w:sz w:val="22"/>
                <w:szCs w:val="22"/>
                <w:highlight w:val="none"/>
                <w:lang w:bidi="ar"/>
              </w:rPr>
              <w:t>接入交换机</w:t>
            </w:r>
          </w:p>
        </w:tc>
        <w:tc>
          <w:tcPr>
            <w:tcW w:w="2832" w:type="pct"/>
            <w:vAlign w:val="top"/>
          </w:tcPr>
          <w:p w14:paraId="4F6C2554">
            <w:pPr>
              <w:widowControl w:val="0"/>
              <w:bidi w:val="0"/>
              <w:jc w:val="left"/>
              <w:rPr>
                <w:rFonts w:hint="eastAsia" w:ascii="宋体" w:hAnsi="宋体" w:eastAsia="宋体" w:cs="宋体"/>
                <w:sz w:val="20"/>
                <w:szCs w:val="20"/>
              </w:rPr>
            </w:pPr>
            <w:r>
              <w:rPr>
                <w:rFonts w:hint="eastAsia" w:ascii="宋体" w:hAnsi="宋体" w:eastAsia="宋体" w:cs="宋体"/>
                <w:sz w:val="20"/>
                <w:szCs w:val="20"/>
              </w:rPr>
              <w:t>1、端口：至少24个千兆PoE电口，1个千兆电口，1个千兆光口。</w:t>
            </w:r>
          </w:p>
          <w:p w14:paraId="180A256D">
            <w:pPr>
              <w:widowControl w:val="0"/>
              <w:bidi w:val="0"/>
              <w:jc w:val="left"/>
              <w:rPr>
                <w:rFonts w:hint="eastAsia" w:ascii="宋体" w:hAnsi="宋体" w:eastAsia="宋体" w:cs="宋体"/>
                <w:sz w:val="20"/>
                <w:szCs w:val="20"/>
              </w:rPr>
            </w:pPr>
            <w:r>
              <w:rPr>
                <w:rFonts w:hint="eastAsia" w:ascii="宋体" w:hAnsi="宋体" w:eastAsia="宋体" w:cs="宋体"/>
                <w:sz w:val="20"/>
                <w:szCs w:val="20"/>
              </w:rPr>
              <w:t>2、交换容量：至少52 Gbps。</w:t>
            </w:r>
          </w:p>
          <w:p w14:paraId="0F8AF7C3">
            <w:pPr>
              <w:widowControl w:val="0"/>
              <w:bidi w:val="0"/>
              <w:jc w:val="left"/>
              <w:rPr>
                <w:rFonts w:hint="eastAsia" w:ascii="宋体" w:hAnsi="宋体" w:eastAsia="宋体" w:cs="宋体"/>
                <w:sz w:val="20"/>
                <w:szCs w:val="20"/>
              </w:rPr>
            </w:pPr>
            <w:r>
              <w:rPr>
                <w:rFonts w:hint="eastAsia" w:ascii="宋体" w:hAnsi="宋体" w:eastAsia="宋体" w:cs="宋体"/>
                <w:sz w:val="20"/>
                <w:szCs w:val="20"/>
              </w:rPr>
              <w:t>3、包转发率：至少38.69 Mpps。</w:t>
            </w:r>
          </w:p>
          <w:p w14:paraId="16EB89E6">
            <w:pPr>
              <w:widowControl w:val="0"/>
              <w:bidi w:val="0"/>
              <w:jc w:val="left"/>
              <w:rPr>
                <w:rFonts w:hint="eastAsia" w:ascii="宋体" w:hAnsi="宋体" w:eastAsia="宋体" w:cs="宋体"/>
                <w:sz w:val="20"/>
                <w:szCs w:val="20"/>
              </w:rPr>
            </w:pPr>
            <w:r>
              <w:rPr>
                <w:rFonts w:hint="eastAsia" w:ascii="宋体" w:hAnsi="宋体" w:eastAsia="宋体" w:cs="宋体"/>
                <w:sz w:val="20"/>
                <w:szCs w:val="20"/>
              </w:rPr>
              <w:t>4、MAC地址容量：8 K。</w:t>
            </w:r>
          </w:p>
          <w:p w14:paraId="0FCFE557">
            <w:pPr>
              <w:widowControl w:val="0"/>
              <w:bidi w:val="0"/>
              <w:jc w:val="left"/>
              <w:rPr>
                <w:rFonts w:hint="eastAsia" w:ascii="宋体" w:hAnsi="宋体" w:eastAsia="宋体" w:cs="宋体"/>
                <w:sz w:val="20"/>
                <w:szCs w:val="20"/>
              </w:rPr>
            </w:pPr>
            <w:r>
              <w:rPr>
                <w:rFonts w:hint="eastAsia" w:ascii="宋体" w:hAnsi="宋体" w:eastAsia="宋体" w:cs="宋体"/>
                <w:sz w:val="20"/>
                <w:szCs w:val="20"/>
              </w:rPr>
              <w:t>5、PoE标准：IEEE 802.3af，IEEE 802.3at。</w:t>
            </w:r>
          </w:p>
          <w:p w14:paraId="3D487F3C">
            <w:pPr>
              <w:widowControl w:val="0"/>
              <w:bidi w:val="0"/>
              <w:jc w:val="left"/>
              <w:rPr>
                <w:rFonts w:hint="eastAsia" w:ascii="宋体" w:hAnsi="宋体" w:eastAsia="宋体" w:cs="宋体"/>
                <w:sz w:val="20"/>
                <w:szCs w:val="20"/>
              </w:rPr>
            </w:pPr>
            <w:r>
              <w:rPr>
                <w:rFonts w:hint="eastAsia" w:ascii="宋体" w:hAnsi="宋体" w:eastAsia="宋体" w:cs="宋体"/>
                <w:sz w:val="20"/>
                <w:szCs w:val="20"/>
              </w:rPr>
              <w:t>6、PoE端口：端口1-24。</w:t>
            </w:r>
          </w:p>
          <w:p w14:paraId="2E8BE4F7">
            <w:pPr>
              <w:widowControl w:val="0"/>
              <w:bidi w:val="0"/>
              <w:jc w:val="left"/>
              <w:rPr>
                <w:rFonts w:hint="eastAsia" w:ascii="宋体" w:hAnsi="宋体" w:eastAsia="宋体" w:cs="宋体"/>
                <w:sz w:val="20"/>
                <w:szCs w:val="20"/>
              </w:rPr>
            </w:pPr>
            <w:r>
              <w:rPr>
                <w:rFonts w:hint="eastAsia" w:ascii="宋体" w:hAnsi="宋体" w:eastAsia="宋体" w:cs="宋体"/>
                <w:sz w:val="20"/>
                <w:szCs w:val="20"/>
              </w:rPr>
              <w:t>7、单端口最大30 W；整机最大供电功率：370 W。</w:t>
            </w:r>
          </w:p>
          <w:p w14:paraId="7257CA1C">
            <w:pPr>
              <w:widowControl w:val="0"/>
              <w:bidi w:val="0"/>
              <w:jc w:val="left"/>
              <w:rPr>
                <w:rFonts w:hint="eastAsia" w:ascii="宋体" w:hAnsi="宋体" w:eastAsia="宋体" w:cs="宋体"/>
                <w:sz w:val="20"/>
                <w:szCs w:val="20"/>
              </w:rPr>
            </w:pPr>
            <w:r>
              <w:rPr>
                <w:rFonts w:hint="eastAsia" w:ascii="宋体" w:hAnsi="宋体" w:eastAsia="宋体" w:cs="宋体"/>
                <w:sz w:val="20"/>
                <w:szCs w:val="20"/>
              </w:rPr>
              <w:t>8、风扇：配置2个固化风扇。</w:t>
            </w:r>
          </w:p>
          <w:p w14:paraId="5FBED354">
            <w:pPr>
              <w:widowControl w:val="0"/>
              <w:bidi w:val="0"/>
              <w:jc w:val="left"/>
              <w:rPr>
                <w:rFonts w:hint="eastAsia" w:ascii="宋体" w:hAnsi="宋体" w:eastAsia="宋体" w:cs="宋体"/>
                <w:sz w:val="20"/>
                <w:szCs w:val="20"/>
              </w:rPr>
            </w:pPr>
            <w:r>
              <w:rPr>
                <w:rFonts w:hint="eastAsia" w:ascii="宋体" w:hAnsi="宋体" w:eastAsia="宋体" w:cs="宋体"/>
                <w:sz w:val="20"/>
                <w:szCs w:val="20"/>
              </w:rPr>
              <w:t>9、整机功耗：≤ 400 W。</w:t>
            </w:r>
          </w:p>
          <w:p w14:paraId="45E2040A">
            <w:pPr>
              <w:widowControl w:val="0"/>
              <w:bidi w:val="0"/>
              <w:jc w:val="left"/>
              <w:rPr>
                <w:rFonts w:hint="eastAsia" w:ascii="宋体" w:hAnsi="宋体" w:eastAsia="宋体" w:cs="宋体"/>
                <w:sz w:val="20"/>
                <w:szCs w:val="20"/>
              </w:rPr>
            </w:pPr>
            <w:r>
              <w:rPr>
                <w:rFonts w:hint="eastAsia" w:ascii="宋体" w:hAnsi="宋体" w:eastAsia="宋体" w:cs="宋体"/>
                <w:sz w:val="20"/>
                <w:szCs w:val="20"/>
              </w:rPr>
              <w:t>10、浪涌防护：至少支持6 kV防浪涌。</w:t>
            </w:r>
          </w:p>
          <w:p w14:paraId="002C3F4C">
            <w:pPr>
              <w:widowControl w:val="0"/>
              <w:bidi w:val="0"/>
              <w:jc w:val="left"/>
              <w:rPr>
                <w:sz w:val="20"/>
                <w:szCs w:val="20"/>
                <w:vertAlign w:val="baseline"/>
              </w:rPr>
            </w:pPr>
            <w:r>
              <w:rPr>
                <w:rFonts w:hint="eastAsia" w:ascii="宋体" w:hAnsi="宋体" w:eastAsia="宋体" w:cs="宋体"/>
                <w:sz w:val="20"/>
                <w:szCs w:val="20"/>
              </w:rPr>
              <w:t>11、平均无故障工作时间（MTBF）≥100000小时。</w:t>
            </w:r>
          </w:p>
        </w:tc>
        <w:tc>
          <w:tcPr>
            <w:tcW w:w="400" w:type="pct"/>
            <w:vAlign w:val="center"/>
          </w:tcPr>
          <w:p w14:paraId="2A200ADF">
            <w:pPr>
              <w:widowControl/>
              <w:jc w:val="center"/>
              <w:textAlignment w:val="center"/>
              <w:rPr>
                <w:vertAlign w:val="baseline"/>
              </w:rPr>
            </w:pPr>
            <w:r>
              <w:rPr>
                <w:rFonts w:hint="eastAsia" w:ascii="宋体" w:hAnsi="宋体" w:eastAsia="宋体" w:cs="宋体"/>
                <w:color w:val="000000"/>
                <w:kern w:val="0"/>
                <w:sz w:val="22"/>
                <w:szCs w:val="22"/>
                <w:highlight w:val="none"/>
                <w:lang w:bidi="ar"/>
              </w:rPr>
              <w:t>台</w:t>
            </w:r>
          </w:p>
        </w:tc>
        <w:tc>
          <w:tcPr>
            <w:tcW w:w="412" w:type="pct"/>
            <w:vAlign w:val="center"/>
          </w:tcPr>
          <w:p w14:paraId="7C17E511">
            <w:pPr>
              <w:widowControl/>
              <w:jc w:val="center"/>
              <w:textAlignment w:val="center"/>
              <w:rPr>
                <w:vertAlign w:val="baseline"/>
              </w:rPr>
            </w:pPr>
            <w:r>
              <w:rPr>
                <w:rFonts w:hint="eastAsia" w:ascii="宋体" w:hAnsi="宋体" w:eastAsia="宋体" w:cs="宋体"/>
                <w:color w:val="000000"/>
                <w:kern w:val="0"/>
                <w:sz w:val="22"/>
                <w:szCs w:val="22"/>
                <w:highlight w:val="none"/>
                <w:lang w:bidi="ar"/>
              </w:rPr>
              <w:t>20</w:t>
            </w:r>
          </w:p>
        </w:tc>
      </w:tr>
      <w:tr w14:paraId="5B7AA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3FDAF789">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41</w:t>
            </w:r>
          </w:p>
        </w:tc>
        <w:tc>
          <w:tcPr>
            <w:tcW w:w="958" w:type="pct"/>
            <w:vAlign w:val="center"/>
          </w:tcPr>
          <w:p w14:paraId="7B4BE3C7">
            <w:pPr>
              <w:widowControl/>
              <w:jc w:val="left"/>
              <w:textAlignment w:val="center"/>
              <w:rPr>
                <w:vertAlign w:val="baseline"/>
              </w:rPr>
            </w:pPr>
            <w:r>
              <w:rPr>
                <w:rFonts w:hint="eastAsia" w:ascii="宋体" w:hAnsi="宋体" w:eastAsia="宋体" w:cs="宋体"/>
                <w:color w:val="000000"/>
                <w:kern w:val="0"/>
                <w:sz w:val="22"/>
                <w:szCs w:val="22"/>
                <w:highlight w:val="none"/>
                <w:lang w:bidi="ar"/>
              </w:rPr>
              <w:t>光模块</w:t>
            </w:r>
          </w:p>
        </w:tc>
        <w:tc>
          <w:tcPr>
            <w:tcW w:w="2832" w:type="pct"/>
            <w:vAlign w:val="center"/>
          </w:tcPr>
          <w:p w14:paraId="2AD8CD21">
            <w:pPr>
              <w:widowControl w:val="0"/>
              <w:bidi w:val="0"/>
              <w:jc w:val="left"/>
              <w:rPr>
                <w:sz w:val="20"/>
                <w:szCs w:val="20"/>
                <w:vertAlign w:val="baseline"/>
              </w:rPr>
            </w:pPr>
            <w:r>
              <w:rPr>
                <w:rFonts w:hint="eastAsia" w:ascii="宋体" w:hAnsi="宋体" w:eastAsia="宋体" w:cs="宋体"/>
                <w:sz w:val="20"/>
                <w:szCs w:val="20"/>
              </w:rPr>
              <w:t>千兆10公里单模双纤模块不分收发</w:t>
            </w:r>
          </w:p>
        </w:tc>
        <w:tc>
          <w:tcPr>
            <w:tcW w:w="400" w:type="pct"/>
            <w:vAlign w:val="center"/>
          </w:tcPr>
          <w:p w14:paraId="3A49D6BF">
            <w:pPr>
              <w:widowControl/>
              <w:jc w:val="center"/>
              <w:textAlignment w:val="center"/>
              <w:rPr>
                <w:vertAlign w:val="baseline"/>
              </w:rPr>
            </w:pPr>
            <w:r>
              <w:rPr>
                <w:rFonts w:hint="eastAsia" w:ascii="宋体" w:hAnsi="宋体" w:eastAsia="宋体" w:cs="宋体"/>
                <w:color w:val="000000"/>
                <w:kern w:val="0"/>
                <w:sz w:val="22"/>
                <w:szCs w:val="22"/>
                <w:highlight w:val="none"/>
                <w:lang w:bidi="ar"/>
              </w:rPr>
              <w:t>对</w:t>
            </w:r>
          </w:p>
        </w:tc>
        <w:tc>
          <w:tcPr>
            <w:tcW w:w="412" w:type="pct"/>
            <w:vAlign w:val="center"/>
          </w:tcPr>
          <w:p w14:paraId="7D1360FF">
            <w:pPr>
              <w:widowControl/>
              <w:jc w:val="center"/>
              <w:textAlignment w:val="center"/>
              <w:rPr>
                <w:vertAlign w:val="baseline"/>
              </w:rPr>
            </w:pPr>
            <w:r>
              <w:rPr>
                <w:rFonts w:hint="eastAsia" w:ascii="宋体" w:hAnsi="宋体" w:eastAsia="宋体" w:cs="宋体"/>
                <w:color w:val="000000"/>
                <w:kern w:val="0"/>
                <w:sz w:val="22"/>
                <w:szCs w:val="22"/>
                <w:highlight w:val="none"/>
                <w:lang w:bidi="ar"/>
              </w:rPr>
              <w:t>15</w:t>
            </w:r>
          </w:p>
        </w:tc>
      </w:tr>
      <w:tr w14:paraId="0C66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0505D8EE">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42</w:t>
            </w:r>
          </w:p>
        </w:tc>
        <w:tc>
          <w:tcPr>
            <w:tcW w:w="958" w:type="pct"/>
            <w:vAlign w:val="center"/>
          </w:tcPr>
          <w:p w14:paraId="5EBD1676">
            <w:pPr>
              <w:widowControl/>
              <w:jc w:val="left"/>
              <w:textAlignment w:val="center"/>
              <w:rPr>
                <w:vertAlign w:val="baseline"/>
              </w:rPr>
            </w:pPr>
            <w:r>
              <w:rPr>
                <w:rFonts w:hint="eastAsia" w:ascii="宋体" w:hAnsi="宋体" w:eastAsia="宋体" w:cs="宋体"/>
                <w:color w:val="000000"/>
                <w:kern w:val="0"/>
                <w:sz w:val="22"/>
                <w:szCs w:val="22"/>
                <w:highlight w:val="none"/>
                <w:lang w:val="en-US" w:eastAsia="zh-CN" w:bidi="ar"/>
              </w:rPr>
              <w:t>室外</w:t>
            </w:r>
            <w:r>
              <w:rPr>
                <w:rFonts w:hint="eastAsia" w:ascii="宋体" w:hAnsi="宋体" w:eastAsia="宋体" w:cs="宋体"/>
                <w:color w:val="000000"/>
                <w:kern w:val="0"/>
                <w:sz w:val="22"/>
                <w:szCs w:val="22"/>
                <w:highlight w:val="none"/>
                <w:lang w:bidi="ar"/>
              </w:rPr>
              <w:t>补光灯</w:t>
            </w:r>
          </w:p>
        </w:tc>
        <w:tc>
          <w:tcPr>
            <w:tcW w:w="2832" w:type="pct"/>
            <w:vAlign w:val="center"/>
          </w:tcPr>
          <w:p w14:paraId="69D63B2A">
            <w:pPr>
              <w:widowControl w:val="0"/>
              <w:bidi w:val="0"/>
              <w:jc w:val="left"/>
              <w:rPr>
                <w:sz w:val="20"/>
                <w:szCs w:val="20"/>
                <w:vertAlign w:val="baseline"/>
              </w:rPr>
            </w:pPr>
            <w:r>
              <w:rPr>
                <w:rFonts w:hint="eastAsia" w:ascii="宋体" w:hAnsi="宋体" w:eastAsia="宋体" w:cs="宋体"/>
                <w:sz w:val="20"/>
                <w:szCs w:val="20"/>
              </w:rPr>
              <w:t>100-240V，≥600W LED光源</w:t>
            </w:r>
          </w:p>
        </w:tc>
        <w:tc>
          <w:tcPr>
            <w:tcW w:w="400" w:type="pct"/>
            <w:vAlign w:val="center"/>
          </w:tcPr>
          <w:p w14:paraId="42C038E7">
            <w:pPr>
              <w:widowControl/>
              <w:jc w:val="center"/>
              <w:textAlignment w:val="center"/>
              <w:rPr>
                <w:vertAlign w:val="baseline"/>
              </w:rPr>
            </w:pPr>
            <w:r>
              <w:rPr>
                <w:rFonts w:hint="eastAsia" w:ascii="宋体" w:hAnsi="宋体" w:eastAsia="宋体" w:cs="宋体"/>
                <w:color w:val="000000"/>
                <w:kern w:val="0"/>
                <w:sz w:val="22"/>
                <w:szCs w:val="22"/>
                <w:highlight w:val="none"/>
                <w:lang w:bidi="ar"/>
              </w:rPr>
              <w:t>个</w:t>
            </w:r>
          </w:p>
        </w:tc>
        <w:tc>
          <w:tcPr>
            <w:tcW w:w="412" w:type="pct"/>
            <w:vAlign w:val="center"/>
          </w:tcPr>
          <w:p w14:paraId="34620165">
            <w:pPr>
              <w:widowControl/>
              <w:jc w:val="center"/>
              <w:textAlignment w:val="center"/>
              <w:rPr>
                <w:vertAlign w:val="baseline"/>
              </w:rPr>
            </w:pPr>
            <w:r>
              <w:rPr>
                <w:rFonts w:hint="eastAsia" w:ascii="宋体" w:hAnsi="宋体" w:eastAsia="宋体" w:cs="宋体"/>
                <w:color w:val="000000"/>
                <w:kern w:val="0"/>
                <w:sz w:val="22"/>
                <w:szCs w:val="22"/>
                <w:highlight w:val="none"/>
                <w:lang w:bidi="ar"/>
              </w:rPr>
              <w:t>12</w:t>
            </w:r>
          </w:p>
        </w:tc>
      </w:tr>
      <w:tr w14:paraId="71CD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589A1AB5">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43</w:t>
            </w:r>
          </w:p>
        </w:tc>
        <w:tc>
          <w:tcPr>
            <w:tcW w:w="958" w:type="pct"/>
            <w:vAlign w:val="center"/>
          </w:tcPr>
          <w:p w14:paraId="0ECCABB4">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通讯模块</w:t>
            </w:r>
          </w:p>
        </w:tc>
        <w:tc>
          <w:tcPr>
            <w:tcW w:w="2832" w:type="pct"/>
            <w:vAlign w:val="center"/>
          </w:tcPr>
          <w:p w14:paraId="11AA2EDB">
            <w:pPr>
              <w:widowControl w:val="0"/>
              <w:bidi w:val="0"/>
              <w:jc w:val="left"/>
              <w:rPr>
                <w:sz w:val="20"/>
                <w:szCs w:val="20"/>
                <w:vertAlign w:val="baseline"/>
              </w:rPr>
            </w:pPr>
            <w:r>
              <w:rPr>
                <w:rFonts w:hint="eastAsia" w:ascii="宋体" w:hAnsi="宋体" w:eastAsia="宋体" w:cs="宋体"/>
                <w:sz w:val="20"/>
                <w:szCs w:val="20"/>
                <w:lang w:val="en-US" w:eastAsia="zh-CN"/>
              </w:rPr>
              <w:t>工作电压：DC12V；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消耗功率：≤0.5W；</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数据接口：6pin针串口；</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带载能力：支持</w:t>
            </w:r>
            <w:r>
              <w:rPr>
                <w:rFonts w:hint="eastAsia" w:ascii="宋体" w:hAnsi="宋体" w:cs="宋体"/>
                <w:sz w:val="20"/>
                <w:szCs w:val="20"/>
                <w:lang w:val="en-US" w:eastAsia="zh-CN"/>
              </w:rPr>
              <w:t>不低于</w:t>
            </w:r>
            <w:r>
              <w:rPr>
                <w:rFonts w:hint="eastAsia" w:ascii="宋体" w:hAnsi="宋体" w:eastAsia="宋体" w:cs="宋体"/>
                <w:sz w:val="20"/>
                <w:szCs w:val="20"/>
                <w:lang w:val="en-US" w:eastAsia="zh-CN"/>
              </w:rPr>
              <w:t>29路开关节点；</w:t>
            </w:r>
            <w:r>
              <w:rPr>
                <w:rFonts w:hint="eastAsia" w:ascii="宋体" w:hAnsi="宋体" w:eastAsia="宋体" w:cs="宋体"/>
                <w:sz w:val="20"/>
                <w:szCs w:val="20"/>
                <w:lang w:val="en-US" w:eastAsia="zh-CN"/>
              </w:rPr>
              <w:br w:type="textWrapping"/>
            </w:r>
            <w:r>
              <w:rPr>
                <w:rFonts w:hint="eastAsia" w:ascii="宋体" w:hAnsi="宋体" w:cs="宋体"/>
                <w:sz w:val="20"/>
                <w:szCs w:val="20"/>
                <w:lang w:val="en-US" w:eastAsia="zh-CN"/>
              </w:rPr>
              <w:t>支</w:t>
            </w:r>
            <w:r>
              <w:rPr>
                <w:rFonts w:hint="eastAsia" w:ascii="宋体" w:hAnsi="宋体" w:eastAsia="宋体" w:cs="宋体"/>
                <w:sz w:val="20"/>
                <w:szCs w:val="20"/>
                <w:lang w:val="en-US" w:eastAsia="zh-CN"/>
              </w:rPr>
              <w:t>持双向互联网通讯,上行通讯支持4G、以太网、WiFi，下行通讯支持TTL总线；</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支持外置SMA天线接口；</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支持本地拨码开关、一键恢复/重启网关；</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支持市电断电报警；</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支持OTA远程升级功能；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支持线路用电量、实时报警断网续传；</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实时传输线路电压、电流、漏电流、线路温度、有功功率、报警状态等电参数，并将这些参数上传至服务器管理平台；</w:t>
            </w:r>
          </w:p>
        </w:tc>
        <w:tc>
          <w:tcPr>
            <w:tcW w:w="400" w:type="pct"/>
            <w:vAlign w:val="center"/>
          </w:tcPr>
          <w:p w14:paraId="4C93CEC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个</w:t>
            </w:r>
          </w:p>
        </w:tc>
        <w:tc>
          <w:tcPr>
            <w:tcW w:w="412" w:type="pct"/>
            <w:vAlign w:val="center"/>
          </w:tcPr>
          <w:p w14:paraId="166BC6E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3</w:t>
            </w:r>
          </w:p>
        </w:tc>
      </w:tr>
      <w:tr w14:paraId="6C47A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CFCBCAC">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44</w:t>
            </w:r>
          </w:p>
        </w:tc>
        <w:tc>
          <w:tcPr>
            <w:tcW w:w="958" w:type="pct"/>
            <w:vAlign w:val="center"/>
          </w:tcPr>
          <w:p w14:paraId="7D348078">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电源模块</w:t>
            </w:r>
          </w:p>
        </w:tc>
        <w:tc>
          <w:tcPr>
            <w:tcW w:w="2832" w:type="pct"/>
            <w:vAlign w:val="center"/>
          </w:tcPr>
          <w:p w14:paraId="0951F3EB">
            <w:pPr>
              <w:widowControl w:val="0"/>
              <w:bidi w:val="0"/>
              <w:jc w:val="left"/>
              <w:rPr>
                <w:sz w:val="20"/>
                <w:szCs w:val="20"/>
                <w:vertAlign w:val="baseline"/>
              </w:rPr>
            </w:pPr>
            <w:r>
              <w:rPr>
                <w:rFonts w:hint="eastAsia" w:ascii="宋体" w:hAnsi="宋体" w:eastAsia="宋体" w:cs="宋体"/>
                <w:sz w:val="20"/>
                <w:szCs w:val="20"/>
                <w:lang w:val="en-US" w:eastAsia="zh-CN"/>
              </w:rPr>
              <w:t>输入电压：AC100V-300V；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频率：50/60Hz；</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输入电流：600mA;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额定输出电压：DC12V；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额定输出电流: DC2A；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数据接口：6pin针串口；</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防雷击浪涌保护最大泄放电流：20kA；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外壳采用PA66+玻璃纤维等高规格防火阻燃材料、防火等级达到V0级；</w:t>
            </w:r>
          </w:p>
        </w:tc>
        <w:tc>
          <w:tcPr>
            <w:tcW w:w="400" w:type="pct"/>
            <w:vAlign w:val="center"/>
          </w:tcPr>
          <w:p w14:paraId="66C25A3F">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个</w:t>
            </w:r>
          </w:p>
        </w:tc>
        <w:tc>
          <w:tcPr>
            <w:tcW w:w="412" w:type="pct"/>
            <w:vAlign w:val="center"/>
          </w:tcPr>
          <w:p w14:paraId="1339CFE5">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3</w:t>
            </w:r>
          </w:p>
        </w:tc>
      </w:tr>
      <w:tr w14:paraId="1A7C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49975E46">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45</w:t>
            </w:r>
          </w:p>
        </w:tc>
        <w:tc>
          <w:tcPr>
            <w:tcW w:w="958" w:type="pct"/>
            <w:vAlign w:val="center"/>
          </w:tcPr>
          <w:p w14:paraId="25006BAF">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智慧断路器2P32A</w:t>
            </w:r>
          </w:p>
        </w:tc>
        <w:tc>
          <w:tcPr>
            <w:tcW w:w="2832" w:type="pct"/>
            <w:vAlign w:val="center"/>
          </w:tcPr>
          <w:p w14:paraId="31788F5E">
            <w:pPr>
              <w:widowControl w:val="0"/>
              <w:bidi w:val="0"/>
              <w:jc w:val="left"/>
              <w:rPr>
                <w:sz w:val="20"/>
                <w:szCs w:val="20"/>
                <w:vertAlign w:val="baseline"/>
              </w:rPr>
            </w:pPr>
            <w:r>
              <w:rPr>
                <w:rFonts w:hint="eastAsia" w:ascii="宋体" w:hAnsi="宋体" w:eastAsia="宋体" w:cs="宋体"/>
                <w:sz w:val="20"/>
                <w:szCs w:val="20"/>
                <w:lang w:val="en-US" w:eastAsia="zh-CN"/>
              </w:rPr>
              <w:t>基本参数要求：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1、额定电流：≥32A；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2、额定电压Ue：AC230V/AC400V；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3、极数：2P；</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4、额定短路能力Icn：≥10KA；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5、运行短路能力Ics：≥7.5KA；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6、瞬时脱扣类型：C型/D型。</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功能要求：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1、分合闸远程控制功能：设备可以通过本地手动推杆和电动控制通断，具备根据系统命令实现远程控制断路器通断的功能，并有明显信号指示和状态指示灯；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2、设备应具备实时监测每个回路电压、电流、温度、功率报警状态等参数到服务器，可以通过服务器查看实时参数值等用电参数；</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3、设备应具备锁定功能，本地/远程锁定后，在不解除锁定程序的情况下，无论通过远程指令控制，还是推动手柄，均无法对开关合闸；</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4、设备应具备定时控制功能，内置时钟芯片，脱网状态下可保证时间的精准性，可自由设定每个回路的开启和关闭时间，使各线路定时开关快捷、准确；</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电压保护范围以及测量精度：当加载电压高于过压报警值时或者低于欠压报警值时，设备可以推送报警信息，并执行断路保护动作，单相电压保护及报警范围：100V~300V，过压保护值可调，参数调节精度1V，测量精度±1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6、电流保护范围以及测量精度：当线路电流高于设定的过流报警值时，设备可以推送报警信息，并执行断路保护动作，过流保护值可调，参数调节精度 1A，测量精度1.0级；</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 xml:space="preserve">7、过载保护范围以及测量精度：当负载功率高于设定的过载报警值时，设备可以推送报警信息，并执行断路保护动作，过载保护值可调，参数调节精度1W，测量精度 1.0级；                        </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8、温度保护范围以及测量精度：当温度高于设定的过温报警值时，设备可以推送报警信息并执行断路保护动作，过温保护值可调，参数调节精度 1℃，测量精度±1℃；</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9、智能分合闸：产品应具备电压过零时智能判断分合闸时间，对于容性负载可延长断路器触点使用寿命；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10、设备应能支持过压保护、欠压保护、过温保护、超功率、超电费、超电量、过功率等保护阈值支持远程调节；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11、设备应具备用电回路功率因数采集功能；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12、设备应具备电压补偿、电流补偿、功率补偿等功能；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13、设备应具备本地指示灯显示功能，设备具备本地指示灯显示设备运行状态以及线路故障发生时的报警信息；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14、谐波采集分析：具备奇次谐波采集。基波频率的3、5、7~31次的谐波测试奇次谐波；各次谐波电压的相对误差≤5%，各次谐波电流的相对误差≤5%。</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15、使能开启及关闭：设备具备安全功能，除国标强制要求保护外，其余保护功能均可关闭，也可设置仅报警不保。</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16、检修模式功能：设备在手动分闸后，无需进行“加锁”设置，设备无法通过远程控制进行分闸操作。</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17、负载端端子温度采集精度及报警功能：断路器设备应支持同时监测零线及火线的负载端温度，采集精度误差不超过1%，端子温度超过过温报警值，5S内出发过温报警。</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18、远程升级：具有远程OTA功能，具有通过软件管理平台接口实现数据网关固件升级功能。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19、支持多路开关级联，可远程独立控制每路/多路开关分合闸，最大可达30路。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20、设备具备监测计量精度，测量的平均电压误差不超过0.5%，电流测量误差不超过0.5%，有功功率误差不超过0.5%，电能测量误差不超过0.5%。</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21、设备具备断电记忆功能，断电来电后，所有设置的参数及判定逻辑应保持不变，并根据来电后的具体情况，进入工作状态。</w:t>
            </w:r>
          </w:p>
        </w:tc>
        <w:tc>
          <w:tcPr>
            <w:tcW w:w="400" w:type="pct"/>
            <w:vAlign w:val="center"/>
          </w:tcPr>
          <w:p w14:paraId="3292E334">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个</w:t>
            </w:r>
          </w:p>
        </w:tc>
        <w:tc>
          <w:tcPr>
            <w:tcW w:w="412" w:type="pct"/>
            <w:vAlign w:val="center"/>
          </w:tcPr>
          <w:p w14:paraId="172718E2">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w:t>
            </w:r>
          </w:p>
        </w:tc>
      </w:tr>
      <w:tr w14:paraId="7D83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76CAEEA0">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46</w:t>
            </w:r>
          </w:p>
        </w:tc>
        <w:tc>
          <w:tcPr>
            <w:tcW w:w="958" w:type="pct"/>
            <w:vAlign w:val="center"/>
          </w:tcPr>
          <w:p w14:paraId="346A03DB">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智慧断路器2P63A</w:t>
            </w:r>
          </w:p>
        </w:tc>
        <w:tc>
          <w:tcPr>
            <w:tcW w:w="2832" w:type="pct"/>
            <w:vAlign w:val="center"/>
          </w:tcPr>
          <w:p w14:paraId="588022AB">
            <w:pPr>
              <w:widowControl w:val="0"/>
              <w:bidi w:val="0"/>
              <w:jc w:val="left"/>
              <w:rPr>
                <w:sz w:val="20"/>
                <w:szCs w:val="20"/>
                <w:vertAlign w:val="baseline"/>
              </w:rPr>
            </w:pPr>
            <w:r>
              <w:rPr>
                <w:rFonts w:hint="eastAsia" w:ascii="宋体" w:hAnsi="宋体" w:eastAsia="宋体" w:cs="宋体"/>
                <w:sz w:val="20"/>
                <w:szCs w:val="20"/>
                <w:lang w:val="en-US" w:eastAsia="zh-CN"/>
              </w:rPr>
              <w:t>基本参数要求：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1、额定电流：≥63A；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2、额定电压Ue：AC230V/AC400V；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3、极数：2P；</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4、额定短路能力Icn：≥10KA；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5、运行短路能力Ics：≥7.5KA；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6、瞬时脱扣类型：C型/D型。</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功能要求：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1、分合闸远程控制功能：设备可以通过本地手动推杆和电动控制通断，具备根据系统命令实现远程控制断路器通断的功能，并有明显信号指示和状态指示灯；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2、设备应具备实时监测每个回路电压、电流、温度、功率报警状态等参数到服务器，可以通过服务器查看实时参数值等用电参数；</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3、设备应具备锁定功能，本地/远程锁定后，在不解除锁定程序的情况下，无论通过远程指令控制，还是推动手柄，均无法对开关合闸；</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4、设备应具备定时控制功能，内置时钟芯片，脱网状态下可保证时间的精准性，可自由设定每个回路的开启和关闭时间，使各线路定时开关快捷、准确；</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5、电压保护范围以及测量精度：当加载电压高于过压报警值时或者低于欠压报警值时，设备可以推送报警信息，并执行断路保护动作，单相电压保护及报警范围：100V~300V，过压保护值可调，参数调节精度1V，测量精度±1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6、电流保护范围以及测量精度：当线路电流高于设定的过流报警值时，设备可以推送报警信息，并执行断路保护动作，过流保护值可调，参数调节精度 1A，测量精度1.0级；</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 xml:space="preserve">7、过载保护范围以及测量精度：当负载功率高于设定的过载报警值时，设备可以推送报警信息，并执行断路保护动作，过载保护值可调，参数调节精度1W，测量精度 1.0级；                        </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8、温度保护范围以及测量精度：当温度高于设定的过温报警值时，设备可以推送报警信息并执行断路保护动作，过温保护值可调，参数调节精度 1℃，测量精度±1℃；</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9、智能分合闸：产品应具备电压过零时智能判断分合闸时间，对于容性负载可延长断路器触点使用寿命；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10、设备应能支持过压保护、欠压保护、过温保护、超功率、超电费、超电量、过功率等保护阈值支持远程调节；</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11、设备应具备用电回路功率因数采集功能；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12、设备应具备电压补偿、电流补偿、功率补偿等功能；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13、设备应具备本地指示灯显示功能，设备具备本地指示灯显示设备运行状态以及线路故障发生时的报警信息；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14、谐波采集分析：具备奇次谐波采集。基波频率的3、5、7~31次的谐波测试奇次谐波；各次谐波电压的相对误差≤5%，各次谐波电流的相对误差≤5%。</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15、使能开启及关闭：设备具备安全功能，除国标强制要求保护外，其余保护功能均可关闭，也可设置仅报警不保。</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16、检修模式功能：设备在手动分闸后，无需进行“加锁”设置，设备无法通过远程控制进行分闸操作。</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17、负载端端子温度采集精度及报警功能：断路器设备应支持同时监测零线及火线的负载端温度，采集精度误差不超过1%，端子温度超过过温报警值，5S内出发过温报警。</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18、远程升级：具有远程OTA功能，具有通过软件管理平台接口实现数据网关固件升级功能。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19、支持多路开关级联，可远程独立控制每路/多路开关分合闸，最大可达30路。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20、设备具备监测计量精度，测量的平均电压误差不超过0.5%，电流测量误差不超过0.5%，有功功率误差不超过0.5%，电能测量误差不超过0.5%。</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21、设备具备断电记忆功能，断电来电后，所有设置的参数及判定逻辑应保持不变，并根据来电后的具体情况，进入工作状态。</w:t>
            </w:r>
          </w:p>
        </w:tc>
        <w:tc>
          <w:tcPr>
            <w:tcW w:w="400" w:type="pct"/>
            <w:vAlign w:val="center"/>
          </w:tcPr>
          <w:p w14:paraId="37C7BA41">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个</w:t>
            </w:r>
          </w:p>
        </w:tc>
        <w:tc>
          <w:tcPr>
            <w:tcW w:w="412" w:type="pct"/>
            <w:vAlign w:val="center"/>
          </w:tcPr>
          <w:p w14:paraId="0F7F33CB">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w:t>
            </w:r>
          </w:p>
        </w:tc>
      </w:tr>
      <w:tr w14:paraId="42D27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3E7823B">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47</w:t>
            </w:r>
          </w:p>
        </w:tc>
        <w:tc>
          <w:tcPr>
            <w:tcW w:w="958" w:type="pct"/>
            <w:vAlign w:val="center"/>
          </w:tcPr>
          <w:p w14:paraId="51BCC1C1">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UPS</w:t>
            </w:r>
          </w:p>
        </w:tc>
        <w:tc>
          <w:tcPr>
            <w:tcW w:w="2832" w:type="pct"/>
            <w:vAlign w:val="center"/>
          </w:tcPr>
          <w:p w14:paraId="6C359F13">
            <w:pPr>
              <w:widowControl w:val="0"/>
              <w:numPr>
                <w:ilvl w:val="0"/>
                <w:numId w:val="0"/>
              </w:numPr>
              <w:bidi w:val="0"/>
              <w:jc w:val="left"/>
              <w:rPr>
                <w:rFonts w:hint="eastAsia" w:ascii="宋体" w:hAnsi="宋体" w:eastAsia="宋体" w:cs="宋体"/>
                <w:sz w:val="20"/>
                <w:szCs w:val="20"/>
                <w:lang w:val="en-US" w:eastAsia="zh-CN"/>
              </w:rPr>
            </w:pPr>
            <w:r>
              <w:rPr>
                <w:rFonts w:hint="eastAsia" w:ascii="宋体" w:hAnsi="宋体" w:eastAsia="宋体" w:cs="宋体"/>
                <w:snapToGrid w:val="0"/>
                <w:color w:val="000000"/>
                <w:kern w:val="0"/>
                <w:sz w:val="20"/>
                <w:szCs w:val="20"/>
                <w:lang w:val="en-US" w:eastAsia="zh-CN" w:bidi="ar-SA"/>
              </w:rPr>
              <w:t>1、</w:t>
            </w:r>
            <w:r>
              <w:rPr>
                <w:rFonts w:hint="eastAsia" w:ascii="宋体" w:hAnsi="宋体" w:eastAsia="宋体" w:cs="宋体"/>
                <w:sz w:val="20"/>
                <w:szCs w:val="20"/>
                <w:lang w:val="en-US" w:eastAsia="zh-CN"/>
              </w:rPr>
              <w:t>UPS输出电压稳压精度：≤0.33%，</w:t>
            </w:r>
          </w:p>
          <w:p w14:paraId="01C2B5DB">
            <w:pPr>
              <w:widowControl w:val="0"/>
              <w:numPr>
                <w:ilvl w:val="0"/>
                <w:numId w:val="0"/>
              </w:numPr>
              <w:bidi w:val="0"/>
              <w:jc w:val="left"/>
              <w:rPr>
                <w:rFonts w:hint="eastAsia" w:ascii="宋体" w:hAnsi="宋体" w:eastAsia="宋体" w:cs="宋体"/>
                <w:sz w:val="20"/>
                <w:szCs w:val="20"/>
                <w:lang w:val="en-US" w:eastAsia="zh-CN"/>
              </w:rPr>
            </w:pPr>
            <w:r>
              <w:rPr>
                <w:rFonts w:hint="eastAsia" w:ascii="宋体" w:hAnsi="宋体" w:eastAsia="宋体" w:cs="宋体"/>
                <w:snapToGrid w:val="0"/>
                <w:color w:val="000000"/>
                <w:kern w:val="0"/>
                <w:sz w:val="20"/>
                <w:szCs w:val="20"/>
                <w:lang w:val="en-US" w:eastAsia="zh-CN" w:bidi="ar-SA"/>
              </w:rPr>
              <w:t>2、</w:t>
            </w:r>
            <w:r>
              <w:rPr>
                <w:rFonts w:hint="eastAsia" w:ascii="宋体" w:hAnsi="宋体" w:eastAsia="宋体" w:cs="宋体"/>
                <w:sz w:val="20"/>
                <w:szCs w:val="20"/>
                <w:lang w:val="en-US" w:eastAsia="zh-CN"/>
              </w:rPr>
              <w:t>UPS输出功率因数：1，</w:t>
            </w:r>
          </w:p>
          <w:p w14:paraId="3D1EE35C">
            <w:pPr>
              <w:widowControl w:val="0"/>
              <w:numPr>
                <w:ilvl w:val="0"/>
                <w:numId w:val="0"/>
              </w:numPr>
              <w:bidi w:val="0"/>
              <w:jc w:val="left"/>
              <w:rPr>
                <w:rFonts w:hint="eastAsia" w:ascii="宋体" w:hAnsi="宋体" w:eastAsia="宋体" w:cs="宋体"/>
                <w:sz w:val="20"/>
                <w:szCs w:val="20"/>
                <w:lang w:val="en-US" w:eastAsia="zh-CN"/>
              </w:rPr>
            </w:pPr>
            <w:r>
              <w:rPr>
                <w:rFonts w:hint="eastAsia" w:ascii="宋体" w:hAnsi="宋体" w:eastAsia="宋体" w:cs="宋体"/>
                <w:snapToGrid w:val="0"/>
                <w:color w:val="000000"/>
                <w:kern w:val="0"/>
                <w:sz w:val="20"/>
                <w:szCs w:val="20"/>
                <w:lang w:val="en-US" w:eastAsia="zh-CN" w:bidi="ar-SA"/>
              </w:rPr>
              <w:t>3、</w:t>
            </w:r>
            <w:r>
              <w:rPr>
                <w:rFonts w:hint="eastAsia" w:ascii="宋体" w:hAnsi="宋体" w:eastAsia="宋体" w:cs="宋体"/>
                <w:sz w:val="20"/>
                <w:szCs w:val="20"/>
                <w:lang w:val="en-US" w:eastAsia="zh-CN"/>
              </w:rPr>
              <w:t>UPS容量≥15KVA,</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4、UPS输出波形失真度：单进单出：≤0.7%(线性负载）；≤1.5%（非线性负载）；三进单出：≤0.6%(线性负载）；≤0.8%（非线性负载），</w:t>
            </w:r>
          </w:p>
          <w:p w14:paraId="38877300">
            <w:pPr>
              <w:widowControl w:val="0"/>
              <w:numPr>
                <w:ilvl w:val="0"/>
                <w:numId w:val="0"/>
              </w:numPr>
              <w:bidi w:val="0"/>
              <w:jc w:val="left"/>
              <w:rPr>
                <w:rFonts w:hint="eastAsia" w:ascii="宋体" w:hAnsi="宋体" w:eastAsia="宋体" w:cs="宋体"/>
                <w:sz w:val="20"/>
                <w:szCs w:val="20"/>
                <w:lang w:val="en-US" w:eastAsia="zh-CN"/>
              </w:rPr>
            </w:pPr>
            <w:r>
              <w:rPr>
                <w:rFonts w:hint="eastAsia" w:ascii="宋体" w:hAnsi="宋体" w:eastAsia="宋体" w:cs="宋体"/>
                <w:snapToGrid w:val="0"/>
                <w:color w:val="000000"/>
                <w:kern w:val="0"/>
                <w:sz w:val="20"/>
                <w:szCs w:val="20"/>
                <w:lang w:val="en-US" w:eastAsia="zh-CN" w:bidi="ar-SA"/>
              </w:rPr>
              <w:t>4、</w:t>
            </w:r>
            <w:r>
              <w:rPr>
                <w:rFonts w:hint="eastAsia" w:ascii="宋体" w:hAnsi="宋体" w:eastAsia="宋体" w:cs="宋体"/>
                <w:sz w:val="20"/>
                <w:szCs w:val="20"/>
                <w:lang w:val="en-US" w:eastAsia="zh-CN"/>
              </w:rPr>
              <w:t>5、UPS逆变过载能力：125%负载，过载时间≥15分钟后转旁路，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6、UPS旁路过载能力：150% 额定负载‌：可维持 1分钟</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7、UPS系统效率：≥95.2%@100%负载，</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8、UPS切换时间：0ms</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9、UPS防护等级：IP20</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10、UPS绝缘强度：UPS的输入端、输出端对地施加2820V的直流电压1min，应无击穿、无飞弧，漏电流应小于：0.11mA（单单）/0.04mA（三单），</w:t>
            </w:r>
          </w:p>
          <w:p w14:paraId="0785D54E">
            <w:pPr>
              <w:widowControl w:val="0"/>
              <w:numPr>
                <w:ilvl w:val="0"/>
                <w:numId w:val="0"/>
              </w:numPr>
              <w:bidi w:val="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11、UPS外壳防护要求：UPS保护接地装置与金属外壳的接地螺钉应具有可靠的电气连接，其连接电阻应不大于：0.02Ω（单单）/0.01Ω（三单），</w:t>
            </w:r>
          </w:p>
          <w:p w14:paraId="123D94BB">
            <w:pPr>
              <w:widowControl w:val="0"/>
              <w:numPr>
                <w:ilvl w:val="0"/>
                <w:numId w:val="0"/>
              </w:numPr>
              <w:bidi w:val="0"/>
              <w:ind w:left="0" w:leftChars="0" w:firstLine="0" w:firstLineChars="0"/>
              <w:jc w:val="left"/>
              <w:rPr>
                <w:sz w:val="20"/>
                <w:szCs w:val="20"/>
                <w:vertAlign w:val="baseline"/>
              </w:rPr>
            </w:pPr>
            <w:r>
              <w:rPr>
                <w:rFonts w:hint="eastAsia" w:ascii="宋体" w:hAnsi="宋体" w:eastAsia="宋体" w:cs="宋体"/>
                <w:sz w:val="20"/>
                <w:szCs w:val="20"/>
                <w:lang w:val="en-US" w:eastAsia="zh-CN"/>
              </w:rPr>
              <w:t>12、UPS主机应采用三电平逆变器电路拓扑结构，使逆变器输出能够实现三个电平状态，有效降低输出电压谐波含量和开关器件的电压应力，保证可靠性的同时提高系统效率。</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13、UPS主机具有独立旁路功能，确保主路系统出现异常或故障时，旁路系统仍能正常输出，确保负载不间断供电</w:t>
            </w:r>
          </w:p>
        </w:tc>
        <w:tc>
          <w:tcPr>
            <w:tcW w:w="400" w:type="pct"/>
            <w:vAlign w:val="center"/>
          </w:tcPr>
          <w:p w14:paraId="2318830E">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套</w:t>
            </w:r>
          </w:p>
        </w:tc>
        <w:tc>
          <w:tcPr>
            <w:tcW w:w="412" w:type="pct"/>
            <w:vAlign w:val="center"/>
          </w:tcPr>
          <w:p w14:paraId="315DABED">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7697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086FEEB2">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48</w:t>
            </w:r>
          </w:p>
        </w:tc>
        <w:tc>
          <w:tcPr>
            <w:tcW w:w="958" w:type="pct"/>
            <w:vAlign w:val="center"/>
          </w:tcPr>
          <w:p w14:paraId="21F9701F">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蓄电池</w:t>
            </w:r>
          </w:p>
        </w:tc>
        <w:tc>
          <w:tcPr>
            <w:tcW w:w="2832" w:type="pct"/>
            <w:vAlign w:val="center"/>
          </w:tcPr>
          <w:p w14:paraId="52A31CA8">
            <w:pPr>
              <w:widowControl w:val="0"/>
              <w:bidi w:val="0"/>
              <w:jc w:val="left"/>
              <w:rPr>
                <w:sz w:val="20"/>
                <w:szCs w:val="20"/>
                <w:vertAlign w:val="baseline"/>
              </w:rPr>
            </w:pPr>
            <w:r>
              <w:rPr>
                <w:rFonts w:hint="eastAsia" w:ascii="宋体" w:hAnsi="宋体" w:eastAsia="宋体" w:cs="宋体"/>
                <w:sz w:val="20"/>
                <w:szCs w:val="20"/>
                <w:lang w:val="en-US" w:eastAsia="zh-CN"/>
              </w:rPr>
              <w:t>单电池电压≥12V</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蓄电池正常浮充电电流（mA）≤1mA/Ah</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循环寿命：优质产品可达≥500次循环（放电80%条件下）</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温度适应性：-20℃~50℃工作范围，低温容量会降低</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自放电率：每月约≤5%，</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含配套电池柜</w:t>
            </w:r>
          </w:p>
        </w:tc>
        <w:tc>
          <w:tcPr>
            <w:tcW w:w="400" w:type="pct"/>
            <w:vAlign w:val="center"/>
          </w:tcPr>
          <w:p w14:paraId="7B089AF0">
            <w:pPr>
              <w:keepNext w:val="0"/>
              <w:keepLines w:val="0"/>
              <w:widowControl/>
              <w:suppressLineNumbers w:val="0"/>
              <w:jc w:val="center"/>
              <w:textAlignment w:val="center"/>
              <w:rPr>
                <w:vertAlign w:val="baseline"/>
              </w:rPr>
            </w:pPr>
            <w:r>
              <w:rPr>
                <w:rFonts w:hint="eastAsia" w:ascii="宋体" w:hAnsi="宋体" w:cs="宋体"/>
                <w:color w:val="000000"/>
                <w:kern w:val="0"/>
                <w:sz w:val="22"/>
                <w:szCs w:val="22"/>
                <w:highlight w:val="none"/>
                <w:lang w:val="en-US" w:eastAsia="zh-CN" w:bidi="ar"/>
              </w:rPr>
              <w:t>只</w:t>
            </w:r>
          </w:p>
        </w:tc>
        <w:tc>
          <w:tcPr>
            <w:tcW w:w="412" w:type="pct"/>
            <w:vAlign w:val="center"/>
          </w:tcPr>
          <w:p w14:paraId="5C120647">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16</w:t>
            </w:r>
          </w:p>
        </w:tc>
      </w:tr>
      <w:tr w14:paraId="31B2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5B9B779A">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49</w:t>
            </w:r>
          </w:p>
        </w:tc>
        <w:tc>
          <w:tcPr>
            <w:tcW w:w="958" w:type="pct"/>
            <w:vAlign w:val="center"/>
          </w:tcPr>
          <w:p w14:paraId="0417533D">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机柜</w:t>
            </w:r>
          </w:p>
        </w:tc>
        <w:tc>
          <w:tcPr>
            <w:tcW w:w="2832" w:type="pct"/>
            <w:vAlign w:val="top"/>
          </w:tcPr>
          <w:p w14:paraId="10CE46DA">
            <w:pPr>
              <w:widowControl w:val="0"/>
              <w:bidi w:val="0"/>
              <w:jc w:val="left"/>
              <w:rPr>
                <w:rFonts w:hint="eastAsia" w:ascii="宋体" w:hAnsi="宋体" w:eastAsia="宋体" w:cs="宋体"/>
                <w:sz w:val="20"/>
                <w:szCs w:val="20"/>
              </w:rPr>
            </w:pPr>
            <w:r>
              <w:rPr>
                <w:rFonts w:hint="eastAsia" w:ascii="宋体" w:hAnsi="宋体" w:eastAsia="宋体" w:cs="宋体"/>
                <w:sz w:val="20"/>
                <w:szCs w:val="20"/>
              </w:rPr>
              <w:t xml:space="preserve">1、机柜容量≥42U； </w:t>
            </w:r>
          </w:p>
          <w:p w14:paraId="799CCB83">
            <w:pPr>
              <w:widowControl w:val="0"/>
              <w:bidi w:val="0"/>
              <w:jc w:val="left"/>
              <w:rPr>
                <w:rFonts w:hint="eastAsia" w:ascii="宋体" w:hAnsi="宋体" w:eastAsia="宋体" w:cs="宋体"/>
                <w:sz w:val="20"/>
                <w:szCs w:val="20"/>
              </w:rPr>
            </w:pPr>
            <w:r>
              <w:rPr>
                <w:rFonts w:hint="eastAsia" w:ascii="宋体" w:hAnsi="宋体" w:eastAsia="宋体" w:cs="宋体"/>
                <w:sz w:val="20"/>
                <w:szCs w:val="20"/>
              </w:rPr>
              <w:t xml:space="preserve">2、全透明钢化玻璃前门，玻璃丝印网纹，门边带六角透气孔，高密度平板通风孔后门； </w:t>
            </w:r>
          </w:p>
          <w:p w14:paraId="62516A38">
            <w:pPr>
              <w:widowControl w:val="0"/>
              <w:bidi w:val="0"/>
              <w:jc w:val="left"/>
              <w:rPr>
                <w:rFonts w:hint="eastAsia" w:ascii="宋体" w:hAnsi="宋体" w:eastAsia="宋体" w:cs="宋体"/>
                <w:sz w:val="20"/>
                <w:szCs w:val="20"/>
              </w:rPr>
            </w:pPr>
            <w:r>
              <w:rPr>
                <w:rFonts w:hint="eastAsia" w:ascii="宋体" w:hAnsi="宋体" w:eastAsia="宋体" w:cs="宋体"/>
                <w:sz w:val="20"/>
                <w:szCs w:val="20"/>
              </w:rPr>
              <w:t xml:space="preserve">3、前后焊接框架拼装结构，静态承重≥800KG，动态承重≥600KG； </w:t>
            </w:r>
          </w:p>
          <w:p w14:paraId="0B512857">
            <w:pPr>
              <w:widowControl w:val="0"/>
              <w:bidi w:val="0"/>
              <w:jc w:val="left"/>
              <w:rPr>
                <w:rFonts w:hint="eastAsia" w:ascii="宋体" w:hAnsi="宋体" w:eastAsia="宋体" w:cs="宋体"/>
                <w:sz w:val="20"/>
                <w:szCs w:val="20"/>
              </w:rPr>
            </w:pPr>
            <w:r>
              <w:rPr>
                <w:rFonts w:hint="eastAsia" w:ascii="宋体" w:hAnsi="宋体" w:eastAsia="宋体" w:cs="宋体"/>
                <w:sz w:val="20"/>
                <w:szCs w:val="20"/>
              </w:rPr>
              <w:t xml:space="preserve">4、采用优质冷轧钢板，19 英寸角规厚度 2.0mm，安装梁厚度 1.5mm，角规深度方向可前后调整； </w:t>
            </w:r>
          </w:p>
          <w:p w14:paraId="344293E0">
            <w:pPr>
              <w:widowControl w:val="0"/>
              <w:bidi w:val="0"/>
              <w:jc w:val="left"/>
              <w:rPr>
                <w:rFonts w:hint="eastAsia" w:ascii="宋体" w:hAnsi="宋体" w:eastAsia="宋体" w:cs="宋体"/>
                <w:sz w:val="20"/>
                <w:szCs w:val="20"/>
              </w:rPr>
            </w:pPr>
            <w:r>
              <w:rPr>
                <w:rFonts w:hint="eastAsia" w:ascii="宋体" w:hAnsi="宋体" w:eastAsia="宋体" w:cs="宋体"/>
                <w:sz w:val="20"/>
                <w:szCs w:val="20"/>
              </w:rPr>
              <w:t xml:space="preserve">5、顶部、底部多方位敲落孔进线设计； </w:t>
            </w:r>
          </w:p>
          <w:p w14:paraId="0DC44081">
            <w:pPr>
              <w:widowControl w:val="0"/>
              <w:bidi w:val="0"/>
              <w:jc w:val="left"/>
              <w:rPr>
                <w:rFonts w:hint="eastAsia" w:ascii="宋体" w:hAnsi="宋体" w:eastAsia="宋体" w:cs="宋体"/>
                <w:sz w:val="20"/>
                <w:szCs w:val="20"/>
              </w:rPr>
            </w:pPr>
            <w:r>
              <w:rPr>
                <w:rFonts w:hint="eastAsia" w:ascii="宋体" w:hAnsi="宋体" w:eastAsia="宋体" w:cs="宋体"/>
                <w:sz w:val="20"/>
                <w:szCs w:val="20"/>
              </w:rPr>
              <w:t xml:space="preserve">6、快开侧板，风扇单元顶部安装，支持侧板并柜连接； </w:t>
            </w:r>
          </w:p>
          <w:p w14:paraId="2576E842">
            <w:pPr>
              <w:widowControl w:val="0"/>
              <w:bidi w:val="0"/>
              <w:jc w:val="left"/>
              <w:rPr>
                <w:rFonts w:hint="eastAsia" w:ascii="宋体" w:hAnsi="宋体" w:eastAsia="宋体" w:cs="宋体"/>
                <w:sz w:val="20"/>
                <w:szCs w:val="20"/>
              </w:rPr>
            </w:pPr>
            <w:r>
              <w:rPr>
                <w:rFonts w:hint="eastAsia" w:ascii="宋体" w:hAnsi="宋体" w:eastAsia="宋体" w:cs="宋体"/>
                <w:sz w:val="20"/>
                <w:szCs w:val="20"/>
              </w:rPr>
              <w:t xml:space="preserve">7、前门弹力锁，后门小圆锁；前、后门最大开启角度＞180 度； </w:t>
            </w:r>
          </w:p>
          <w:p w14:paraId="533E28EA">
            <w:pPr>
              <w:widowControl w:val="0"/>
              <w:bidi w:val="0"/>
              <w:jc w:val="left"/>
              <w:rPr>
                <w:rFonts w:hint="eastAsia" w:ascii="宋体" w:hAnsi="宋体" w:eastAsia="宋体" w:cs="宋体"/>
                <w:sz w:val="20"/>
                <w:szCs w:val="20"/>
              </w:rPr>
            </w:pPr>
            <w:r>
              <w:rPr>
                <w:rFonts w:hint="eastAsia" w:ascii="宋体" w:hAnsi="宋体" w:cs="宋体"/>
                <w:sz w:val="20"/>
                <w:szCs w:val="20"/>
                <w:lang w:val="en-US" w:eastAsia="zh-CN"/>
              </w:rPr>
              <w:t>8</w:t>
            </w:r>
            <w:r>
              <w:rPr>
                <w:rFonts w:hint="eastAsia" w:ascii="宋体" w:hAnsi="宋体" w:eastAsia="宋体" w:cs="宋体"/>
                <w:sz w:val="20"/>
                <w:szCs w:val="20"/>
              </w:rPr>
              <w:t xml:space="preserve">、防护等级：IP20； </w:t>
            </w:r>
          </w:p>
          <w:p w14:paraId="74385866">
            <w:pPr>
              <w:widowControl w:val="0"/>
              <w:bidi w:val="0"/>
              <w:jc w:val="left"/>
              <w:rPr>
                <w:sz w:val="20"/>
                <w:szCs w:val="20"/>
                <w:vertAlign w:val="baseline"/>
              </w:rPr>
            </w:pPr>
            <w:r>
              <w:rPr>
                <w:rFonts w:hint="eastAsia" w:ascii="宋体" w:hAnsi="宋体" w:cs="宋体"/>
                <w:sz w:val="20"/>
                <w:szCs w:val="20"/>
                <w:lang w:val="en-US" w:eastAsia="zh-CN"/>
              </w:rPr>
              <w:t>9</w:t>
            </w:r>
            <w:r>
              <w:rPr>
                <w:rFonts w:hint="eastAsia" w:ascii="宋体" w:hAnsi="宋体" w:eastAsia="宋体" w:cs="宋体"/>
                <w:sz w:val="20"/>
                <w:szCs w:val="20"/>
              </w:rPr>
              <w:t>、配置1套竖装8位10A国标PDU插座。</w:t>
            </w:r>
          </w:p>
        </w:tc>
        <w:tc>
          <w:tcPr>
            <w:tcW w:w="400" w:type="pct"/>
            <w:vAlign w:val="center"/>
          </w:tcPr>
          <w:p w14:paraId="48AA7C61">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套</w:t>
            </w:r>
          </w:p>
        </w:tc>
        <w:tc>
          <w:tcPr>
            <w:tcW w:w="412" w:type="pct"/>
            <w:vAlign w:val="center"/>
          </w:tcPr>
          <w:p w14:paraId="005321C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w:t>
            </w:r>
          </w:p>
        </w:tc>
      </w:tr>
      <w:tr w14:paraId="5FDB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51D27827">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50</w:t>
            </w:r>
          </w:p>
        </w:tc>
        <w:tc>
          <w:tcPr>
            <w:tcW w:w="958" w:type="pct"/>
            <w:vAlign w:val="center"/>
          </w:tcPr>
          <w:p w14:paraId="50CD2FBF">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壁挂机柜</w:t>
            </w:r>
          </w:p>
        </w:tc>
        <w:tc>
          <w:tcPr>
            <w:tcW w:w="2832" w:type="pct"/>
            <w:vAlign w:val="top"/>
          </w:tcPr>
          <w:p w14:paraId="0DEDA919">
            <w:pPr>
              <w:widowControl w:val="0"/>
              <w:bidi w:val="0"/>
              <w:jc w:val="left"/>
              <w:rPr>
                <w:rFonts w:hint="eastAsia" w:ascii="宋体" w:hAnsi="宋体" w:eastAsia="宋体" w:cs="宋体"/>
                <w:sz w:val="20"/>
                <w:szCs w:val="20"/>
              </w:rPr>
            </w:pPr>
            <w:r>
              <w:rPr>
                <w:rFonts w:hint="eastAsia" w:ascii="宋体" w:hAnsi="宋体" w:eastAsia="宋体" w:cs="宋体"/>
                <w:sz w:val="20"/>
                <w:szCs w:val="20"/>
              </w:rPr>
              <w:t>1、产品尺寸：≥540</w:t>
            </w:r>
            <w:r>
              <w:rPr>
                <w:rFonts w:hint="eastAsia" w:ascii="宋体" w:hAnsi="宋体" w:cs="宋体"/>
                <w:sz w:val="20"/>
                <w:szCs w:val="20"/>
                <w:lang w:val="en-US" w:eastAsia="zh-CN"/>
              </w:rPr>
              <w:t>*</w:t>
            </w:r>
            <w:r>
              <w:rPr>
                <w:rFonts w:hint="eastAsia" w:ascii="宋体" w:hAnsi="宋体" w:eastAsia="宋体" w:cs="宋体"/>
                <w:sz w:val="20"/>
                <w:szCs w:val="20"/>
              </w:rPr>
              <w:t>450</w:t>
            </w:r>
            <w:r>
              <w:rPr>
                <w:rFonts w:hint="eastAsia" w:ascii="宋体" w:hAnsi="宋体" w:cs="宋体"/>
                <w:sz w:val="20"/>
                <w:szCs w:val="20"/>
                <w:lang w:val="en-US" w:eastAsia="zh-CN"/>
              </w:rPr>
              <w:t>*</w:t>
            </w:r>
            <w:r>
              <w:rPr>
                <w:rFonts w:hint="eastAsia" w:ascii="宋体" w:hAnsi="宋体" w:eastAsia="宋体" w:cs="宋体"/>
                <w:sz w:val="20"/>
                <w:szCs w:val="20"/>
              </w:rPr>
              <w:t>310mm (宽深高)；</w:t>
            </w:r>
          </w:p>
          <w:p w14:paraId="4B497306">
            <w:pPr>
              <w:widowControl w:val="0"/>
              <w:bidi w:val="0"/>
              <w:jc w:val="left"/>
              <w:rPr>
                <w:rFonts w:hint="eastAsia" w:ascii="宋体" w:hAnsi="宋体" w:eastAsia="宋体" w:cs="宋体"/>
                <w:sz w:val="20"/>
                <w:szCs w:val="20"/>
              </w:rPr>
            </w:pPr>
            <w:r>
              <w:rPr>
                <w:rFonts w:hint="eastAsia" w:ascii="宋体" w:hAnsi="宋体" w:cs="宋体"/>
                <w:sz w:val="20"/>
                <w:szCs w:val="20"/>
                <w:lang w:val="en-US" w:eastAsia="zh-CN"/>
              </w:rPr>
              <w:t>2、</w:t>
            </w:r>
            <w:r>
              <w:rPr>
                <w:rFonts w:hint="eastAsia" w:ascii="宋体" w:hAnsi="宋体" w:eastAsia="宋体" w:cs="宋体"/>
                <w:sz w:val="20"/>
                <w:szCs w:val="20"/>
              </w:rPr>
              <w:t xml:space="preserve">机柜容量≥6U； </w:t>
            </w:r>
          </w:p>
          <w:p w14:paraId="0E90B328">
            <w:pPr>
              <w:widowControl w:val="0"/>
              <w:bidi w:val="0"/>
              <w:jc w:val="left"/>
              <w:rPr>
                <w:rFonts w:hint="eastAsia" w:ascii="宋体" w:hAnsi="宋体" w:eastAsia="宋体" w:cs="宋体"/>
                <w:sz w:val="20"/>
                <w:szCs w:val="20"/>
              </w:rPr>
            </w:pPr>
            <w:r>
              <w:rPr>
                <w:rFonts w:hint="eastAsia" w:ascii="宋体" w:hAnsi="宋体" w:cs="宋体"/>
                <w:sz w:val="20"/>
                <w:szCs w:val="20"/>
                <w:lang w:val="en-US" w:eastAsia="zh-CN"/>
              </w:rPr>
              <w:t>3</w:t>
            </w:r>
            <w:r>
              <w:rPr>
                <w:rFonts w:hint="eastAsia" w:ascii="宋体" w:hAnsi="宋体" w:eastAsia="宋体" w:cs="宋体"/>
                <w:sz w:val="20"/>
                <w:szCs w:val="20"/>
              </w:rPr>
              <w:t xml:space="preserve">、材料采用优质 SPCC 冷轧钢板；角规厚度≥1.2mm（12U 及以下）； </w:t>
            </w:r>
          </w:p>
          <w:p w14:paraId="3F585C0A">
            <w:pPr>
              <w:widowControl w:val="0"/>
              <w:bidi w:val="0"/>
              <w:jc w:val="left"/>
              <w:rPr>
                <w:rFonts w:hint="eastAsia" w:ascii="宋体" w:hAnsi="宋体" w:eastAsia="宋体" w:cs="宋体"/>
                <w:sz w:val="20"/>
                <w:szCs w:val="20"/>
              </w:rPr>
            </w:pPr>
            <w:r>
              <w:rPr>
                <w:rFonts w:hint="eastAsia" w:ascii="宋体" w:hAnsi="宋体" w:cs="宋体"/>
                <w:sz w:val="20"/>
                <w:szCs w:val="20"/>
                <w:lang w:val="en-US" w:eastAsia="zh-CN"/>
              </w:rPr>
              <w:t>4</w:t>
            </w:r>
            <w:r>
              <w:rPr>
                <w:rFonts w:hint="eastAsia" w:ascii="宋体" w:hAnsi="宋体" w:eastAsia="宋体" w:cs="宋体"/>
                <w:sz w:val="20"/>
                <w:szCs w:val="20"/>
              </w:rPr>
              <w:t xml:space="preserve">、机柜框架整体焊接式结构；壁挂机柜静态承重≥50KG； </w:t>
            </w:r>
            <w:r>
              <w:rPr>
                <w:rFonts w:hint="eastAsia" w:ascii="宋体" w:hAnsi="宋体" w:cs="宋体"/>
                <w:sz w:val="20"/>
                <w:szCs w:val="20"/>
                <w:lang w:val="en-US" w:eastAsia="zh-CN"/>
              </w:rPr>
              <w:t>6</w:t>
            </w:r>
            <w:r>
              <w:rPr>
                <w:rFonts w:hint="eastAsia" w:ascii="宋体" w:hAnsi="宋体" w:eastAsia="宋体" w:cs="宋体"/>
                <w:sz w:val="20"/>
                <w:szCs w:val="20"/>
              </w:rPr>
              <w:t xml:space="preserve">、前门无门框茶色钢化玻璃门，前门开启方向可左右调换； </w:t>
            </w:r>
          </w:p>
          <w:p w14:paraId="5B9B0D23">
            <w:pPr>
              <w:widowControl w:val="0"/>
              <w:bidi w:val="0"/>
              <w:jc w:val="left"/>
              <w:rPr>
                <w:rFonts w:hint="eastAsia" w:ascii="宋体" w:hAnsi="宋体" w:eastAsia="宋体" w:cs="宋体"/>
                <w:sz w:val="20"/>
                <w:szCs w:val="20"/>
              </w:rPr>
            </w:pPr>
            <w:r>
              <w:rPr>
                <w:rFonts w:hint="eastAsia" w:ascii="宋体" w:hAnsi="宋体" w:cs="宋体"/>
                <w:sz w:val="20"/>
                <w:szCs w:val="20"/>
                <w:lang w:val="en-US" w:eastAsia="zh-CN"/>
              </w:rPr>
              <w:t>6</w:t>
            </w:r>
            <w:r>
              <w:rPr>
                <w:rFonts w:hint="eastAsia" w:ascii="宋体" w:hAnsi="宋体" w:eastAsia="宋体" w:cs="宋体"/>
                <w:sz w:val="20"/>
                <w:szCs w:val="20"/>
              </w:rPr>
              <w:t xml:space="preserve">、柜体上下设置敲落式走线孔； </w:t>
            </w:r>
          </w:p>
          <w:p w14:paraId="74282012">
            <w:pPr>
              <w:widowControl w:val="0"/>
              <w:bidi w:val="0"/>
              <w:jc w:val="left"/>
              <w:rPr>
                <w:rFonts w:hint="eastAsia" w:ascii="宋体" w:hAnsi="宋体" w:eastAsia="宋体" w:cs="宋体"/>
                <w:sz w:val="20"/>
                <w:szCs w:val="20"/>
              </w:rPr>
            </w:pPr>
            <w:r>
              <w:rPr>
                <w:rFonts w:hint="eastAsia" w:ascii="宋体" w:hAnsi="宋体" w:cs="宋体"/>
                <w:sz w:val="20"/>
                <w:szCs w:val="20"/>
                <w:lang w:val="en-US" w:eastAsia="zh-CN"/>
              </w:rPr>
              <w:t>7</w:t>
            </w:r>
            <w:r>
              <w:rPr>
                <w:rFonts w:hint="eastAsia" w:ascii="宋体" w:hAnsi="宋体" w:eastAsia="宋体" w:cs="宋体"/>
                <w:sz w:val="20"/>
                <w:szCs w:val="20"/>
              </w:rPr>
              <w:t xml:space="preserve">、柜体角规前后安装深度可调整； </w:t>
            </w:r>
          </w:p>
          <w:p w14:paraId="215C301A">
            <w:pPr>
              <w:widowControl w:val="0"/>
              <w:bidi w:val="0"/>
              <w:jc w:val="left"/>
              <w:rPr>
                <w:rFonts w:hint="eastAsia" w:ascii="宋体" w:hAnsi="宋体" w:eastAsia="宋体" w:cs="宋体"/>
                <w:sz w:val="20"/>
                <w:szCs w:val="20"/>
              </w:rPr>
            </w:pPr>
            <w:r>
              <w:rPr>
                <w:rFonts w:hint="eastAsia" w:ascii="宋体" w:hAnsi="宋体" w:cs="宋体"/>
                <w:sz w:val="20"/>
                <w:szCs w:val="20"/>
                <w:lang w:val="en-US" w:eastAsia="zh-CN"/>
              </w:rPr>
              <w:t>8</w:t>
            </w:r>
            <w:r>
              <w:rPr>
                <w:rFonts w:hint="eastAsia" w:ascii="宋体" w:hAnsi="宋体" w:eastAsia="宋体" w:cs="宋体"/>
                <w:sz w:val="20"/>
                <w:szCs w:val="20"/>
              </w:rPr>
              <w:t xml:space="preserve">、两块侧板可拆卸，支持壁挂安装； </w:t>
            </w:r>
          </w:p>
          <w:p w14:paraId="7CF439B2">
            <w:pPr>
              <w:widowControl w:val="0"/>
              <w:bidi w:val="0"/>
              <w:jc w:val="left"/>
              <w:rPr>
                <w:sz w:val="20"/>
                <w:szCs w:val="20"/>
                <w:vertAlign w:val="baseline"/>
              </w:rPr>
            </w:pPr>
            <w:r>
              <w:rPr>
                <w:rFonts w:hint="eastAsia" w:ascii="宋体" w:hAnsi="宋体" w:cs="宋体"/>
                <w:sz w:val="20"/>
                <w:szCs w:val="20"/>
                <w:lang w:val="en-US" w:eastAsia="zh-CN"/>
              </w:rPr>
              <w:t>9</w:t>
            </w:r>
            <w:r>
              <w:rPr>
                <w:rFonts w:hint="eastAsia" w:ascii="宋体" w:hAnsi="宋体" w:eastAsia="宋体" w:cs="宋体"/>
                <w:sz w:val="20"/>
                <w:szCs w:val="20"/>
              </w:rPr>
              <w:t>、前门最大开启角度＞180 度。</w:t>
            </w:r>
          </w:p>
        </w:tc>
        <w:tc>
          <w:tcPr>
            <w:tcW w:w="400" w:type="pct"/>
            <w:vAlign w:val="center"/>
          </w:tcPr>
          <w:p w14:paraId="075EA780">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个</w:t>
            </w:r>
          </w:p>
        </w:tc>
        <w:tc>
          <w:tcPr>
            <w:tcW w:w="412" w:type="pct"/>
            <w:vAlign w:val="center"/>
          </w:tcPr>
          <w:p w14:paraId="39719453">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10</w:t>
            </w:r>
          </w:p>
        </w:tc>
      </w:tr>
      <w:tr w14:paraId="3BE0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2F030AA1">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51</w:t>
            </w:r>
          </w:p>
        </w:tc>
        <w:tc>
          <w:tcPr>
            <w:tcW w:w="958" w:type="pct"/>
            <w:vAlign w:val="center"/>
          </w:tcPr>
          <w:p w14:paraId="33B8007E">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服务器机柜</w:t>
            </w:r>
          </w:p>
        </w:tc>
        <w:tc>
          <w:tcPr>
            <w:tcW w:w="2832" w:type="pct"/>
            <w:vAlign w:val="center"/>
          </w:tcPr>
          <w:p w14:paraId="619249ED">
            <w:pPr>
              <w:widowControl w:val="0"/>
              <w:bidi w:val="0"/>
              <w:jc w:val="left"/>
              <w:rPr>
                <w:rFonts w:ascii="宋体" w:hAnsi="宋体" w:eastAsia="宋体" w:cs="宋体"/>
                <w:sz w:val="20"/>
                <w:szCs w:val="20"/>
              </w:rPr>
            </w:pPr>
            <w:r>
              <w:rPr>
                <w:rFonts w:hint="eastAsia" w:ascii="宋体" w:hAnsi="宋体" w:eastAsia="宋体" w:cs="宋体"/>
                <w:sz w:val="20"/>
                <w:szCs w:val="20"/>
                <w:lang w:val="en-US" w:eastAsia="zh-CN"/>
              </w:rPr>
              <w:t>1</w:t>
            </w:r>
            <w:r>
              <w:rPr>
                <w:rFonts w:ascii="宋体" w:hAnsi="宋体" w:eastAsia="宋体" w:cs="宋体"/>
                <w:sz w:val="20"/>
                <w:szCs w:val="20"/>
              </w:rPr>
              <w:t>、产品尺寸：≥600</w:t>
            </w:r>
            <w:r>
              <w:rPr>
                <w:rFonts w:hint="eastAsia" w:ascii="宋体" w:hAnsi="宋体" w:eastAsia="宋体" w:cs="宋体"/>
                <w:sz w:val="20"/>
                <w:szCs w:val="20"/>
                <w:lang w:val="en-US" w:eastAsia="zh-CN"/>
              </w:rPr>
              <w:t>*</w:t>
            </w:r>
            <w:r>
              <w:rPr>
                <w:rStyle w:val="25"/>
                <w:rFonts w:ascii="宋体" w:hAnsi="宋体" w:eastAsia="宋体" w:cs="宋体"/>
                <w:i w:val="0"/>
                <w:iCs/>
                <w:sz w:val="20"/>
                <w:szCs w:val="20"/>
              </w:rPr>
              <w:t>1000</w:t>
            </w:r>
            <w:r>
              <w:rPr>
                <w:rStyle w:val="25"/>
                <w:rFonts w:hint="eastAsia" w:ascii="宋体" w:hAnsi="宋体" w:eastAsia="宋体" w:cs="宋体"/>
                <w:i w:val="0"/>
                <w:iCs/>
                <w:sz w:val="20"/>
                <w:szCs w:val="20"/>
                <w:lang w:val="en-US" w:eastAsia="zh-CN"/>
              </w:rPr>
              <w:t>*</w:t>
            </w:r>
            <w:r>
              <w:rPr>
                <w:rFonts w:ascii="宋体" w:hAnsi="宋体" w:eastAsia="宋体" w:cs="宋体"/>
                <w:sz w:val="20"/>
                <w:szCs w:val="20"/>
              </w:rPr>
              <w:t xml:space="preserve">2000mm； </w:t>
            </w:r>
          </w:p>
          <w:p w14:paraId="0DB18C65">
            <w:pPr>
              <w:widowControl w:val="0"/>
              <w:bidi w:val="0"/>
              <w:jc w:val="left"/>
              <w:rPr>
                <w:rFonts w:ascii="宋体" w:hAnsi="宋体" w:eastAsia="宋体" w:cs="宋体"/>
                <w:sz w:val="20"/>
                <w:szCs w:val="20"/>
              </w:rPr>
            </w:pPr>
            <w:r>
              <w:rPr>
                <w:rFonts w:hint="eastAsia" w:ascii="宋体" w:hAnsi="宋体" w:eastAsia="宋体" w:cs="宋体"/>
                <w:sz w:val="20"/>
                <w:szCs w:val="20"/>
                <w:lang w:val="en-US" w:eastAsia="zh-CN"/>
              </w:rPr>
              <w:t>2</w:t>
            </w:r>
            <w:r>
              <w:rPr>
                <w:rFonts w:ascii="宋体" w:hAnsi="宋体" w:eastAsia="宋体" w:cs="宋体"/>
                <w:sz w:val="20"/>
                <w:szCs w:val="20"/>
              </w:rPr>
              <w:t xml:space="preserve">、机柜容量≥42U； </w:t>
            </w:r>
          </w:p>
          <w:p w14:paraId="20E0BBF6">
            <w:pPr>
              <w:widowControl w:val="0"/>
              <w:bidi w:val="0"/>
              <w:jc w:val="left"/>
              <w:rPr>
                <w:rFonts w:ascii="宋体" w:hAnsi="宋体" w:eastAsia="宋体" w:cs="宋体"/>
                <w:sz w:val="20"/>
                <w:szCs w:val="20"/>
              </w:rPr>
            </w:pPr>
            <w:r>
              <w:rPr>
                <w:rFonts w:hint="eastAsia" w:ascii="宋体" w:hAnsi="宋体" w:eastAsia="宋体" w:cs="宋体"/>
                <w:sz w:val="20"/>
                <w:szCs w:val="20"/>
                <w:lang w:val="en-US" w:eastAsia="zh-CN"/>
              </w:rPr>
              <w:t>3</w:t>
            </w:r>
            <w:r>
              <w:rPr>
                <w:rFonts w:ascii="宋体" w:hAnsi="宋体" w:eastAsia="宋体" w:cs="宋体"/>
                <w:sz w:val="20"/>
                <w:szCs w:val="20"/>
              </w:rPr>
              <w:t xml:space="preserve">、全透明钢化玻璃前门，玻璃丝印网纹，门边带六角透气孔，高密度平板通风孔后门； </w:t>
            </w:r>
          </w:p>
          <w:p w14:paraId="17AABD6B">
            <w:pPr>
              <w:widowControl w:val="0"/>
              <w:bidi w:val="0"/>
              <w:jc w:val="left"/>
              <w:rPr>
                <w:rFonts w:ascii="宋体" w:hAnsi="宋体" w:eastAsia="宋体" w:cs="宋体"/>
                <w:sz w:val="20"/>
                <w:szCs w:val="20"/>
              </w:rPr>
            </w:pPr>
            <w:r>
              <w:rPr>
                <w:rFonts w:hint="eastAsia" w:ascii="宋体" w:hAnsi="宋体" w:eastAsia="宋体" w:cs="宋体"/>
                <w:sz w:val="20"/>
                <w:szCs w:val="20"/>
                <w:lang w:val="en-US" w:eastAsia="zh-CN"/>
              </w:rPr>
              <w:t>4</w:t>
            </w:r>
            <w:r>
              <w:rPr>
                <w:rFonts w:ascii="宋体" w:hAnsi="宋体" w:eastAsia="宋体" w:cs="宋体"/>
                <w:sz w:val="20"/>
                <w:szCs w:val="20"/>
              </w:rPr>
              <w:t xml:space="preserve">、前后焊接框架拼装结构，静态承重≥800KG，动态承重≥600KG； </w:t>
            </w:r>
          </w:p>
          <w:p w14:paraId="4A4FD890">
            <w:pPr>
              <w:widowControl w:val="0"/>
              <w:bidi w:val="0"/>
              <w:jc w:val="left"/>
              <w:rPr>
                <w:rFonts w:ascii="宋体" w:hAnsi="宋体" w:eastAsia="宋体" w:cs="宋体"/>
                <w:sz w:val="20"/>
                <w:szCs w:val="20"/>
              </w:rPr>
            </w:pPr>
            <w:r>
              <w:rPr>
                <w:rFonts w:hint="eastAsia" w:ascii="宋体" w:hAnsi="宋体" w:eastAsia="宋体" w:cs="宋体"/>
                <w:sz w:val="20"/>
                <w:szCs w:val="20"/>
                <w:lang w:val="en-US" w:eastAsia="zh-CN"/>
              </w:rPr>
              <w:t>5</w:t>
            </w:r>
            <w:r>
              <w:rPr>
                <w:rFonts w:ascii="宋体" w:hAnsi="宋体" w:eastAsia="宋体" w:cs="宋体"/>
                <w:sz w:val="20"/>
                <w:szCs w:val="20"/>
              </w:rPr>
              <w:t xml:space="preserve">、采用优质冷轧钢板，19 英寸角规厚度 2.0mm，安装梁厚度 1.5mm，角规深度方向可前后调整； </w:t>
            </w:r>
          </w:p>
          <w:p w14:paraId="6D13EC24">
            <w:pPr>
              <w:widowControl w:val="0"/>
              <w:bidi w:val="0"/>
              <w:jc w:val="left"/>
              <w:rPr>
                <w:rFonts w:ascii="宋体" w:hAnsi="宋体" w:eastAsia="宋体" w:cs="宋体"/>
                <w:sz w:val="20"/>
                <w:szCs w:val="20"/>
              </w:rPr>
            </w:pPr>
            <w:r>
              <w:rPr>
                <w:rFonts w:hint="eastAsia" w:ascii="宋体" w:hAnsi="宋体" w:eastAsia="宋体" w:cs="宋体"/>
                <w:sz w:val="20"/>
                <w:szCs w:val="20"/>
                <w:lang w:val="en-US" w:eastAsia="zh-CN"/>
              </w:rPr>
              <w:t>6</w:t>
            </w:r>
            <w:r>
              <w:rPr>
                <w:rFonts w:ascii="宋体" w:hAnsi="宋体" w:eastAsia="宋体" w:cs="宋体"/>
                <w:sz w:val="20"/>
                <w:szCs w:val="20"/>
              </w:rPr>
              <w:t xml:space="preserve">、顶部、底部多方位敲落孔进线设计； </w:t>
            </w:r>
          </w:p>
          <w:p w14:paraId="735F6A1D">
            <w:pPr>
              <w:widowControl w:val="0"/>
              <w:bidi w:val="0"/>
              <w:jc w:val="left"/>
              <w:rPr>
                <w:rFonts w:ascii="宋体" w:hAnsi="宋体" w:eastAsia="宋体" w:cs="宋体"/>
                <w:sz w:val="20"/>
                <w:szCs w:val="20"/>
              </w:rPr>
            </w:pPr>
            <w:r>
              <w:rPr>
                <w:rFonts w:hint="eastAsia" w:ascii="宋体" w:hAnsi="宋体" w:eastAsia="宋体" w:cs="宋体"/>
                <w:sz w:val="20"/>
                <w:szCs w:val="20"/>
                <w:lang w:val="en-US" w:eastAsia="zh-CN"/>
              </w:rPr>
              <w:t>7</w:t>
            </w:r>
            <w:r>
              <w:rPr>
                <w:rFonts w:ascii="宋体" w:hAnsi="宋体" w:eastAsia="宋体" w:cs="宋体"/>
                <w:sz w:val="20"/>
                <w:szCs w:val="20"/>
              </w:rPr>
              <w:t xml:space="preserve">、快开侧板，风扇单元顶部安装，支持侧板并柜连接； </w:t>
            </w:r>
          </w:p>
          <w:p w14:paraId="4C8D4E2B">
            <w:pPr>
              <w:widowControl w:val="0"/>
              <w:bidi w:val="0"/>
              <w:jc w:val="left"/>
              <w:rPr>
                <w:rFonts w:hint="eastAsia" w:ascii="宋体" w:hAnsi="宋体" w:eastAsia="宋体" w:cs="宋体"/>
                <w:sz w:val="20"/>
                <w:szCs w:val="20"/>
                <w:lang w:eastAsia="zh-CN"/>
              </w:rPr>
            </w:pPr>
            <w:r>
              <w:rPr>
                <w:rFonts w:hint="eastAsia" w:ascii="宋体" w:hAnsi="宋体" w:eastAsia="宋体" w:cs="宋体"/>
                <w:sz w:val="20"/>
                <w:szCs w:val="20"/>
                <w:lang w:val="en-US" w:eastAsia="zh-CN"/>
              </w:rPr>
              <w:t>8</w:t>
            </w:r>
            <w:r>
              <w:rPr>
                <w:rFonts w:ascii="宋体" w:hAnsi="宋体" w:eastAsia="宋体" w:cs="宋体"/>
                <w:sz w:val="20"/>
                <w:szCs w:val="20"/>
              </w:rPr>
              <w:t>、前门弹力锁，后门小圆锁；前、后门最大开启角度＞180 度</w:t>
            </w:r>
            <w:r>
              <w:rPr>
                <w:rFonts w:hint="eastAsia" w:ascii="宋体" w:hAnsi="宋体" w:eastAsia="宋体" w:cs="宋体"/>
                <w:sz w:val="20"/>
                <w:szCs w:val="20"/>
                <w:lang w:eastAsia="zh-CN"/>
              </w:rPr>
              <w:t>；</w:t>
            </w:r>
          </w:p>
          <w:p w14:paraId="0E50104A">
            <w:pPr>
              <w:widowControl w:val="0"/>
              <w:bidi w:val="0"/>
              <w:jc w:val="left"/>
              <w:rPr>
                <w:rFonts w:ascii="宋体" w:hAnsi="宋体" w:eastAsia="宋体" w:cs="宋体"/>
                <w:sz w:val="20"/>
                <w:szCs w:val="20"/>
              </w:rPr>
            </w:pPr>
            <w:r>
              <w:rPr>
                <w:rFonts w:hint="eastAsia" w:ascii="宋体" w:hAnsi="宋体" w:eastAsia="宋体" w:cs="宋体"/>
                <w:sz w:val="20"/>
                <w:szCs w:val="20"/>
                <w:lang w:val="en-US" w:eastAsia="zh-CN"/>
              </w:rPr>
              <w:t>9</w:t>
            </w:r>
            <w:r>
              <w:rPr>
                <w:rFonts w:ascii="宋体" w:hAnsi="宋体" w:eastAsia="宋体" w:cs="宋体"/>
                <w:sz w:val="20"/>
                <w:szCs w:val="20"/>
              </w:rPr>
              <w:t xml:space="preserve">、防护等级：IP20； </w:t>
            </w:r>
          </w:p>
          <w:p w14:paraId="3B3C97F3">
            <w:pPr>
              <w:widowControl w:val="0"/>
              <w:bidi w:val="0"/>
              <w:jc w:val="left"/>
              <w:rPr>
                <w:sz w:val="20"/>
                <w:szCs w:val="20"/>
                <w:vertAlign w:val="baseline"/>
              </w:rPr>
            </w:pPr>
            <w:r>
              <w:rPr>
                <w:rFonts w:hint="eastAsia" w:ascii="宋体" w:hAnsi="宋体" w:eastAsia="宋体" w:cs="宋体"/>
                <w:sz w:val="20"/>
                <w:szCs w:val="20"/>
                <w:lang w:val="en-US" w:eastAsia="zh-CN"/>
              </w:rPr>
              <w:t>10</w:t>
            </w:r>
            <w:r>
              <w:rPr>
                <w:rFonts w:ascii="宋体" w:hAnsi="宋体" w:eastAsia="宋体" w:cs="宋体"/>
                <w:sz w:val="20"/>
                <w:szCs w:val="20"/>
              </w:rPr>
              <w:t>、配置 1 套竖装 8 位 10A 国标 PDU 插座。</w:t>
            </w:r>
          </w:p>
        </w:tc>
        <w:tc>
          <w:tcPr>
            <w:tcW w:w="400" w:type="pct"/>
            <w:vAlign w:val="center"/>
          </w:tcPr>
          <w:p w14:paraId="01DB00D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个</w:t>
            </w:r>
          </w:p>
        </w:tc>
        <w:tc>
          <w:tcPr>
            <w:tcW w:w="412" w:type="pct"/>
            <w:vAlign w:val="center"/>
          </w:tcPr>
          <w:p w14:paraId="08DFFA05">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66F8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145A9BDF">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52</w:t>
            </w:r>
          </w:p>
        </w:tc>
        <w:tc>
          <w:tcPr>
            <w:tcW w:w="958" w:type="pct"/>
            <w:vAlign w:val="center"/>
          </w:tcPr>
          <w:p w14:paraId="1C14D0B1">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机柜</w:t>
            </w:r>
          </w:p>
        </w:tc>
        <w:tc>
          <w:tcPr>
            <w:tcW w:w="2832" w:type="pct"/>
            <w:vAlign w:val="center"/>
          </w:tcPr>
          <w:p w14:paraId="44E241B8">
            <w:pPr>
              <w:widowControl w:val="0"/>
              <w:bidi w:val="0"/>
              <w:jc w:val="left"/>
              <w:rPr>
                <w:rFonts w:ascii="宋体" w:hAnsi="宋体" w:eastAsia="宋体" w:cs="宋体"/>
                <w:sz w:val="20"/>
                <w:szCs w:val="20"/>
              </w:rPr>
            </w:pPr>
            <w:r>
              <w:rPr>
                <w:rFonts w:ascii="宋体" w:hAnsi="宋体" w:eastAsia="宋体" w:cs="宋体"/>
                <w:sz w:val="20"/>
                <w:szCs w:val="20"/>
              </w:rPr>
              <w:t>1、产品尺寸：≥600</w:t>
            </w:r>
            <w:r>
              <w:rPr>
                <w:rFonts w:hint="eastAsia" w:ascii="宋体" w:hAnsi="宋体" w:eastAsia="宋体" w:cs="宋体"/>
                <w:sz w:val="20"/>
                <w:szCs w:val="20"/>
                <w:lang w:val="en-US" w:eastAsia="zh-CN"/>
              </w:rPr>
              <w:t>*</w:t>
            </w:r>
            <w:r>
              <w:rPr>
                <w:rStyle w:val="25"/>
                <w:rFonts w:ascii="宋体" w:hAnsi="宋体" w:eastAsia="宋体" w:cs="宋体"/>
                <w:i w:val="0"/>
                <w:iCs/>
                <w:sz w:val="20"/>
                <w:szCs w:val="20"/>
              </w:rPr>
              <w:t>600</w:t>
            </w:r>
            <w:r>
              <w:rPr>
                <w:rStyle w:val="25"/>
                <w:rFonts w:hint="eastAsia" w:ascii="宋体" w:hAnsi="宋体" w:eastAsia="宋体" w:cs="宋体"/>
                <w:i w:val="0"/>
                <w:iCs/>
                <w:sz w:val="20"/>
                <w:szCs w:val="20"/>
                <w:lang w:val="en-US" w:eastAsia="zh-CN"/>
              </w:rPr>
              <w:t>*</w:t>
            </w:r>
            <w:r>
              <w:rPr>
                <w:rFonts w:ascii="宋体" w:hAnsi="宋体" w:eastAsia="宋体" w:cs="宋体"/>
                <w:sz w:val="20"/>
                <w:szCs w:val="20"/>
              </w:rPr>
              <w:t xml:space="preserve">1111mm； </w:t>
            </w:r>
          </w:p>
          <w:p w14:paraId="206EF5D0">
            <w:pPr>
              <w:widowControl w:val="0"/>
              <w:bidi w:val="0"/>
              <w:jc w:val="left"/>
              <w:rPr>
                <w:rFonts w:ascii="宋体" w:hAnsi="宋体" w:eastAsia="宋体" w:cs="宋体"/>
                <w:sz w:val="20"/>
                <w:szCs w:val="20"/>
              </w:rPr>
            </w:pPr>
            <w:r>
              <w:rPr>
                <w:rFonts w:ascii="宋体" w:hAnsi="宋体" w:eastAsia="宋体" w:cs="宋体"/>
                <w:sz w:val="20"/>
                <w:szCs w:val="20"/>
              </w:rPr>
              <w:t xml:space="preserve">2、机柜容量≥22U； </w:t>
            </w:r>
          </w:p>
          <w:p w14:paraId="2FCD2ACD">
            <w:pPr>
              <w:widowControl w:val="0"/>
              <w:bidi w:val="0"/>
              <w:jc w:val="left"/>
              <w:rPr>
                <w:rFonts w:ascii="宋体" w:hAnsi="宋体" w:eastAsia="宋体" w:cs="宋体"/>
                <w:sz w:val="20"/>
                <w:szCs w:val="20"/>
              </w:rPr>
            </w:pPr>
            <w:r>
              <w:rPr>
                <w:rFonts w:ascii="宋体" w:hAnsi="宋体" w:eastAsia="宋体" w:cs="宋体"/>
                <w:sz w:val="20"/>
                <w:szCs w:val="20"/>
              </w:rPr>
              <w:t xml:space="preserve">3、全透明钢化玻璃前门，带通风结构，高密度平板通风孔后门； </w:t>
            </w:r>
          </w:p>
          <w:p w14:paraId="3841EC24">
            <w:pPr>
              <w:widowControl w:val="0"/>
              <w:bidi w:val="0"/>
              <w:jc w:val="left"/>
              <w:rPr>
                <w:rFonts w:ascii="宋体" w:hAnsi="宋体" w:eastAsia="宋体" w:cs="宋体"/>
                <w:sz w:val="20"/>
                <w:szCs w:val="20"/>
              </w:rPr>
            </w:pPr>
            <w:r>
              <w:rPr>
                <w:rFonts w:ascii="宋体" w:hAnsi="宋体" w:eastAsia="宋体" w:cs="宋体"/>
                <w:sz w:val="20"/>
                <w:szCs w:val="20"/>
              </w:rPr>
              <w:t xml:space="preserve">4、前后焊接框架拼装结构，静态承重≥800KG，动态承重≥600KG； </w:t>
            </w:r>
          </w:p>
          <w:p w14:paraId="3046FBC2">
            <w:pPr>
              <w:widowControl w:val="0"/>
              <w:bidi w:val="0"/>
              <w:jc w:val="left"/>
              <w:rPr>
                <w:rFonts w:ascii="宋体" w:hAnsi="宋体" w:eastAsia="宋体" w:cs="宋体"/>
                <w:sz w:val="20"/>
                <w:szCs w:val="20"/>
              </w:rPr>
            </w:pPr>
            <w:r>
              <w:rPr>
                <w:rFonts w:ascii="宋体" w:hAnsi="宋体" w:eastAsia="宋体" w:cs="宋体"/>
                <w:sz w:val="20"/>
                <w:szCs w:val="20"/>
              </w:rPr>
              <w:t xml:space="preserve">5、采用优质冷轧钢板，19 英寸角规厚度 2.0mm，安装梁厚度 1.5mm，角规深度可前后调整； </w:t>
            </w:r>
          </w:p>
          <w:p w14:paraId="69780CF2">
            <w:pPr>
              <w:widowControl w:val="0"/>
              <w:bidi w:val="0"/>
              <w:jc w:val="left"/>
              <w:rPr>
                <w:rFonts w:ascii="宋体" w:hAnsi="宋体" w:eastAsia="宋体" w:cs="宋体"/>
                <w:sz w:val="20"/>
                <w:szCs w:val="20"/>
              </w:rPr>
            </w:pPr>
            <w:r>
              <w:rPr>
                <w:rFonts w:ascii="宋体" w:hAnsi="宋体" w:eastAsia="宋体" w:cs="宋体"/>
                <w:sz w:val="20"/>
                <w:szCs w:val="20"/>
              </w:rPr>
              <w:t xml:space="preserve">6、顶部、底部多方位敲落孔进线设计； </w:t>
            </w:r>
          </w:p>
          <w:p w14:paraId="4C7AA080">
            <w:pPr>
              <w:widowControl w:val="0"/>
              <w:bidi w:val="0"/>
              <w:jc w:val="left"/>
              <w:rPr>
                <w:rFonts w:ascii="宋体" w:hAnsi="宋体" w:eastAsia="宋体" w:cs="宋体"/>
                <w:sz w:val="20"/>
                <w:szCs w:val="20"/>
              </w:rPr>
            </w:pPr>
            <w:r>
              <w:rPr>
                <w:rFonts w:ascii="宋体" w:hAnsi="宋体" w:eastAsia="宋体" w:cs="宋体"/>
                <w:sz w:val="20"/>
                <w:szCs w:val="20"/>
              </w:rPr>
              <w:t xml:space="preserve">7、快开侧板，风扇单元顶部安装，支持侧板并柜连接； </w:t>
            </w:r>
          </w:p>
          <w:p w14:paraId="6D9B6171">
            <w:pPr>
              <w:widowControl w:val="0"/>
              <w:bidi w:val="0"/>
              <w:jc w:val="left"/>
              <w:rPr>
                <w:rFonts w:ascii="宋体" w:hAnsi="宋体" w:eastAsia="宋体" w:cs="宋体"/>
                <w:sz w:val="20"/>
                <w:szCs w:val="20"/>
              </w:rPr>
            </w:pPr>
            <w:r>
              <w:rPr>
                <w:rFonts w:ascii="宋体" w:hAnsi="宋体" w:eastAsia="宋体" w:cs="宋体"/>
                <w:sz w:val="20"/>
                <w:szCs w:val="20"/>
              </w:rPr>
              <w:t>8、前门弹力锁、后门小圆锁；前、后门最大开启角度＞180 度；</w:t>
            </w:r>
          </w:p>
          <w:p w14:paraId="177D3BD7">
            <w:pPr>
              <w:widowControl w:val="0"/>
              <w:bidi w:val="0"/>
              <w:jc w:val="left"/>
              <w:rPr>
                <w:sz w:val="20"/>
                <w:szCs w:val="20"/>
                <w:vertAlign w:val="baseline"/>
              </w:rPr>
            </w:pPr>
            <w:r>
              <w:rPr>
                <w:rFonts w:hint="eastAsia" w:ascii="宋体" w:hAnsi="宋体" w:eastAsia="宋体" w:cs="宋体"/>
                <w:sz w:val="20"/>
                <w:szCs w:val="20"/>
                <w:lang w:val="en-US" w:eastAsia="zh-CN"/>
              </w:rPr>
              <w:t>9、</w:t>
            </w:r>
            <w:r>
              <w:rPr>
                <w:rFonts w:ascii="宋体" w:hAnsi="宋体" w:eastAsia="宋体" w:cs="宋体"/>
                <w:sz w:val="20"/>
                <w:szCs w:val="20"/>
              </w:rPr>
              <w:t>配置</w:t>
            </w:r>
            <w:r>
              <w:rPr>
                <w:rFonts w:hint="eastAsia" w:ascii="宋体" w:hAnsi="宋体" w:eastAsia="宋体" w:cs="宋体"/>
                <w:sz w:val="20"/>
                <w:szCs w:val="20"/>
                <w:lang w:val="en-US" w:eastAsia="zh-CN"/>
              </w:rPr>
              <w:t>1</w:t>
            </w:r>
            <w:r>
              <w:rPr>
                <w:rFonts w:ascii="宋体" w:hAnsi="宋体" w:eastAsia="宋体" w:cs="宋体"/>
                <w:sz w:val="20"/>
                <w:szCs w:val="20"/>
              </w:rPr>
              <w:t>套竖装8位10A国标PDU插座。</w:t>
            </w:r>
          </w:p>
        </w:tc>
        <w:tc>
          <w:tcPr>
            <w:tcW w:w="400" w:type="pct"/>
            <w:vAlign w:val="center"/>
          </w:tcPr>
          <w:p w14:paraId="35535224">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台</w:t>
            </w:r>
          </w:p>
        </w:tc>
        <w:tc>
          <w:tcPr>
            <w:tcW w:w="412" w:type="pct"/>
            <w:vAlign w:val="center"/>
          </w:tcPr>
          <w:p w14:paraId="6E6F79AB">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200C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0DA3B63E">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53</w:t>
            </w:r>
          </w:p>
        </w:tc>
        <w:tc>
          <w:tcPr>
            <w:tcW w:w="958" w:type="pct"/>
            <w:vAlign w:val="center"/>
          </w:tcPr>
          <w:p w14:paraId="5993C740">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操作台</w:t>
            </w:r>
          </w:p>
        </w:tc>
        <w:tc>
          <w:tcPr>
            <w:tcW w:w="2832" w:type="pct"/>
            <w:vAlign w:val="top"/>
          </w:tcPr>
          <w:p w14:paraId="40768763">
            <w:pPr>
              <w:widowControl w:val="0"/>
              <w:bidi w:val="0"/>
              <w:jc w:val="left"/>
              <w:rPr>
                <w:sz w:val="20"/>
                <w:szCs w:val="20"/>
                <w:vertAlign w:val="baseline"/>
              </w:rPr>
            </w:pPr>
            <w:r>
              <w:rPr>
                <w:rFonts w:hint="eastAsia" w:ascii="宋体" w:hAnsi="宋体" w:eastAsia="宋体" w:cs="宋体"/>
                <w:sz w:val="20"/>
                <w:szCs w:val="20"/>
                <w:lang w:val="en-US" w:eastAsia="zh-CN"/>
              </w:rPr>
              <w:t>定制两联操作台，≥1880*900*950，冷轧钢板≥1.2，台面和侧板常规用料实木颗粒板</w:t>
            </w:r>
          </w:p>
        </w:tc>
        <w:tc>
          <w:tcPr>
            <w:tcW w:w="400" w:type="pct"/>
            <w:vAlign w:val="center"/>
          </w:tcPr>
          <w:p w14:paraId="64ABF59F">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套</w:t>
            </w:r>
          </w:p>
        </w:tc>
        <w:tc>
          <w:tcPr>
            <w:tcW w:w="412" w:type="pct"/>
            <w:vAlign w:val="center"/>
          </w:tcPr>
          <w:p w14:paraId="3E2C1577">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34CD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DB7574A">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54</w:t>
            </w:r>
          </w:p>
        </w:tc>
        <w:tc>
          <w:tcPr>
            <w:tcW w:w="958" w:type="pct"/>
            <w:vAlign w:val="center"/>
          </w:tcPr>
          <w:p w14:paraId="2711BA2A">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光纤</w:t>
            </w:r>
          </w:p>
        </w:tc>
        <w:tc>
          <w:tcPr>
            <w:tcW w:w="2832" w:type="pct"/>
            <w:vAlign w:val="top"/>
          </w:tcPr>
          <w:p w14:paraId="530B17EC">
            <w:pPr>
              <w:widowControl w:val="0"/>
              <w:bidi w:val="0"/>
              <w:jc w:val="left"/>
              <w:rPr>
                <w:sz w:val="20"/>
                <w:szCs w:val="20"/>
                <w:vertAlign w:val="baseline"/>
              </w:rPr>
            </w:pPr>
            <w:r>
              <w:rPr>
                <w:rFonts w:hint="eastAsia" w:ascii="宋体" w:hAnsi="宋体" w:eastAsia="宋体" w:cs="宋体"/>
                <w:sz w:val="20"/>
                <w:szCs w:val="20"/>
                <w:lang w:val="en-US" w:eastAsia="zh-CN"/>
              </w:rPr>
              <w:t>光纤规格：B1.3(G652D)</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衰减＠20℃（dB/Km）：＠1310≤0.36，＠1550≤0.22</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光纤芯数：24芯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导体材质：多股无氧铜绞合</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导体芯数：2芯</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加强件: 双面覆膜铝带</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护套：MDPE，黑色</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最小弯曲半径：动态：20D，静态：10D</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敷设方式：管道、非自承式架空</w:t>
            </w:r>
          </w:p>
        </w:tc>
        <w:tc>
          <w:tcPr>
            <w:tcW w:w="400" w:type="pct"/>
            <w:vAlign w:val="center"/>
          </w:tcPr>
          <w:p w14:paraId="032AC9F3">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米</w:t>
            </w:r>
          </w:p>
        </w:tc>
        <w:tc>
          <w:tcPr>
            <w:tcW w:w="412" w:type="pct"/>
            <w:vAlign w:val="center"/>
          </w:tcPr>
          <w:p w14:paraId="0CFD673A">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3000</w:t>
            </w:r>
          </w:p>
        </w:tc>
      </w:tr>
      <w:tr w14:paraId="0420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7747D5CA">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55</w:t>
            </w:r>
          </w:p>
        </w:tc>
        <w:tc>
          <w:tcPr>
            <w:tcW w:w="958" w:type="pct"/>
            <w:vAlign w:val="center"/>
          </w:tcPr>
          <w:p w14:paraId="402B4345">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信号线</w:t>
            </w:r>
          </w:p>
        </w:tc>
        <w:tc>
          <w:tcPr>
            <w:tcW w:w="2832" w:type="pct"/>
            <w:vAlign w:val="center"/>
          </w:tcPr>
          <w:p w14:paraId="1E20E6ED">
            <w:pPr>
              <w:widowControl w:val="0"/>
              <w:bidi w:val="0"/>
              <w:jc w:val="left"/>
              <w:rPr>
                <w:sz w:val="20"/>
                <w:szCs w:val="20"/>
                <w:vertAlign w:val="baseline"/>
              </w:rPr>
            </w:pPr>
            <w:r>
              <w:rPr>
                <w:rFonts w:hint="eastAsia" w:ascii="宋体" w:hAnsi="宋体" w:eastAsia="宋体" w:cs="宋体"/>
                <w:sz w:val="20"/>
                <w:szCs w:val="20"/>
                <w:lang w:val="en-US" w:eastAsia="zh-CN"/>
              </w:rPr>
              <w:t>铜芯聚氯乙烯绝缘聚氯乙烯护套软电缆，≥RVV 2×1.0mm铜芯聚氯乙烯绝缘聚氯乙烯护套软电缆，额定电压300-500V</w:t>
            </w:r>
          </w:p>
        </w:tc>
        <w:tc>
          <w:tcPr>
            <w:tcW w:w="400" w:type="pct"/>
            <w:vAlign w:val="center"/>
          </w:tcPr>
          <w:p w14:paraId="5B6F3A99">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米</w:t>
            </w:r>
          </w:p>
        </w:tc>
        <w:tc>
          <w:tcPr>
            <w:tcW w:w="412" w:type="pct"/>
            <w:vAlign w:val="center"/>
          </w:tcPr>
          <w:p w14:paraId="1CE58EB3">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2000</w:t>
            </w:r>
          </w:p>
        </w:tc>
      </w:tr>
      <w:tr w14:paraId="61CE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5BF66D83">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56</w:t>
            </w:r>
          </w:p>
        </w:tc>
        <w:tc>
          <w:tcPr>
            <w:tcW w:w="958" w:type="pct"/>
            <w:vAlign w:val="center"/>
          </w:tcPr>
          <w:p w14:paraId="4F540AD2">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信号线</w:t>
            </w:r>
          </w:p>
        </w:tc>
        <w:tc>
          <w:tcPr>
            <w:tcW w:w="2832" w:type="pct"/>
            <w:vAlign w:val="center"/>
          </w:tcPr>
          <w:p w14:paraId="027C38D8">
            <w:pPr>
              <w:widowControl w:val="0"/>
              <w:bidi w:val="0"/>
              <w:jc w:val="left"/>
              <w:rPr>
                <w:sz w:val="20"/>
                <w:szCs w:val="20"/>
                <w:vertAlign w:val="baseline"/>
              </w:rPr>
            </w:pPr>
            <w:r>
              <w:rPr>
                <w:rFonts w:hint="eastAsia" w:ascii="宋体" w:hAnsi="宋体" w:eastAsia="宋体" w:cs="宋体"/>
                <w:sz w:val="20"/>
                <w:szCs w:val="20"/>
                <w:lang w:val="en-US" w:eastAsia="zh-CN"/>
              </w:rPr>
              <w:t>铜芯聚氯乙烯绝缘聚氯乙烯护套软电缆，≥RVV 2×1.5mm铜芯聚氯乙烯绝缘聚氯乙烯护套软电缆，额定电压300-500V</w:t>
            </w:r>
          </w:p>
        </w:tc>
        <w:tc>
          <w:tcPr>
            <w:tcW w:w="400" w:type="pct"/>
            <w:vAlign w:val="center"/>
          </w:tcPr>
          <w:p w14:paraId="021F42A6">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米</w:t>
            </w:r>
          </w:p>
        </w:tc>
        <w:tc>
          <w:tcPr>
            <w:tcW w:w="412" w:type="pct"/>
            <w:vAlign w:val="center"/>
          </w:tcPr>
          <w:p w14:paraId="6EA46F6D">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1000</w:t>
            </w:r>
          </w:p>
        </w:tc>
      </w:tr>
      <w:tr w14:paraId="7E079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46DAFE63">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57</w:t>
            </w:r>
          </w:p>
        </w:tc>
        <w:tc>
          <w:tcPr>
            <w:tcW w:w="958" w:type="pct"/>
            <w:vAlign w:val="center"/>
          </w:tcPr>
          <w:p w14:paraId="448CC0FD">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网线</w:t>
            </w:r>
          </w:p>
        </w:tc>
        <w:tc>
          <w:tcPr>
            <w:tcW w:w="2832" w:type="pct"/>
            <w:vAlign w:val="center"/>
          </w:tcPr>
          <w:p w14:paraId="66B59886">
            <w:pPr>
              <w:widowControl w:val="0"/>
              <w:bidi w:val="0"/>
              <w:jc w:val="left"/>
              <w:rPr>
                <w:sz w:val="20"/>
                <w:szCs w:val="20"/>
                <w:vertAlign w:val="baseline"/>
              </w:rPr>
            </w:pPr>
            <w:r>
              <w:rPr>
                <w:rFonts w:hint="eastAsia" w:ascii="宋体" w:hAnsi="宋体" w:eastAsia="宋体" w:cs="宋体"/>
                <w:sz w:val="20"/>
                <w:szCs w:val="20"/>
                <w:lang w:val="en-US" w:eastAsia="zh-CN"/>
              </w:rPr>
              <w:t>单根导体直流电阻：≤9.5Ω/100m</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标称线对数：4，导体标称直径：0.50mm，导体名称：软圆铜线，绝缘：HDPE</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屏蔽方式：U/UTP</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护套材料：PVC，护套外径：5.1±0.3mm，护套颜色：灰色</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最小内弯曲半径：安装时：8倍电缆外径，安装后：4倍电缆外径，敷设方式：钢管或阻燃硬质PVC管内</w:t>
            </w:r>
            <w:r>
              <w:rPr>
                <w:rFonts w:hint="eastAsia" w:ascii="宋体" w:hAnsi="宋体" w:eastAsia="宋体" w:cs="宋体"/>
                <w:sz w:val="20"/>
                <w:szCs w:val="20"/>
                <w:lang w:val="en-US" w:eastAsia="zh-CN"/>
              </w:rPr>
              <w:br w:type="textWrapping"/>
            </w:r>
            <w:r>
              <w:rPr>
                <w:rFonts w:hint="eastAsia" w:ascii="宋体" w:hAnsi="宋体" w:eastAsia="宋体" w:cs="宋体"/>
                <w:sz w:val="20"/>
                <w:szCs w:val="20"/>
                <w:lang w:val="en-US" w:eastAsia="zh-CN"/>
              </w:rPr>
              <w:t>包装方式：305米/易拉箱，2易拉箱/外箱</w:t>
            </w:r>
          </w:p>
        </w:tc>
        <w:tc>
          <w:tcPr>
            <w:tcW w:w="400" w:type="pct"/>
            <w:vAlign w:val="center"/>
          </w:tcPr>
          <w:p w14:paraId="1C9D3F72">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箱</w:t>
            </w:r>
          </w:p>
        </w:tc>
        <w:tc>
          <w:tcPr>
            <w:tcW w:w="412" w:type="pct"/>
            <w:vAlign w:val="center"/>
          </w:tcPr>
          <w:p w14:paraId="7452072E">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37</w:t>
            </w:r>
          </w:p>
        </w:tc>
      </w:tr>
      <w:tr w14:paraId="1245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55CCEBEB">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58</w:t>
            </w:r>
          </w:p>
        </w:tc>
        <w:tc>
          <w:tcPr>
            <w:tcW w:w="958" w:type="pct"/>
            <w:vAlign w:val="center"/>
          </w:tcPr>
          <w:p w14:paraId="51C6D5F4">
            <w:pPr>
              <w:keepNext w:val="0"/>
              <w:keepLines w:val="0"/>
              <w:widowControl/>
              <w:suppressLineNumbers w:val="0"/>
              <w:jc w:val="left"/>
              <w:textAlignment w:val="center"/>
              <w:rPr>
                <w:vertAlign w:val="baseline"/>
              </w:rPr>
            </w:pPr>
            <w:r>
              <w:rPr>
                <w:rFonts w:hint="eastAsia" w:ascii="宋体" w:hAnsi="宋体" w:eastAsia="宋体" w:cs="宋体"/>
                <w:i w:val="0"/>
                <w:iCs w:val="0"/>
                <w:color w:val="000000"/>
                <w:kern w:val="0"/>
                <w:sz w:val="22"/>
                <w:szCs w:val="22"/>
                <w:u w:val="none"/>
                <w:lang w:val="en-US" w:eastAsia="zh-CN" w:bidi="ar"/>
              </w:rPr>
              <w:t>电缆</w:t>
            </w:r>
          </w:p>
        </w:tc>
        <w:tc>
          <w:tcPr>
            <w:tcW w:w="2832" w:type="pct"/>
            <w:vAlign w:val="center"/>
          </w:tcPr>
          <w:p w14:paraId="5006D3A8">
            <w:pPr>
              <w:widowControl w:val="0"/>
              <w:bidi w:val="0"/>
              <w:jc w:val="both"/>
              <w:rPr>
                <w:sz w:val="20"/>
                <w:szCs w:val="20"/>
                <w:vertAlign w:val="baseline"/>
              </w:rPr>
            </w:pPr>
            <w:r>
              <w:rPr>
                <w:rFonts w:hint="eastAsia" w:ascii="宋体" w:hAnsi="宋体" w:eastAsia="宋体" w:cs="宋体"/>
                <w:sz w:val="20"/>
                <w:szCs w:val="20"/>
                <w:lang w:val="en-US" w:eastAsia="zh-CN"/>
              </w:rPr>
              <w:t>3芯≥2.5平方室外电缆</w:t>
            </w:r>
          </w:p>
        </w:tc>
        <w:tc>
          <w:tcPr>
            <w:tcW w:w="400" w:type="pct"/>
            <w:vAlign w:val="center"/>
          </w:tcPr>
          <w:p w14:paraId="0777DE1D">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卷</w:t>
            </w:r>
          </w:p>
        </w:tc>
        <w:tc>
          <w:tcPr>
            <w:tcW w:w="412" w:type="pct"/>
            <w:vAlign w:val="center"/>
          </w:tcPr>
          <w:p w14:paraId="19BE2FA8">
            <w:pPr>
              <w:keepNext w:val="0"/>
              <w:keepLines w:val="0"/>
              <w:widowControl/>
              <w:suppressLineNumbers w:val="0"/>
              <w:jc w:val="both"/>
              <w:textAlignment w:val="center"/>
              <w:rPr>
                <w:vertAlign w:val="baseline"/>
              </w:rPr>
            </w:pPr>
            <w:r>
              <w:rPr>
                <w:rFonts w:hint="eastAsia" w:ascii="宋体" w:hAnsi="宋体" w:eastAsia="宋体" w:cs="宋体"/>
                <w:i w:val="0"/>
                <w:iCs w:val="0"/>
                <w:color w:val="000000"/>
                <w:kern w:val="0"/>
                <w:sz w:val="22"/>
                <w:szCs w:val="22"/>
                <w:u w:val="none"/>
                <w:lang w:val="en-US" w:eastAsia="zh-CN" w:bidi="ar"/>
              </w:rPr>
              <w:t>10</w:t>
            </w:r>
          </w:p>
        </w:tc>
      </w:tr>
      <w:tr w14:paraId="5096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C17FB21">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59</w:t>
            </w:r>
          </w:p>
        </w:tc>
        <w:tc>
          <w:tcPr>
            <w:tcW w:w="958" w:type="pct"/>
            <w:vAlign w:val="center"/>
          </w:tcPr>
          <w:p w14:paraId="7D62F484">
            <w:pPr>
              <w:keepNext w:val="0"/>
              <w:keepLines w:val="0"/>
              <w:widowControl/>
              <w:suppressLineNumbers w:val="0"/>
              <w:jc w:val="left"/>
              <w:textAlignment w:val="center"/>
              <w:rPr>
                <w:vertAlign w:val="baseline"/>
              </w:rPr>
            </w:pPr>
            <w:r>
              <w:rPr>
                <w:rFonts w:hint="eastAsia" w:ascii="宋体" w:hAnsi="宋体" w:cs="宋体"/>
                <w:i w:val="0"/>
                <w:iCs w:val="0"/>
                <w:color w:val="000000"/>
                <w:kern w:val="0"/>
                <w:sz w:val="22"/>
                <w:szCs w:val="22"/>
                <w:u w:val="none"/>
                <w:lang w:val="en-US" w:eastAsia="zh-CN" w:bidi="ar"/>
              </w:rPr>
              <w:t>控制</w:t>
            </w:r>
            <w:r>
              <w:rPr>
                <w:rFonts w:hint="eastAsia" w:ascii="宋体" w:hAnsi="宋体" w:eastAsia="宋体" w:cs="宋体"/>
                <w:i w:val="0"/>
                <w:iCs w:val="0"/>
                <w:color w:val="000000"/>
                <w:kern w:val="0"/>
                <w:sz w:val="22"/>
                <w:szCs w:val="22"/>
                <w:u w:val="none"/>
                <w:lang w:val="en-US" w:eastAsia="zh-CN" w:bidi="ar"/>
              </w:rPr>
              <w:t>室环境美化</w:t>
            </w:r>
          </w:p>
        </w:tc>
        <w:tc>
          <w:tcPr>
            <w:tcW w:w="2832" w:type="pct"/>
            <w:vAlign w:val="top"/>
          </w:tcPr>
          <w:p w14:paraId="51B36F8D">
            <w:pPr>
              <w:widowControl w:val="0"/>
              <w:bidi w:val="0"/>
              <w:jc w:val="left"/>
              <w:rPr>
                <w:sz w:val="20"/>
                <w:szCs w:val="20"/>
                <w:vertAlign w:val="baseline"/>
              </w:rPr>
            </w:pPr>
            <w:r>
              <w:rPr>
                <w:rFonts w:hint="eastAsia" w:ascii="宋体" w:hAnsi="宋体" w:cs="宋体"/>
                <w:sz w:val="20"/>
                <w:szCs w:val="20"/>
                <w:lang w:val="en-US" w:eastAsia="zh-CN"/>
              </w:rPr>
              <w:t>控制</w:t>
            </w:r>
            <w:r>
              <w:rPr>
                <w:rFonts w:hint="eastAsia" w:ascii="宋体" w:hAnsi="宋体" w:eastAsia="宋体" w:cs="宋体"/>
                <w:sz w:val="20"/>
                <w:szCs w:val="20"/>
                <w:lang w:val="en-US" w:eastAsia="zh-CN"/>
              </w:rPr>
              <w:t>室内墙面、顶面实施大白乳胶漆施工，含现场基层清理、空鼓修补、接缝挂网防裂、孔洞嵌补防锈处理、两遍耐水腻子批刮打磨、墙面除尘、两遍纯白色哑光内墙乳胶漆辊涂成型，配套成品保护、施工垃圾清运。材料须符合国家现行内墙涂料规范，完工后墙面平整顺直、色泽均匀无开裂起皮</w:t>
            </w:r>
          </w:p>
        </w:tc>
        <w:tc>
          <w:tcPr>
            <w:tcW w:w="400" w:type="pct"/>
            <w:vAlign w:val="center"/>
          </w:tcPr>
          <w:p w14:paraId="1B59DD6F">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项</w:t>
            </w:r>
          </w:p>
        </w:tc>
        <w:tc>
          <w:tcPr>
            <w:tcW w:w="412" w:type="pct"/>
            <w:vAlign w:val="center"/>
          </w:tcPr>
          <w:p w14:paraId="3E3FC95C">
            <w:pPr>
              <w:keepNext w:val="0"/>
              <w:keepLines w:val="0"/>
              <w:widowControl/>
              <w:suppressLineNumbers w:val="0"/>
              <w:jc w:val="center"/>
              <w:textAlignment w:val="center"/>
              <w:rPr>
                <w:vertAlign w:val="baseline"/>
              </w:rPr>
            </w:pPr>
            <w:r>
              <w:rPr>
                <w:rFonts w:hint="eastAsia" w:ascii="宋体" w:hAnsi="宋体" w:eastAsia="宋体" w:cs="宋体"/>
                <w:i w:val="0"/>
                <w:iCs w:val="0"/>
                <w:color w:val="000000"/>
                <w:kern w:val="0"/>
                <w:sz w:val="22"/>
                <w:szCs w:val="22"/>
                <w:u w:val="none"/>
                <w:lang w:val="en-US" w:eastAsia="zh-CN" w:bidi="ar"/>
              </w:rPr>
              <w:t>1</w:t>
            </w:r>
          </w:p>
        </w:tc>
      </w:tr>
      <w:tr w14:paraId="58CB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6E336AD3">
            <w:pPr>
              <w:keepNext w:val="0"/>
              <w:keepLines w:val="0"/>
              <w:widowControl/>
              <w:suppressLineNumbers w:val="0"/>
              <w:jc w:val="center"/>
              <w:textAlignment w:val="center"/>
              <w:rPr>
                <w:vertAlign w:val="baseline"/>
              </w:rPr>
            </w:pPr>
            <w:r>
              <w:rPr>
                <w:rFonts w:hint="eastAsia" w:ascii="宋体" w:hAnsi="宋体" w:eastAsia="宋体" w:cs="宋体"/>
                <w:i w:val="0"/>
                <w:iCs w:val="0"/>
                <w:snapToGrid w:val="0"/>
                <w:color w:val="000000"/>
                <w:kern w:val="0"/>
                <w:sz w:val="22"/>
                <w:szCs w:val="22"/>
                <w:u w:val="none"/>
                <w:lang w:val="en-US" w:eastAsia="zh-CN" w:bidi="ar"/>
              </w:rPr>
              <w:t>60</w:t>
            </w:r>
          </w:p>
        </w:tc>
        <w:tc>
          <w:tcPr>
            <w:tcW w:w="958" w:type="pct"/>
            <w:vAlign w:val="center"/>
          </w:tcPr>
          <w:p w14:paraId="6C4A2E33">
            <w:pPr>
              <w:widowControl/>
              <w:jc w:val="left"/>
              <w:textAlignment w:val="center"/>
              <w:rPr>
                <w:vertAlign w:val="baseline"/>
              </w:rPr>
            </w:pPr>
            <w:r>
              <w:rPr>
                <w:rFonts w:hint="eastAsia" w:ascii="宋体" w:hAnsi="宋体" w:eastAsia="宋体" w:cs="宋体"/>
                <w:color w:val="000000"/>
                <w:kern w:val="0"/>
                <w:sz w:val="22"/>
                <w:szCs w:val="22"/>
                <w:lang w:bidi="ar"/>
              </w:rPr>
              <w:t>设备安装调试及配套管线施工</w:t>
            </w:r>
          </w:p>
        </w:tc>
        <w:tc>
          <w:tcPr>
            <w:tcW w:w="2832" w:type="pct"/>
            <w:vAlign w:val="center"/>
          </w:tcPr>
          <w:p w14:paraId="433CBF7A">
            <w:pPr>
              <w:widowControl w:val="0"/>
              <w:bidi w:val="0"/>
              <w:jc w:val="left"/>
              <w:rPr>
                <w:sz w:val="20"/>
                <w:szCs w:val="20"/>
                <w:vertAlign w:val="baseline"/>
              </w:rPr>
            </w:pPr>
            <w:r>
              <w:rPr>
                <w:rFonts w:hint="eastAsia" w:ascii="宋体" w:hAnsi="宋体" w:eastAsia="宋体" w:cs="宋体"/>
                <w:sz w:val="20"/>
                <w:szCs w:val="20"/>
              </w:rPr>
              <w:t>含设备就位、支架固定、线管桥架敷设、布线、开槽封堵、接线、系统联调、现场清理，含配套辅材、人工</w:t>
            </w:r>
          </w:p>
        </w:tc>
        <w:tc>
          <w:tcPr>
            <w:tcW w:w="400" w:type="pct"/>
            <w:vAlign w:val="center"/>
          </w:tcPr>
          <w:p w14:paraId="0DDDF480">
            <w:pPr>
              <w:widowControl/>
              <w:jc w:val="center"/>
              <w:textAlignment w:val="center"/>
              <w:rPr>
                <w:vertAlign w:val="baseline"/>
              </w:rPr>
            </w:pPr>
            <w:r>
              <w:rPr>
                <w:rFonts w:hint="eastAsia" w:ascii="宋体" w:hAnsi="宋体" w:eastAsia="宋体" w:cs="宋体"/>
                <w:color w:val="000000"/>
                <w:kern w:val="0"/>
                <w:sz w:val="22"/>
                <w:szCs w:val="22"/>
                <w:highlight w:val="none"/>
                <w:lang w:val="en-US" w:eastAsia="zh-CN" w:bidi="ar"/>
              </w:rPr>
              <w:t>项</w:t>
            </w:r>
          </w:p>
        </w:tc>
        <w:tc>
          <w:tcPr>
            <w:tcW w:w="412" w:type="pct"/>
            <w:vAlign w:val="center"/>
          </w:tcPr>
          <w:p w14:paraId="22A3A2D6">
            <w:pPr>
              <w:widowControl/>
              <w:jc w:val="center"/>
              <w:textAlignment w:val="center"/>
              <w:rPr>
                <w:vertAlign w:val="baseline"/>
              </w:rPr>
            </w:pPr>
            <w:r>
              <w:rPr>
                <w:rFonts w:hint="eastAsia" w:ascii="宋体" w:hAnsi="宋体" w:eastAsia="宋体" w:cs="宋体"/>
                <w:color w:val="000000"/>
                <w:kern w:val="0"/>
                <w:sz w:val="22"/>
                <w:szCs w:val="22"/>
                <w:highlight w:val="none"/>
                <w:lang w:val="en-US" w:eastAsia="zh-CN" w:bidi="ar"/>
              </w:rPr>
              <w:t>1</w:t>
            </w:r>
          </w:p>
        </w:tc>
      </w:tr>
    </w:tbl>
    <w:p w14:paraId="3EC1160F">
      <w:pPr>
        <w:pStyle w:val="30"/>
        <w:ind w:left="0" w:leftChars="0" w:firstLine="0" w:firstLineChars="0"/>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14:paraId="5E958082">
      <w:pPr>
        <w:pStyle w:val="10"/>
        <w:numPr>
          <w:ilvl w:val="0"/>
          <w:numId w:val="0"/>
        </w:numPr>
        <w:kinsoku w:val="0"/>
        <w:autoSpaceDE w:val="0"/>
        <w:autoSpaceDN w:val="0"/>
        <w:adjustRightInd w:val="0"/>
        <w:snapToGrid w:val="0"/>
        <w:spacing w:line="360" w:lineRule="auto"/>
        <w:jc w:val="left"/>
        <w:textAlignment w:val="baseline"/>
        <w:rPr>
          <w:rFonts w:hint="default"/>
          <w:lang w:val="en-US" w:eastAsia="zh-CN"/>
        </w:rPr>
      </w:pPr>
    </w:p>
    <w:p w14:paraId="3501C24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b/>
          <w:bCs/>
          <w:spacing w:val="-1"/>
          <w:sz w:val="24"/>
          <w:szCs w:val="24"/>
          <w:lang w:val="en-US" w:eastAsia="zh-CN"/>
        </w:rPr>
        <w:t>2.</w:t>
      </w:r>
      <w:r>
        <w:rPr>
          <w:rFonts w:hint="eastAsia" w:asciiTheme="minorEastAsia" w:hAnsiTheme="minorEastAsia" w:eastAsiaTheme="minorEastAsia" w:cstheme="minorEastAsia"/>
          <w:b/>
          <w:bCs/>
          <w:spacing w:val="-1"/>
          <w:sz w:val="24"/>
          <w:szCs w:val="24"/>
        </w:rPr>
        <w:t>核心产品</w:t>
      </w:r>
      <w:r>
        <w:rPr>
          <w:rFonts w:hint="eastAsia" w:asciiTheme="minorEastAsia" w:hAnsiTheme="minorEastAsia" w:eastAsiaTheme="minorEastAsia" w:cstheme="minorEastAsia"/>
          <w:spacing w:val="-1"/>
          <w:sz w:val="24"/>
          <w:szCs w:val="24"/>
          <w:lang w:val="en-US" w:eastAsia="zh-CN"/>
        </w:rPr>
        <w:t>:</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关于核心产品本项目/包不适用。</w:t>
      </w:r>
    </w:p>
    <w:p w14:paraId="12F1442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
          <w:sz w:val="24"/>
          <w:szCs w:val="24"/>
          <w:highlight w:val="none"/>
        </w:rPr>
      </w:pPr>
      <w:r>
        <w:rPr>
          <w:rFonts w:hint="eastAsia" w:asciiTheme="minorEastAsia" w:hAnsiTheme="minorEastAsia" w:eastAsiaTheme="minorEastAsia" w:cstheme="minorEastAsia"/>
          <w:spacing w:val="-1"/>
          <w:sz w:val="24"/>
          <w:szCs w:val="24"/>
          <w:highlight w:val="none"/>
          <w:lang w:eastAsia="zh-CN"/>
        </w:rPr>
        <w:t>□</w:t>
      </w:r>
      <w:r>
        <w:rPr>
          <w:rFonts w:hint="eastAsia" w:asciiTheme="minorEastAsia" w:hAnsiTheme="minorEastAsia" w:eastAsiaTheme="minorEastAsia" w:cstheme="minorEastAsia"/>
          <w:spacing w:val="-1"/>
          <w:sz w:val="24"/>
          <w:szCs w:val="24"/>
          <w:highlight w:val="none"/>
        </w:rPr>
        <w:t>本项目/包为单一产品采购项目。</w:t>
      </w:r>
    </w:p>
    <w:p w14:paraId="37BCDB7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default" w:asciiTheme="minorEastAsia" w:hAnsiTheme="minorEastAsia" w:eastAsiaTheme="minorEastAsia" w:cstheme="minorEastAsia"/>
          <w:spacing w:val="-1"/>
          <w:sz w:val="24"/>
          <w:szCs w:val="24"/>
          <w:highlight w:val="none"/>
          <w:u w:val="single"/>
          <w:lang w:val="en-US" w:eastAsia="zh-CN"/>
        </w:rPr>
      </w:pPr>
      <w:r>
        <w:rPr>
          <w:rFonts w:hint="eastAsia" w:asciiTheme="minorEastAsia" w:hAnsiTheme="minorEastAsia" w:eastAsiaTheme="minorEastAsia" w:cstheme="minorEastAsia"/>
          <w:b/>
          <w:bCs/>
          <w:spacing w:val="-1"/>
          <w:sz w:val="24"/>
          <w:szCs w:val="24"/>
          <w:highlight w:val="none"/>
          <w:lang w:eastAsia="zh-CN"/>
        </w:rPr>
        <w:t>☑</w:t>
      </w:r>
      <w:r>
        <w:rPr>
          <w:rFonts w:hint="eastAsia" w:asciiTheme="minorEastAsia" w:hAnsiTheme="minorEastAsia" w:eastAsiaTheme="minorEastAsia" w:cstheme="minorEastAsia"/>
          <w:b/>
          <w:bCs/>
          <w:spacing w:val="-1"/>
          <w:sz w:val="24"/>
          <w:szCs w:val="24"/>
          <w:highlight w:val="none"/>
        </w:rPr>
        <w:t>本项目/包为非单一产品采购项目，核心产品为</w:t>
      </w:r>
      <w:r>
        <w:rPr>
          <w:rFonts w:hint="eastAsia" w:asciiTheme="minorEastAsia" w:hAnsiTheme="minorEastAsia" w:eastAsiaTheme="minorEastAsia" w:cstheme="minorEastAsia"/>
          <w:b/>
          <w:bCs/>
          <w:spacing w:val="-1"/>
          <w:sz w:val="24"/>
          <w:szCs w:val="24"/>
          <w:highlight w:val="none"/>
          <w:lang w:eastAsia="zh-CN"/>
        </w:rPr>
        <w:t>：</w:t>
      </w:r>
      <w:r>
        <w:rPr>
          <w:rFonts w:hint="eastAsia" w:asciiTheme="minorEastAsia" w:hAnsiTheme="minorEastAsia" w:eastAsiaTheme="minorEastAsia" w:cstheme="minorEastAsia"/>
          <w:spacing w:val="-1"/>
          <w:sz w:val="24"/>
          <w:szCs w:val="24"/>
          <w:highlight w:val="none"/>
          <w:u w:val="single"/>
          <w:lang w:val="en-US" w:eastAsia="zh-CN"/>
        </w:rPr>
        <w:t xml:space="preserve"> 网络存储设备    </w:t>
      </w:r>
    </w:p>
    <w:p w14:paraId="05ABE2B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239" w:firstLineChars="100"/>
        <w:jc w:val="both"/>
        <w:textAlignment w:val="baseline"/>
        <w:outlineLvl w:val="9"/>
        <w:rPr>
          <w:rFonts w:hint="eastAsia" w:asciiTheme="minorEastAsia" w:hAnsiTheme="minorEastAsia" w:eastAsiaTheme="minorEastAsia" w:cstheme="minorEastAsia"/>
          <w:b/>
          <w:bCs/>
          <w:color w:val="auto"/>
          <w:spacing w:val="-1"/>
          <w:sz w:val="24"/>
          <w:szCs w:val="24"/>
          <w:highlight w:val="none"/>
          <w:lang w:eastAsia="zh-CN"/>
        </w:rPr>
      </w:pPr>
      <w:r>
        <w:rPr>
          <w:rFonts w:hint="eastAsia" w:asciiTheme="minorEastAsia" w:hAnsiTheme="minorEastAsia" w:eastAsiaTheme="minorEastAsia" w:cstheme="minorEastAsia"/>
          <w:b/>
          <w:bCs/>
          <w:color w:val="auto"/>
          <w:spacing w:val="-1"/>
          <w:sz w:val="24"/>
          <w:szCs w:val="24"/>
          <w:highlight w:val="none"/>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b/>
          <w:bCs/>
          <w:color w:val="auto"/>
          <w:spacing w:val="-1"/>
          <w:sz w:val="24"/>
          <w:szCs w:val="24"/>
          <w:highlight w:val="none"/>
          <w:lang w:eastAsia="zh-CN"/>
        </w:rPr>
        <w:t>。</w:t>
      </w:r>
    </w:p>
    <w:p w14:paraId="6CE3051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outlineLvl w:val="2"/>
        <w:rPr>
          <w:rFonts w:hint="eastAsia" w:asciiTheme="minorEastAsia" w:hAnsiTheme="minorEastAsia" w:eastAsiaTheme="minorEastAsia" w:cstheme="minorEastAsia"/>
          <w:spacing w:val="1"/>
          <w:sz w:val="24"/>
          <w:szCs w:val="24"/>
          <w:highlight w:val="none"/>
          <w14:textOutline w14:w="1537" w14:cap="flat" w14:cmpd="sng">
            <w14:solidFill>
              <w14:srgbClr w14:val="000000"/>
            </w14:solidFill>
            <w14:prstDash w14:val="solid"/>
            <w14:miter w14:val="0"/>
          </w14:textOutline>
        </w:rPr>
      </w:pPr>
    </w:p>
    <w:p w14:paraId="34E1033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highlight w:val="none"/>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highlight w:val="none"/>
          <w14:textOutline w14:w="1537" w14:cap="flat" w14:cmpd="sng">
            <w14:solidFill>
              <w14:srgbClr w14:val="000000"/>
            </w14:solidFill>
            <w14:prstDash w14:val="solid"/>
            <w14:miter w14:val="0"/>
          </w14:textOutline>
        </w:rPr>
        <w:t>商务要求</w:t>
      </w:r>
    </w:p>
    <w:p w14:paraId="0FF00094">
      <w:pPr>
        <w:pStyle w:val="15"/>
        <w:rPr>
          <w:rFonts w:hint="eastAsia"/>
          <w:color w:val="auto"/>
          <w:sz w:val="22"/>
          <w:szCs w:val="22"/>
          <w:highlight w:val="none"/>
        </w:rPr>
      </w:pPr>
      <w:r>
        <w:rPr>
          <w:rFonts w:hint="eastAsia"/>
          <w:color w:val="auto"/>
          <w:sz w:val="22"/>
          <w:szCs w:val="22"/>
          <w:highlight w:val="none"/>
        </w:rPr>
        <w:t>1、交货期：合同签订后</w:t>
      </w:r>
      <w:r>
        <w:rPr>
          <w:rFonts w:hint="eastAsia"/>
          <w:color w:val="auto"/>
          <w:sz w:val="22"/>
          <w:szCs w:val="22"/>
          <w:highlight w:val="none"/>
          <w:lang w:val="en-US" w:eastAsia="zh-CN"/>
        </w:rPr>
        <w:t>30</w:t>
      </w:r>
      <w:r>
        <w:rPr>
          <w:rFonts w:hint="eastAsia"/>
          <w:color w:val="auto"/>
          <w:sz w:val="22"/>
          <w:szCs w:val="22"/>
          <w:highlight w:val="none"/>
        </w:rPr>
        <w:t>日历天内供货并安装调试完毕。</w:t>
      </w:r>
    </w:p>
    <w:p w14:paraId="71512E42">
      <w:pPr>
        <w:pStyle w:val="15"/>
        <w:rPr>
          <w:rFonts w:hint="eastAsia"/>
          <w:color w:val="auto"/>
          <w:sz w:val="22"/>
          <w:szCs w:val="22"/>
          <w:highlight w:val="none"/>
        </w:rPr>
      </w:pPr>
      <w:r>
        <w:rPr>
          <w:rFonts w:hint="eastAsia"/>
          <w:color w:val="auto"/>
          <w:sz w:val="22"/>
          <w:szCs w:val="22"/>
          <w:highlight w:val="none"/>
        </w:rPr>
        <w:t>2、交货地点：采购人指定地点。</w:t>
      </w:r>
    </w:p>
    <w:p w14:paraId="4ED8D114">
      <w:pPr>
        <w:pStyle w:val="15"/>
        <w:rPr>
          <w:rFonts w:hint="eastAsia"/>
          <w:color w:val="auto"/>
          <w:sz w:val="22"/>
          <w:szCs w:val="22"/>
          <w:highlight w:val="none"/>
        </w:rPr>
      </w:pPr>
      <w:r>
        <w:rPr>
          <w:rFonts w:hint="eastAsia"/>
          <w:color w:val="auto"/>
          <w:sz w:val="22"/>
          <w:szCs w:val="22"/>
          <w:highlight w:val="none"/>
        </w:rPr>
        <w:t>3、质量要求：设备质量标准高、兼容性强与原有设备无缝对接，符合国家相关质量标准，满足采购人需求。</w:t>
      </w:r>
    </w:p>
    <w:p w14:paraId="5C7F391F">
      <w:pPr>
        <w:pStyle w:val="15"/>
        <w:rPr>
          <w:rFonts w:hint="eastAsia"/>
          <w:color w:val="auto"/>
          <w:sz w:val="22"/>
          <w:szCs w:val="22"/>
          <w:highlight w:val="none"/>
        </w:rPr>
      </w:pPr>
      <w:r>
        <w:rPr>
          <w:rFonts w:hint="eastAsia"/>
          <w:color w:val="auto"/>
          <w:sz w:val="22"/>
          <w:szCs w:val="22"/>
          <w:highlight w:val="none"/>
        </w:rPr>
        <w:t>4、质保期：</w:t>
      </w:r>
      <w:r>
        <w:rPr>
          <w:rFonts w:hint="eastAsia" w:eastAsia="宋体"/>
          <w:color w:val="auto"/>
          <w:sz w:val="22"/>
          <w:szCs w:val="22"/>
          <w:highlight w:val="none"/>
          <w:lang w:val="en-US" w:eastAsia="zh-CN"/>
        </w:rPr>
        <w:t>一</w:t>
      </w:r>
      <w:r>
        <w:rPr>
          <w:rFonts w:hint="eastAsia"/>
          <w:color w:val="auto"/>
          <w:sz w:val="22"/>
          <w:szCs w:val="22"/>
          <w:highlight w:val="none"/>
        </w:rPr>
        <w:t>年。</w:t>
      </w:r>
    </w:p>
    <w:p w14:paraId="30854929">
      <w:pPr>
        <w:pStyle w:val="15"/>
        <w:rPr>
          <w:rFonts w:hint="eastAsia"/>
          <w:color w:val="auto"/>
          <w:sz w:val="22"/>
          <w:szCs w:val="22"/>
          <w:highlight w:val="none"/>
        </w:rPr>
      </w:pPr>
      <w:r>
        <w:rPr>
          <w:rFonts w:hint="eastAsia"/>
          <w:color w:val="auto"/>
          <w:sz w:val="22"/>
          <w:szCs w:val="22"/>
          <w:highlight w:val="none"/>
        </w:rPr>
        <w:t>5、付款方式：验收合格后，自中标单位开具增值税专用发票且具备付款条件之日起</w:t>
      </w:r>
      <w:r>
        <w:rPr>
          <w:rFonts w:hint="eastAsia" w:eastAsia="宋体"/>
          <w:color w:val="auto"/>
          <w:sz w:val="22"/>
          <w:szCs w:val="22"/>
          <w:highlight w:val="none"/>
          <w:lang w:val="en-US" w:eastAsia="zh-CN"/>
        </w:rPr>
        <w:t>5</w:t>
      </w:r>
      <w:r>
        <w:rPr>
          <w:rFonts w:hint="eastAsia"/>
          <w:color w:val="auto"/>
          <w:sz w:val="22"/>
          <w:szCs w:val="22"/>
          <w:highlight w:val="none"/>
        </w:rPr>
        <w:t>个工作日内一次性支付；</w:t>
      </w:r>
    </w:p>
    <w:p w14:paraId="12CA996A">
      <w:pPr>
        <w:pStyle w:val="15"/>
        <w:rPr>
          <w:rFonts w:hint="eastAsia"/>
          <w:sz w:val="22"/>
          <w:szCs w:val="22"/>
        </w:rPr>
      </w:pPr>
      <w:r>
        <w:rPr>
          <w:rFonts w:hint="eastAsia"/>
          <w:sz w:val="22"/>
          <w:szCs w:val="22"/>
        </w:rPr>
        <w:t>6、关于强制节能产品的要求。投标人所投产品如属于政府优先节能产品或环境</w:t>
      </w:r>
      <w:r>
        <w:rPr>
          <w:rFonts w:hint="eastAsia"/>
          <w:sz w:val="22"/>
          <w:szCs w:val="22"/>
          <w:lang w:val="en-US" w:eastAsia="zh-CN"/>
        </w:rPr>
        <w:t>标志</w:t>
      </w:r>
      <w:r>
        <w:rPr>
          <w:rFonts w:hint="eastAsia"/>
          <w:sz w:val="22"/>
          <w:szCs w:val="22"/>
        </w:rPr>
        <w:t>产品或无线局域网产品，应提供处于有效期之内的认证证书等相关证明，在评标时予以优先采购。</w:t>
      </w:r>
    </w:p>
    <w:p w14:paraId="7978A201">
      <w:pPr>
        <w:pStyle w:val="15"/>
        <w:rPr>
          <w:rFonts w:hint="eastAsia"/>
          <w:sz w:val="22"/>
          <w:szCs w:val="22"/>
        </w:rPr>
      </w:pPr>
      <w:r>
        <w:rPr>
          <w:rFonts w:hint="eastAsia"/>
          <w:sz w:val="22"/>
          <w:szCs w:val="22"/>
        </w:rPr>
        <w:t>7、验收标准及方式：</w:t>
      </w:r>
    </w:p>
    <w:p w14:paraId="60875E86">
      <w:pPr>
        <w:pStyle w:val="15"/>
        <w:rPr>
          <w:rFonts w:hint="eastAsia"/>
          <w:sz w:val="22"/>
          <w:szCs w:val="22"/>
        </w:rPr>
      </w:pPr>
      <w:r>
        <w:rPr>
          <w:rFonts w:hint="eastAsia"/>
          <w:sz w:val="22"/>
          <w:szCs w:val="22"/>
        </w:rPr>
        <w:t>7.1 货物送达采购人指定位置后由采购人明确的专人负责对货物品种、数量、规格等进行点验、接收；</w:t>
      </w:r>
    </w:p>
    <w:p w14:paraId="75D2CF13">
      <w:pPr>
        <w:pStyle w:val="15"/>
        <w:rPr>
          <w:rFonts w:hint="eastAsia"/>
          <w:sz w:val="22"/>
          <w:szCs w:val="22"/>
        </w:rPr>
      </w:pPr>
      <w:r>
        <w:rPr>
          <w:rFonts w:hint="eastAsia"/>
          <w:sz w:val="22"/>
          <w:szCs w:val="22"/>
        </w:rPr>
        <w:t>7.2 采购人委托第三方验收机构严格按照配备计划、产品标准、投标文件对货物进行验收，出具检验报告；相关费用由中标人承担；</w:t>
      </w:r>
    </w:p>
    <w:p w14:paraId="03D176AC">
      <w:pPr>
        <w:pStyle w:val="15"/>
        <w:rPr>
          <w:rFonts w:hint="eastAsia"/>
          <w:sz w:val="22"/>
          <w:szCs w:val="22"/>
        </w:rPr>
      </w:pPr>
      <w:r>
        <w:rPr>
          <w:rFonts w:hint="eastAsia"/>
          <w:sz w:val="22"/>
          <w:szCs w:val="22"/>
        </w:rPr>
        <w:t>7.3 经全部检验合格后供应商方可持验收报告及其它相关手续办理结款手续。</w:t>
      </w:r>
    </w:p>
    <w:p w14:paraId="54BAE279">
      <w:pPr>
        <w:pStyle w:val="15"/>
        <w:rPr>
          <w:rFonts w:hint="eastAsia"/>
          <w:sz w:val="22"/>
          <w:szCs w:val="22"/>
        </w:rPr>
      </w:pPr>
      <w:r>
        <w:rPr>
          <w:rFonts w:hint="eastAsia"/>
          <w:sz w:val="22"/>
          <w:szCs w:val="22"/>
        </w:rPr>
        <w:t>8、□有样品，样品提供要求、方式、摆放时间及地点☑无样品。</w:t>
      </w:r>
    </w:p>
    <w:p w14:paraId="04848BB5">
      <w:pPr>
        <w:pStyle w:val="15"/>
        <w:rPr>
          <w:rFonts w:hint="eastAsia"/>
          <w:sz w:val="22"/>
          <w:szCs w:val="22"/>
        </w:rPr>
      </w:pPr>
      <w:r>
        <w:rPr>
          <w:rFonts w:hint="eastAsia"/>
          <w:sz w:val="22"/>
          <w:szCs w:val="22"/>
        </w:rPr>
        <w:t>9、□有演示，演示要求、内容、方式及地点。鼓励使用不见面演示。</w:t>
      </w:r>
    </w:p>
    <w:p w14:paraId="2081609E">
      <w:pPr>
        <w:pStyle w:val="15"/>
        <w:rPr>
          <w:rFonts w:hint="eastAsia"/>
          <w:sz w:val="22"/>
          <w:szCs w:val="22"/>
        </w:rPr>
      </w:pPr>
      <w:r>
        <w:rPr>
          <w:rFonts w:hint="eastAsia"/>
          <w:sz w:val="22"/>
          <w:szCs w:val="22"/>
        </w:rPr>
        <w:t>☑无演示。</w:t>
      </w:r>
    </w:p>
    <w:p w14:paraId="644C93C9">
      <w:pPr>
        <w:pStyle w:val="15"/>
        <w:rPr>
          <w:rFonts w:hint="eastAsia"/>
          <w:sz w:val="22"/>
          <w:szCs w:val="22"/>
        </w:rPr>
      </w:pPr>
      <w:r>
        <w:rPr>
          <w:rFonts w:hint="eastAsia"/>
          <w:sz w:val="22"/>
          <w:szCs w:val="22"/>
        </w:rPr>
        <w:t>10、其他要求：无</w:t>
      </w:r>
    </w:p>
    <w:p w14:paraId="3DBECD60">
      <w:pP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r>
        <w:rPr>
          <w:rFonts w:hint="default"/>
          <w:lang w:val="en-US" w:eastAsia="zh-CN"/>
        </w:rPr>
        <w:br w:type="page"/>
      </w:r>
    </w:p>
    <w:p w14:paraId="47D2A3CA">
      <w:pPr>
        <w:pStyle w:val="6"/>
        <w:keepNext w:val="0"/>
        <w:keepLines w:val="0"/>
        <w:pageBreakBefore w:val="0"/>
        <w:numPr>
          <w:ilvl w:val="0"/>
          <w:numId w:val="0"/>
        </w:numPr>
        <w:kinsoku/>
        <w:wordWrap w:val="0"/>
        <w:overflowPunct/>
        <w:topLinePunct w:val="0"/>
        <w:bidi w:val="0"/>
        <w:spacing w:before="352" w:line="690" w:lineRule="exact"/>
        <w:ind w:firstLine="2148" w:firstLineChars="600"/>
        <w:jc w:val="both"/>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t xml:space="preserve">第三章 </w:t>
      </w:r>
      <w:r>
        <w:rPr>
          <w:rFonts w:hint="eastAsia" w:asciiTheme="minorEastAsia" w:hAnsiTheme="minorEastAsia" w:eastAsiaTheme="minorEastAsia" w:cstheme="minorEastAsia"/>
          <w:spacing w:val="-1"/>
          <w:position w:val="24"/>
          <w:sz w:val="36"/>
          <w:szCs w:val="36"/>
          <w14:textOutline w14:w="2306" w14:cap="flat" w14:cmpd="sng">
            <w14:solidFill>
              <w14:srgbClr w14:val="000000"/>
            </w14:solidFill>
            <w14:prstDash w14:val="solid"/>
            <w14:miter w14:val="0"/>
          </w14:textOutline>
        </w:rPr>
        <w:t>投标人须知</w:t>
      </w:r>
    </w:p>
    <w:p w14:paraId="6581CED6">
      <w:pPr>
        <w:pStyle w:val="6"/>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投标人须知表</w:t>
      </w:r>
    </w:p>
    <w:tbl>
      <w:tblPr>
        <w:tblStyle w:val="21"/>
        <w:tblW w:w="88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699"/>
        <w:gridCol w:w="7188"/>
      </w:tblGrid>
      <w:tr w14:paraId="26FCD0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12" w:space="0"/>
              <w:left w:val="single" w:color="auto" w:sz="12" w:space="0"/>
              <w:bottom w:val="single" w:color="auto" w:sz="6" w:space="0"/>
              <w:right w:val="single" w:color="auto" w:sz="6" w:space="0"/>
            </w:tcBorders>
            <w:noWrap w:val="0"/>
            <w:vAlign w:val="center"/>
          </w:tcPr>
          <w:p w14:paraId="5B7B31A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188" w:type="dxa"/>
            <w:tcBorders>
              <w:top w:val="single" w:color="auto" w:sz="12" w:space="0"/>
              <w:left w:val="single" w:color="auto" w:sz="6" w:space="0"/>
              <w:bottom w:val="single" w:color="auto" w:sz="6" w:space="0"/>
              <w:right w:val="single" w:color="auto" w:sz="12" w:space="0"/>
            </w:tcBorders>
            <w:noWrap w:val="0"/>
            <w:vAlign w:val="center"/>
          </w:tcPr>
          <w:p w14:paraId="667CB8C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14:paraId="7AC071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121D26B0">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02271AC8">
            <w:pPr>
              <w:pStyle w:val="36"/>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14:paraId="6042FE13">
            <w:pPr>
              <w:pStyle w:val="36"/>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货物</w:t>
            </w:r>
            <w:r>
              <w:rPr>
                <w:rFonts w:hint="eastAsia" w:asciiTheme="minorEastAsia" w:hAnsiTheme="minorEastAsia" w:eastAsiaTheme="minorEastAsia" w:cstheme="minorEastAsia"/>
                <w:spacing w:val="19"/>
                <w:sz w:val="24"/>
                <w:szCs w:val="24"/>
                <w:lang w:eastAsia="zh-CN"/>
              </w:rPr>
              <w:t>【供应商对</w:t>
            </w:r>
            <w:r>
              <w:rPr>
                <w:rFonts w:hint="eastAsia" w:asciiTheme="minorEastAsia" w:hAnsiTheme="minorEastAsia" w:eastAsiaTheme="minorEastAsia" w:cstheme="minorEastAsia"/>
                <w:spacing w:val="19"/>
                <w:sz w:val="24"/>
                <w:szCs w:val="24"/>
                <w:lang w:val="en-US" w:eastAsia="zh-CN"/>
              </w:rPr>
              <w:t>其</w:t>
            </w:r>
            <w:r>
              <w:rPr>
                <w:rFonts w:hint="eastAsia" w:asciiTheme="minorEastAsia" w:hAnsiTheme="minorEastAsia" w:eastAsiaTheme="minorEastAsia" w:cstheme="minorEastAsia"/>
                <w:spacing w:val="19"/>
                <w:sz w:val="24"/>
                <w:szCs w:val="24"/>
                <w:lang w:eastAsia="zh-CN"/>
              </w:rPr>
              <w:t>提供的产品</w:t>
            </w:r>
            <w:r>
              <w:rPr>
                <w:rFonts w:hint="eastAsia" w:asciiTheme="minorEastAsia" w:hAnsiTheme="minorEastAsia" w:eastAsiaTheme="minorEastAsia" w:cstheme="minorEastAsia"/>
                <w:spacing w:val="19"/>
                <w:sz w:val="24"/>
                <w:szCs w:val="24"/>
                <w:lang w:val="en-US" w:eastAsia="zh-CN"/>
              </w:rPr>
              <w:t>应</w:t>
            </w:r>
            <w:r>
              <w:rPr>
                <w:rFonts w:hint="eastAsia" w:asciiTheme="minorEastAsia" w:hAnsiTheme="minorEastAsia" w:eastAsiaTheme="minorEastAsia" w:cstheme="minorEastAsia"/>
                <w:spacing w:val="19"/>
                <w:sz w:val="24"/>
                <w:szCs w:val="24"/>
                <w:lang w:eastAsia="zh-CN"/>
              </w:rPr>
              <w:t>出具《关于符合本国产品标准的声明函》（</w:t>
            </w:r>
            <w:r>
              <w:rPr>
                <w:rFonts w:hint="eastAsia" w:asciiTheme="minorEastAsia" w:hAnsiTheme="minorEastAsia" w:eastAsiaTheme="minorEastAsia" w:cstheme="minorEastAsia"/>
                <w:spacing w:val="19"/>
                <w:sz w:val="24"/>
                <w:szCs w:val="24"/>
                <w:lang w:val="en-US" w:eastAsia="zh-CN"/>
              </w:rPr>
              <w:t>后附</w:t>
            </w:r>
            <w:r>
              <w:rPr>
                <w:rFonts w:hint="eastAsia" w:asciiTheme="minorEastAsia" w:hAnsiTheme="minorEastAsia" w:eastAsiaTheme="minorEastAsia" w:cstheme="minorEastAsia"/>
                <w:spacing w:val="19"/>
                <w:sz w:val="24"/>
                <w:szCs w:val="24"/>
                <w:lang w:eastAsia="zh-CN"/>
              </w:rPr>
              <w:t>）或财政部会同有关部门规定的有关证明文件。】</w:t>
            </w:r>
          </w:p>
        </w:tc>
      </w:tr>
      <w:tr w14:paraId="1431A8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49873D1D">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5C755521">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14:paraId="7EE0F447">
            <w:pPr>
              <w:pStyle w:val="36"/>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14:paraId="474073EA">
            <w:pPr>
              <w:pStyle w:val="36"/>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14:paraId="4E835E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top"/>
          </w:tcPr>
          <w:p w14:paraId="3D7F464E">
            <w:pPr>
              <w:pStyle w:val="36"/>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rPr>
            </w:pPr>
          </w:p>
          <w:p w14:paraId="5F6C0019">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20D38C46">
            <w:pPr>
              <w:pStyle w:val="36"/>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14:paraId="5AA1B8C5">
            <w:pPr>
              <w:pStyle w:val="36"/>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2"/>
                <w:sz w:val="24"/>
                <w:szCs w:val="24"/>
                <w:lang w:eastAsia="zh-CN"/>
              </w:rPr>
              <w:t>□</w:t>
            </w:r>
            <w:r>
              <w:rPr>
                <w:rFonts w:hint="eastAsia" w:asciiTheme="minorEastAsia" w:hAnsiTheme="minorEastAsia" w:eastAsiaTheme="minorEastAsia" w:cstheme="minorEastAsia"/>
                <w:color w:val="auto"/>
                <w:spacing w:val="-12"/>
                <w:sz w:val="24"/>
                <w:szCs w:val="24"/>
              </w:rPr>
              <w:t>组织，考察时间：</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年</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月</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日</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点</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分</w:t>
            </w:r>
          </w:p>
          <w:p w14:paraId="33D14754">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14:paraId="1A9692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3BD483ED">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rPr>
              <w:t>开标前答疑会</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1C7D2767">
            <w:pPr>
              <w:pStyle w:val="36"/>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14:paraId="6AAFCAFF">
            <w:pPr>
              <w:pStyle w:val="36"/>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14:paraId="3DCACB6A">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14:paraId="0FE11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5742B5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6521655B">
            <w:pPr>
              <w:pStyle w:val="36"/>
              <w:keepNext w:val="0"/>
              <w:keepLines w:val="0"/>
              <w:pageBreakBefore w:val="0"/>
              <w:widowControl/>
              <w:numPr>
                <w:ilvl w:val="0"/>
                <w:numId w:val="7"/>
              </w:numPr>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highlight w:val="none"/>
                <w:u w:val="single"/>
                <w:lang w:val="en-US" w:eastAsia="zh-CN" w:bidi="ar-SA"/>
              </w:rPr>
              <w:t xml:space="preserve"> 工业 </w:t>
            </w:r>
          </w:p>
          <w:p w14:paraId="1497820C">
            <w:pPr>
              <w:pStyle w:val="36"/>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□本项目专门面向中小企业采购。</w:t>
            </w:r>
          </w:p>
          <w:p w14:paraId="1D5E6B66">
            <w:pPr>
              <w:keepNext w:val="0"/>
              <w:keepLines w:val="0"/>
              <w:pageBreakBefore w:val="0"/>
              <w:widowControl/>
              <w:kinsoku/>
              <w:wordWrap w:val="0"/>
              <w:overflowPunct/>
              <w:topLinePunct w:val="0"/>
              <w:autoSpaceDE/>
              <w:autoSpaceDN/>
              <w:bidi w:val="0"/>
              <w:adjustRightInd/>
              <w:snapToGrid/>
              <w:jc w:val="both"/>
              <w:textAlignment w:val="auto"/>
              <w:rPr>
                <w:rFonts w:hint="default"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pacing w:val="-13"/>
                <w:sz w:val="24"/>
                <w:szCs w:val="24"/>
                <w:highlight w:val="none"/>
                <w:lang w:eastAsia="zh-CN"/>
              </w:rPr>
              <w:t>☑</w:t>
            </w:r>
            <w:r>
              <w:rPr>
                <w:rFonts w:hint="eastAsia" w:asciiTheme="minorEastAsia" w:hAnsiTheme="minorEastAsia" w:eastAsiaTheme="minorEastAsia" w:cstheme="minorEastAsia"/>
                <w:snapToGrid w:val="0"/>
                <w:color w:val="000000"/>
                <w:spacing w:val="29"/>
                <w:kern w:val="0"/>
                <w:sz w:val="24"/>
                <w:szCs w:val="24"/>
                <w:highlight w:val="none"/>
                <w:lang w:val="en-US" w:eastAsia="zh-CN" w:bidi="ar-SA"/>
              </w:rPr>
              <w:t>本项目小微企业价格折扣比例</w:t>
            </w:r>
            <w:r>
              <w:rPr>
                <w:rFonts w:hint="eastAsia" w:asciiTheme="minorEastAsia" w:hAnsiTheme="minorEastAsia" w:eastAsiaTheme="minorEastAsia" w:cstheme="minorEastAsia"/>
                <w:snapToGrid w:val="0"/>
                <w:color w:val="000000"/>
                <w:spacing w:val="29"/>
                <w:kern w:val="0"/>
                <w:sz w:val="24"/>
                <w:szCs w:val="24"/>
                <w:highlight w:val="none"/>
                <w:u w:val="single"/>
                <w:lang w:val="en-US" w:eastAsia="zh-CN" w:bidi="ar-SA"/>
              </w:rPr>
              <w:t xml:space="preserve"> </w:t>
            </w:r>
            <w:r>
              <w:rPr>
                <w:rFonts w:hint="eastAsia" w:asciiTheme="minorEastAsia" w:hAnsiTheme="minorEastAsia" w:eastAsiaTheme="minorEastAsia" w:cstheme="minorEastAsia"/>
                <w:snapToGrid w:val="0"/>
                <w:color w:val="auto"/>
                <w:spacing w:val="29"/>
                <w:kern w:val="0"/>
                <w:sz w:val="24"/>
                <w:szCs w:val="24"/>
                <w:highlight w:val="none"/>
                <w:u w:val="single"/>
                <w:lang w:val="en-US" w:eastAsia="zh-CN" w:bidi="ar-SA"/>
              </w:rPr>
              <w:t>15</w:t>
            </w:r>
            <w:r>
              <w:rPr>
                <w:rFonts w:hint="eastAsia" w:asciiTheme="minorEastAsia" w:hAnsiTheme="minorEastAsia" w:eastAsiaTheme="minorEastAsia" w:cstheme="minorEastAsia"/>
                <w:snapToGrid w:val="0"/>
                <w:color w:val="000000"/>
                <w:spacing w:val="29"/>
                <w:kern w:val="0"/>
                <w:sz w:val="24"/>
                <w:szCs w:val="24"/>
                <w:highlight w:val="none"/>
                <w:u w:val="single"/>
                <w:lang w:val="en-US" w:eastAsia="zh-CN" w:bidi="ar-SA"/>
              </w:rPr>
              <w:t xml:space="preserve"> </w:t>
            </w:r>
            <w:r>
              <w:rPr>
                <w:rFonts w:hint="eastAsia" w:asciiTheme="minorEastAsia" w:hAnsiTheme="minorEastAsia" w:eastAsiaTheme="minorEastAsia" w:cstheme="minorEastAsia"/>
                <w:snapToGrid w:val="0"/>
                <w:color w:val="000000"/>
                <w:spacing w:val="29"/>
                <w:kern w:val="0"/>
                <w:sz w:val="24"/>
                <w:szCs w:val="24"/>
                <w:highlight w:val="none"/>
                <w:lang w:val="en-US" w:eastAsia="zh-CN" w:bidi="ar-SA"/>
              </w:rPr>
              <w:t>%。</w:t>
            </w:r>
          </w:p>
          <w:p w14:paraId="0543E52C">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14:paraId="0406D2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top"/>
          </w:tcPr>
          <w:p w14:paraId="49F07BA7">
            <w:pPr>
              <w:pStyle w:val="36"/>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14:paraId="0605B745">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5C23111D">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投标报价的特殊规定：</w:t>
            </w:r>
          </w:p>
          <w:p w14:paraId="09D414B9">
            <w:pPr>
              <w:pStyle w:val="36"/>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14:paraId="6ED535AC">
            <w:pPr>
              <w:pStyle w:val="36"/>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14:paraId="290EC6CA">
            <w:pPr>
              <w:pStyle w:val="36"/>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14:paraId="44F37B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55EDBC60">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F5ACDB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color w:val="auto"/>
                <w:spacing w:val="-12"/>
                <w:sz w:val="24"/>
                <w:szCs w:val="24"/>
                <w:highlight w:val="none"/>
                <w:u w:val="single"/>
                <w:lang w:val="en-US" w:eastAsia="zh-CN"/>
              </w:rPr>
              <w:t xml:space="preserve"> 105.612</w:t>
            </w:r>
            <w:r>
              <w:rPr>
                <w:rFonts w:hint="eastAsia" w:asciiTheme="minorEastAsia" w:hAnsiTheme="minorEastAsia" w:eastAsiaTheme="minorEastAsia" w:cstheme="minorEastAsia"/>
                <w:b w:val="0"/>
                <w:bCs w:val="0"/>
                <w:color w:val="auto"/>
                <w:spacing w:val="-12"/>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auto"/>
                <w:spacing w:val="29"/>
                <w:kern w:val="0"/>
                <w:sz w:val="24"/>
                <w:szCs w:val="24"/>
                <w:highlight w:val="none"/>
                <w:lang w:val="en-US" w:eastAsia="zh-CN" w:bidi="ar-SA"/>
              </w:rPr>
              <w:t>万元</w:t>
            </w:r>
          </w:p>
        </w:tc>
      </w:tr>
      <w:tr w14:paraId="4713A4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67255C6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投标有效期</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36BB3E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14:paraId="0F1840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442774E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投标文件</w:t>
            </w:r>
            <w:r>
              <w:rPr>
                <w:rFonts w:hint="eastAsia" w:asciiTheme="minorEastAsia" w:hAnsiTheme="minorEastAsia" w:eastAsiaTheme="minorEastAsia" w:cstheme="minorEastAsia"/>
                <w:color w:val="auto"/>
                <w:sz w:val="24"/>
                <w:szCs w:val="24"/>
                <w:lang w:eastAsia="zh-CN"/>
              </w:rPr>
              <w:t>数量</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553CFE0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电子投标文件：1份</w:t>
            </w:r>
          </w:p>
        </w:tc>
      </w:tr>
      <w:tr w14:paraId="5172FE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15601F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投标截止时间</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6E2751E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2"/>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2"/>
                <w:sz w:val="24"/>
                <w:szCs w:val="24"/>
                <w:highlight w:val="none"/>
              </w:rPr>
              <w:t>年</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9</w:t>
            </w:r>
            <w:r>
              <w:rPr>
                <w:rFonts w:hint="eastAsia" w:asciiTheme="minorEastAsia" w:hAnsiTheme="minorEastAsia" w:eastAsiaTheme="minorEastAsia" w:cstheme="minorEastAsia"/>
                <w:color w:val="auto"/>
                <w:spacing w:val="-12"/>
                <w:sz w:val="24"/>
                <w:szCs w:val="24"/>
                <w:highlight w:val="none"/>
              </w:rPr>
              <w:t>月</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18</w:t>
            </w:r>
            <w:r>
              <w:rPr>
                <w:rFonts w:hint="eastAsia" w:asciiTheme="minorEastAsia" w:hAnsiTheme="minorEastAsia" w:eastAsiaTheme="minorEastAsia" w:cstheme="minorEastAsia"/>
                <w:color w:val="auto"/>
                <w:spacing w:val="-12"/>
                <w:sz w:val="24"/>
                <w:szCs w:val="24"/>
                <w:highlight w:val="none"/>
              </w:rPr>
              <w:t>日</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9 </w:t>
            </w:r>
            <w:r>
              <w:rPr>
                <w:rFonts w:hint="eastAsia" w:asciiTheme="minorEastAsia" w:hAnsiTheme="minorEastAsia" w:eastAsiaTheme="minorEastAsia" w:cstheme="minorEastAsia"/>
                <w:color w:val="auto"/>
                <w:spacing w:val="-12"/>
                <w:sz w:val="24"/>
                <w:szCs w:val="24"/>
                <w:highlight w:val="none"/>
              </w:rPr>
              <w:t>点</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00 </w:t>
            </w:r>
            <w:r>
              <w:rPr>
                <w:rFonts w:hint="eastAsia" w:asciiTheme="minorEastAsia" w:hAnsiTheme="minorEastAsia" w:eastAsiaTheme="minorEastAsia" w:cstheme="minorEastAsia"/>
                <w:color w:val="auto"/>
                <w:spacing w:val="-12"/>
                <w:sz w:val="24"/>
                <w:szCs w:val="24"/>
                <w:highlight w:val="none"/>
              </w:rPr>
              <w:t>分</w:t>
            </w:r>
            <w:r>
              <w:rPr>
                <w:rFonts w:hint="eastAsia" w:asciiTheme="minorEastAsia" w:hAnsiTheme="minorEastAsia" w:eastAsiaTheme="minorEastAsia" w:cstheme="minorEastAsia"/>
                <w:snapToGrid w:val="0"/>
                <w:color w:val="auto"/>
                <w:spacing w:val="14"/>
                <w:kern w:val="0"/>
                <w:sz w:val="24"/>
                <w:szCs w:val="24"/>
                <w:highlight w:val="none"/>
                <w:lang w:val="en-US" w:eastAsia="zh-CN" w:bidi="ar-SA"/>
              </w:rPr>
              <w:t>（北京时间）</w:t>
            </w:r>
          </w:p>
        </w:tc>
      </w:tr>
      <w:tr w14:paraId="500963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976990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开标时间</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EB31B61">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pacing w:val="-12"/>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2"/>
                <w:sz w:val="24"/>
                <w:szCs w:val="24"/>
                <w:highlight w:val="none"/>
              </w:rPr>
              <w:t>年</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9</w:t>
            </w:r>
            <w:r>
              <w:rPr>
                <w:rFonts w:hint="eastAsia" w:asciiTheme="minorEastAsia" w:hAnsiTheme="minorEastAsia" w:eastAsiaTheme="minorEastAsia" w:cstheme="minorEastAsia"/>
                <w:color w:val="auto"/>
                <w:spacing w:val="-12"/>
                <w:sz w:val="24"/>
                <w:szCs w:val="24"/>
                <w:highlight w:val="none"/>
              </w:rPr>
              <w:t>月</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18</w:t>
            </w:r>
            <w:r>
              <w:rPr>
                <w:rFonts w:hint="eastAsia" w:asciiTheme="minorEastAsia" w:hAnsiTheme="minorEastAsia" w:eastAsiaTheme="minorEastAsia" w:cstheme="minorEastAsia"/>
                <w:color w:val="auto"/>
                <w:spacing w:val="-12"/>
                <w:sz w:val="24"/>
                <w:szCs w:val="24"/>
                <w:highlight w:val="none"/>
              </w:rPr>
              <w:t>日</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9 </w:t>
            </w:r>
            <w:r>
              <w:rPr>
                <w:rFonts w:hint="eastAsia" w:asciiTheme="minorEastAsia" w:hAnsiTheme="minorEastAsia" w:eastAsiaTheme="minorEastAsia" w:cstheme="minorEastAsia"/>
                <w:color w:val="auto"/>
                <w:spacing w:val="-12"/>
                <w:sz w:val="24"/>
                <w:szCs w:val="24"/>
                <w:highlight w:val="none"/>
              </w:rPr>
              <w:t>点</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00 </w:t>
            </w:r>
            <w:r>
              <w:rPr>
                <w:rFonts w:hint="eastAsia" w:asciiTheme="minorEastAsia" w:hAnsiTheme="minorEastAsia" w:eastAsiaTheme="minorEastAsia" w:cstheme="minorEastAsia"/>
                <w:color w:val="auto"/>
                <w:spacing w:val="-12"/>
                <w:sz w:val="24"/>
                <w:szCs w:val="24"/>
                <w:highlight w:val="none"/>
              </w:rPr>
              <w:t>分</w:t>
            </w:r>
            <w:r>
              <w:rPr>
                <w:rFonts w:hint="eastAsia" w:asciiTheme="minorEastAsia" w:hAnsiTheme="minorEastAsia" w:eastAsiaTheme="minorEastAsia" w:cstheme="minorEastAsia"/>
                <w:color w:val="auto"/>
                <w:spacing w:val="-15"/>
                <w:sz w:val="24"/>
                <w:szCs w:val="24"/>
                <w:highlight w:val="none"/>
              </w:rPr>
              <w:t>（北京时间）</w:t>
            </w:r>
          </w:p>
        </w:tc>
      </w:tr>
      <w:tr w14:paraId="2559A6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64175C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核心产品</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6E2D3AC4">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pacing w:val="-1"/>
                <w:sz w:val="24"/>
                <w:szCs w:val="24"/>
                <w:highlight w:val="none"/>
                <w:u w:val="single"/>
                <w:lang w:val="en-US" w:eastAsia="zh-CN"/>
              </w:rPr>
              <w:t xml:space="preserve"> 网络存储设备  </w:t>
            </w:r>
          </w:p>
        </w:tc>
      </w:tr>
      <w:tr w14:paraId="0587BB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61B620F6">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838F29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综合评分法</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val="en-US" w:eastAsia="zh-CN"/>
              </w:rPr>
              <w:t>最低评标价法</w:t>
            </w:r>
          </w:p>
        </w:tc>
      </w:tr>
      <w:tr w14:paraId="549667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464BAC6A">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是否采用“暗标”评审</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7D6DD048">
            <w:pPr>
              <w:pStyle w:val="36"/>
              <w:keepNext w:val="0"/>
              <w:keepLines w:val="0"/>
              <w:pageBreakBefore w:val="0"/>
              <w:kinsoku/>
              <w:wordWrap w:val="0"/>
              <w:overflowPunct/>
              <w:topLinePunct w:val="0"/>
              <w:bidi w:val="0"/>
              <w:spacing w:line="223" w:lineRule="auto"/>
              <w:ind w:left="126"/>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lang w:val="en-US" w:eastAsia="zh-CN"/>
              </w:rPr>
              <w:t xml:space="preserve">否 </w:t>
            </w: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lang w:val="en-US" w:eastAsia="zh-CN"/>
              </w:rPr>
              <w:t>是，具体要求详见投标人须知</w:t>
            </w:r>
          </w:p>
        </w:tc>
      </w:tr>
      <w:tr w14:paraId="488A5D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5CEA247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451324DB">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napToGrid w:val="0"/>
                <w:color w:val="000000"/>
                <w:kern w:val="0"/>
                <w:sz w:val="24"/>
                <w:szCs w:val="24"/>
                <w:lang w:val="en-US" w:eastAsia="zh-CN" w:bidi="ar-SA"/>
              </w:rPr>
              <w:t>采购人是否委托评标委员会直接确定中标人：□是☑否</w:t>
            </w:r>
          </w:p>
        </w:tc>
      </w:tr>
      <w:tr w14:paraId="273B5E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8"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57069B6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代理费</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50F55398">
            <w:pPr>
              <w:pStyle w:val="36"/>
              <w:keepNext w:val="0"/>
              <w:keepLines w:val="0"/>
              <w:pageBreakBefore w:val="0"/>
              <w:kinsoku/>
              <w:wordWrap w:val="0"/>
              <w:overflowPunct/>
              <w:topLinePunct w:val="0"/>
              <w:bidi w:val="0"/>
              <w:spacing w:before="1" w:line="220" w:lineRule="auto"/>
              <w:ind w:left="126"/>
              <w:jc w:val="both"/>
              <w:rPr>
                <w:rFonts w:hint="default"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z w:val="24"/>
                <w:szCs w:val="24"/>
                <w:lang w:val="en-US" w:eastAsia="zh-CN"/>
              </w:rPr>
              <w:t>集中采购机构不收费</w:t>
            </w:r>
          </w:p>
        </w:tc>
      </w:tr>
    </w:tbl>
    <w:p w14:paraId="1E49D279">
      <w:pPr>
        <w:pStyle w:val="6"/>
        <w:keepNext w:val="0"/>
        <w:keepLines w:val="0"/>
        <w:pageBreakBefore w:val="0"/>
        <w:kinsoku/>
        <w:wordWrap w:val="0"/>
        <w:overflowPunct/>
        <w:topLinePunct w:val="0"/>
        <w:bidi w:val="0"/>
        <w:spacing w:before="91" w:line="221" w:lineRule="auto"/>
        <w:jc w:val="both"/>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pPr>
    </w:p>
    <w:p w14:paraId="4EF2B227">
      <w:pPr>
        <w:pStyle w:val="6"/>
        <w:keepNext w:val="0"/>
        <w:keepLines w:val="0"/>
        <w:pageBreakBefore w:val="0"/>
        <w:kinsoku/>
        <w:wordWrap w:val="0"/>
        <w:overflowPunct/>
        <w:topLinePunct w:val="0"/>
        <w:bidi w:val="0"/>
        <w:spacing w:before="91" w:line="221"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t>投标人须知</w:t>
      </w:r>
    </w:p>
    <w:p w14:paraId="1B9E3196">
      <w:pPr>
        <w:pStyle w:val="6"/>
        <w:keepNext w:val="0"/>
        <w:keepLines w:val="0"/>
        <w:pageBreakBefore w:val="0"/>
        <w:kinsoku/>
        <w:wordWrap w:val="0"/>
        <w:overflowPunct/>
        <w:topLinePunct w:val="0"/>
        <w:bidi w:val="0"/>
        <w:spacing w:before="268" w:line="360" w:lineRule="auto"/>
        <w:jc w:val="both"/>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pacing w:val="-10"/>
          <w:sz w:val="24"/>
          <w:szCs w:val="24"/>
          <w14:textOutline w14:w="1800" w14:cap="flat" w14:cmpd="sng">
            <w14:solidFill>
              <w14:srgbClr w14:val="000000"/>
            </w14:solidFill>
            <w14:prstDash w14:val="solid"/>
            <w14:miter w14:val="0"/>
          </w14:textOutline>
        </w:rPr>
        <w:t>一</w:t>
      </w:r>
      <w:r>
        <w:rPr>
          <w:rFonts w:hint="eastAsia" w:asciiTheme="minorEastAsia" w:hAnsiTheme="minorEastAsia" w:eastAsiaTheme="minorEastAsia" w:cstheme="minorEastAsia"/>
          <w:spacing w:val="-10"/>
          <w:sz w:val="24"/>
          <w:szCs w:val="24"/>
          <w:lang w:eastAsia="zh-CN"/>
          <w14:textOutline w14:w="1800"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10"/>
          <w:sz w:val="24"/>
          <w:szCs w:val="24"/>
          <w14:textOutline w14:w="1800" w14:cap="flat" w14:cmpd="sng">
            <w14:solidFill>
              <w14:srgbClr w14:val="000000"/>
            </w14:solidFill>
            <w14:prstDash w14:val="solid"/>
            <w14:miter w14:val="0"/>
          </w14:textOutline>
        </w:rPr>
        <w:t>说明</w:t>
      </w:r>
    </w:p>
    <w:p w14:paraId="2469A70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采购人、采购代理机构、投标人、联合体</w:t>
      </w:r>
    </w:p>
    <w:p w14:paraId="6F54C5B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p w14:paraId="1DA6DAE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投标人（也称供应商、申请人）：指向采购人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14:paraId="1CD71C3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14:paraId="3AB002F5">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资金来源、项目属性、科研仪器设备采购、核心产品</w:t>
      </w:r>
    </w:p>
    <w:p w14:paraId="0D60033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0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color w:val="auto"/>
          <w:spacing w:val="7"/>
          <w:sz w:val="24"/>
          <w:szCs w:val="24"/>
        </w:rPr>
        <w:t>资金来源为财政性</w:t>
      </w:r>
      <w:r>
        <w:rPr>
          <w:rFonts w:hint="eastAsia" w:asciiTheme="minorEastAsia" w:hAnsiTheme="minorEastAsia" w:eastAsiaTheme="minorEastAsia" w:cstheme="minorEastAsia"/>
          <w:color w:val="auto"/>
          <w:spacing w:val="7"/>
          <w:sz w:val="24"/>
          <w:szCs w:val="24"/>
          <w:highlight w:val="none"/>
        </w:rPr>
        <w:t>资金</w:t>
      </w:r>
      <w:r>
        <w:rPr>
          <w:rFonts w:hint="eastAsia" w:asciiTheme="minorEastAsia" w:hAnsiTheme="minorEastAsia" w:eastAsiaTheme="minorEastAsia" w:cstheme="minorEastAsia"/>
          <w:color w:val="auto"/>
          <w:spacing w:val="7"/>
          <w:sz w:val="24"/>
          <w:szCs w:val="24"/>
          <w:highlight w:val="none"/>
          <w:u w:val="single"/>
          <w:lang w:val="en-US" w:eastAsia="zh-CN"/>
        </w:rPr>
        <w:t xml:space="preserve"> </w:t>
      </w:r>
      <w:r>
        <w:rPr>
          <w:rFonts w:hint="eastAsia" w:asciiTheme="minorEastAsia" w:hAnsiTheme="minorEastAsia" w:eastAsiaTheme="minorEastAsia" w:cstheme="minorEastAsia"/>
          <w:spacing w:val="5"/>
          <w:sz w:val="24"/>
          <w:szCs w:val="24"/>
          <w:highlight w:val="none"/>
          <w:u w:val="single"/>
          <w:lang w:val="en-US" w:eastAsia="zh-CN"/>
        </w:rPr>
        <w:t>105.612</w:t>
      </w:r>
      <w:r>
        <w:rPr>
          <w:rFonts w:hint="eastAsia" w:asciiTheme="minorEastAsia" w:hAnsiTheme="minorEastAsia" w:eastAsiaTheme="minorEastAsia" w:cstheme="minorEastAsia"/>
          <w:color w:val="auto"/>
          <w:spacing w:val="7"/>
          <w:sz w:val="24"/>
          <w:szCs w:val="24"/>
          <w:highlight w:val="none"/>
          <w:u w:val="single"/>
          <w:lang w:val="en-US" w:eastAsia="zh-CN"/>
        </w:rPr>
        <w:t xml:space="preserve"> </w:t>
      </w:r>
      <w:r>
        <w:rPr>
          <w:rFonts w:hint="eastAsia" w:asciiTheme="minorEastAsia" w:hAnsiTheme="minorEastAsia" w:eastAsiaTheme="minorEastAsia" w:cstheme="minorEastAsia"/>
          <w:color w:val="auto"/>
          <w:spacing w:val="7"/>
          <w:sz w:val="24"/>
          <w:szCs w:val="24"/>
          <w:highlight w:val="none"/>
          <w:u w:val="none"/>
          <w:lang w:val="en-US" w:eastAsia="zh-CN"/>
        </w:rPr>
        <w:t>万元</w:t>
      </w:r>
    </w:p>
    <w:p w14:paraId="3575E69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08" w:firstLineChars="200"/>
        <w:jc w:val="both"/>
        <w:textAlignment w:val="baseline"/>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2.2</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项目属性见《</w:t>
      </w:r>
      <w:r>
        <w:rPr>
          <w:rFonts w:hint="eastAsia" w:asciiTheme="minorEastAsia" w:hAnsiTheme="minorEastAsia" w:eastAsiaTheme="minorEastAsia" w:cstheme="minorEastAsia"/>
          <w:spacing w:val="7"/>
          <w:sz w:val="24"/>
          <w:szCs w:val="24"/>
          <w:lang w:eastAsia="zh-CN"/>
        </w:rPr>
        <w:t>投标人须知表</w:t>
      </w:r>
      <w:r>
        <w:rPr>
          <w:rFonts w:hint="eastAsia" w:asciiTheme="minorEastAsia" w:hAnsiTheme="minorEastAsia" w:eastAsiaTheme="minorEastAsia" w:cstheme="minorEastAsia"/>
          <w:spacing w:val="7"/>
          <w:sz w:val="24"/>
          <w:szCs w:val="24"/>
        </w:rPr>
        <w:t>》。</w:t>
      </w:r>
    </w:p>
    <w:p w14:paraId="59D0AC7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8"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
          <w:sz w:val="24"/>
          <w:szCs w:val="24"/>
        </w:rPr>
        <w:t>2.3</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是否属于科研仪器设备采购见《</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3"/>
          <w:sz w:val="24"/>
          <w:szCs w:val="24"/>
          <w:lang w:val="en-US" w:eastAsia="zh-CN"/>
        </w:rPr>
        <w:t xml:space="preserve"> </w:t>
      </w:r>
    </w:p>
    <w:p w14:paraId="2AE4620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7"/>
          <w:sz w:val="24"/>
          <w:szCs w:val="24"/>
        </w:rPr>
        <w:t>2.4</w:t>
      </w:r>
      <w:r>
        <w:rPr>
          <w:rFonts w:hint="eastAsia" w:asciiTheme="minorEastAsia" w:hAnsiTheme="minorEastAsia" w:eastAsiaTheme="minorEastAsia" w:cstheme="minorEastAsia"/>
          <w:spacing w:val="-4"/>
          <w:position w:val="17"/>
          <w:sz w:val="24"/>
          <w:szCs w:val="24"/>
          <w:lang w:val="en-US" w:eastAsia="zh-CN"/>
        </w:rPr>
        <w:t xml:space="preserve"> </w:t>
      </w:r>
      <w:r>
        <w:rPr>
          <w:rFonts w:hint="eastAsia" w:asciiTheme="minorEastAsia" w:hAnsiTheme="minorEastAsia" w:eastAsiaTheme="minorEastAsia" w:cstheme="minorEastAsia"/>
          <w:spacing w:val="-4"/>
          <w:position w:val="17"/>
          <w:sz w:val="24"/>
          <w:szCs w:val="24"/>
        </w:rPr>
        <w:t>核心产品见《</w:t>
      </w:r>
      <w:r>
        <w:rPr>
          <w:rFonts w:hint="eastAsia" w:asciiTheme="minorEastAsia" w:hAnsiTheme="minorEastAsia" w:eastAsiaTheme="minorEastAsia" w:cstheme="minorEastAsia"/>
          <w:spacing w:val="-4"/>
          <w:position w:val="17"/>
          <w:sz w:val="24"/>
          <w:szCs w:val="24"/>
          <w:lang w:eastAsia="zh-CN"/>
        </w:rPr>
        <w:t>投标人须知表</w:t>
      </w:r>
      <w:r>
        <w:rPr>
          <w:rFonts w:hint="eastAsia" w:asciiTheme="minorEastAsia" w:hAnsiTheme="minorEastAsia" w:eastAsiaTheme="minorEastAsia" w:cstheme="minorEastAsia"/>
          <w:spacing w:val="-4"/>
          <w:position w:val="17"/>
          <w:sz w:val="24"/>
          <w:szCs w:val="24"/>
        </w:rPr>
        <w:t>》。</w:t>
      </w:r>
    </w:p>
    <w:p w14:paraId="437C4CE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14:paraId="10BA963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若《</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织现场考察、召开开标前答疑会，则投</w:t>
      </w:r>
      <w:r>
        <w:rPr>
          <w:rFonts w:hint="eastAsia" w:asciiTheme="minorEastAsia" w:hAnsiTheme="minorEastAsia" w:eastAsiaTheme="minorEastAsia" w:cstheme="minorEastAsia"/>
          <w:spacing w:val="-3"/>
          <w:sz w:val="24"/>
          <w:szCs w:val="24"/>
        </w:rPr>
        <w:t>标人应按要求在规定的时间和地点参加。</w:t>
      </w:r>
    </w:p>
    <w:p w14:paraId="5CA0008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由于未参加现场考察或开标前答疑会而导致对项目实际情况不了解，影响投标文件编制、投标报价准确性、综合因素响应不全面等问题的，由投标人自行承担不利评审后果。</w:t>
      </w:r>
    </w:p>
    <w:p w14:paraId="5466B36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14:paraId="1BA63EA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14:paraId="089EE40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14:paraId="753FCBE5">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物、工程、服务参与投标，则具体要求见第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14:paraId="512736D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rPr>
        <w:t>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5"/>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14:paraId="601B90A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14:paraId="75FCCF9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14:paraId="3F2FE34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14:paraId="45EC0B1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14:paraId="7B1C245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14:paraId="5EE57CD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14:paraId="71640B1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14:paraId="266A08C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14:paraId="65A15CA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14:paraId="4DEEB01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14:paraId="1DA703A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14:paraId="23A6E2D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14:paraId="61FF557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14:paraId="3117605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14:paraId="24C6DAC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14:paraId="5DBB54C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14:paraId="4AAB298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5737E60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eastAsia="zh-CN"/>
        </w:rPr>
        <w:t>公开招标公告</w:t>
      </w:r>
      <w:r>
        <w:rPr>
          <w:rFonts w:hint="eastAsia" w:asciiTheme="minorEastAsia" w:hAnsiTheme="minorEastAsia" w:eastAsiaTheme="minorEastAsia" w:cstheme="minorEastAsia"/>
          <w:spacing w:val="-8"/>
          <w:sz w:val="24"/>
          <w:szCs w:val="24"/>
        </w:rPr>
        <w:t>》。</w:t>
      </w:r>
    </w:p>
    <w:p w14:paraId="69CAA69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eastAsia="zh-CN"/>
        </w:rPr>
        <w:t>投标人须知表</w:t>
      </w:r>
      <w:r>
        <w:rPr>
          <w:rFonts w:hint="eastAsia" w:asciiTheme="minorEastAsia" w:hAnsiTheme="minorEastAsia" w:eastAsiaTheme="minorEastAsia" w:cstheme="minorEastAsia"/>
          <w:spacing w:val="-8"/>
          <w:sz w:val="24"/>
          <w:szCs w:val="24"/>
        </w:rPr>
        <w:t>》。</w:t>
      </w:r>
    </w:p>
    <w:p w14:paraId="00FC05C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w:t>
      </w:r>
    </w:p>
    <w:p w14:paraId="33C38C8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w:t>
      </w:r>
      <w:r>
        <w:rPr>
          <w:rFonts w:hint="eastAsia" w:asciiTheme="minorEastAsia" w:hAnsiTheme="minorEastAsia" w:eastAsiaTheme="minorEastAsia" w:cstheme="minorEastAsia"/>
          <w:spacing w:val="-8"/>
          <w:sz w:val="24"/>
          <w:szCs w:val="24"/>
          <w:lang w:val="en-US" w:eastAsia="zh-CN"/>
        </w:rPr>
        <w:t>采购节能产品、环境标志产品</w:t>
      </w:r>
    </w:p>
    <w:p w14:paraId="0BE8E21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en-US"/>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lang w:val="en-US" w:eastAsia="en-US"/>
        </w:rPr>
        <w:t>.3.1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val="en-US" w:eastAsia="en-US"/>
        </w:rPr>
        <w:t>政府采购节能产品、环境标志产品实施品目清单管理。财政部、</w:t>
      </w:r>
      <w:r>
        <w:rPr>
          <w:rFonts w:hint="default" w:asciiTheme="minorEastAsia" w:hAnsiTheme="minorEastAsia" w:eastAsiaTheme="minorEastAsia" w:cstheme="minorEastAsia"/>
          <w:spacing w:val="-8"/>
          <w:sz w:val="24"/>
          <w:szCs w:val="24"/>
          <w:lang w:val="en-US" w:eastAsia="en-US"/>
        </w:rPr>
        <w:fldChar w:fldCharType="begin"/>
      </w:r>
      <w:r>
        <w:rPr>
          <w:rFonts w:hint="default" w:asciiTheme="minorEastAsia" w:hAnsiTheme="minorEastAsia" w:eastAsiaTheme="minorEastAsia" w:cstheme="minorEastAsia"/>
          <w:spacing w:val="-8"/>
          <w:sz w:val="24"/>
          <w:szCs w:val="24"/>
          <w:lang w:val="en-US" w:eastAsia="en-US"/>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spacing w:val="-8"/>
          <w:sz w:val="24"/>
          <w:szCs w:val="24"/>
          <w:lang w:val="en-US" w:eastAsia="en-US"/>
        </w:rPr>
        <w:fldChar w:fldCharType="separate"/>
      </w:r>
      <w:r>
        <w:rPr>
          <w:rFonts w:hint="default" w:asciiTheme="minorEastAsia" w:hAnsiTheme="minorEastAsia" w:eastAsiaTheme="minorEastAsia" w:cstheme="minorEastAsia"/>
          <w:spacing w:val="-8"/>
          <w:sz w:val="24"/>
          <w:szCs w:val="24"/>
          <w:lang w:val="en-US" w:eastAsia="en-US"/>
        </w:rPr>
        <w:t>中华人民共和国国家发展和改革委员会</w:t>
      </w:r>
      <w:r>
        <w:rPr>
          <w:rFonts w:hint="default" w:asciiTheme="minorEastAsia" w:hAnsiTheme="minorEastAsia" w:eastAsiaTheme="minorEastAsia" w:cstheme="minorEastAsia"/>
          <w:spacing w:val="-8"/>
          <w:sz w:val="24"/>
          <w:szCs w:val="24"/>
          <w:lang w:val="en-US" w:eastAsia="en-US"/>
        </w:rPr>
        <w:fldChar w:fldCharType="end"/>
      </w:r>
      <w:r>
        <w:rPr>
          <w:rFonts w:hint="eastAsia" w:asciiTheme="minorEastAsia" w:hAnsiTheme="minorEastAsia" w:eastAsiaTheme="minorEastAsia" w:cstheme="minorEastAsia"/>
          <w:spacing w:val="-8"/>
          <w:sz w:val="24"/>
          <w:szCs w:val="24"/>
          <w:lang w:val="en-US" w:eastAsia="en-US"/>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30CE932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b w:val="0"/>
          <w:snapToGrid w:val="0"/>
          <w:color w:val="000000"/>
          <w:spacing w:val="-8"/>
          <w:kern w:val="0"/>
          <w:sz w:val="24"/>
          <w:szCs w:val="24"/>
          <w:lang w:val="en-US" w:eastAsia="zh-CN" w:bidi="ar-SA"/>
        </w:rPr>
        <w:t>4</w:t>
      </w:r>
      <w:r>
        <w:rPr>
          <w:rFonts w:hint="eastAsia" w:asciiTheme="minorEastAsia" w:hAnsiTheme="minorEastAsia" w:eastAsiaTheme="minorEastAsia" w:cstheme="minorEastAsia"/>
          <w:b w:val="0"/>
          <w:snapToGrid w:val="0"/>
          <w:color w:val="000000"/>
          <w:spacing w:val="-8"/>
          <w:kern w:val="0"/>
          <w:sz w:val="24"/>
          <w:szCs w:val="24"/>
          <w:lang w:val="en-US" w:eastAsia="en-US" w:bidi="ar-SA"/>
        </w:rPr>
        <w:t>.3.2</w:t>
      </w:r>
      <w:r>
        <w:rPr>
          <w:rFonts w:hint="eastAsia" w:asciiTheme="minorEastAsia" w:hAnsiTheme="minorEastAsia" w:eastAsiaTheme="minorEastAsia" w:cstheme="minorEastAsia"/>
          <w:b w:val="0"/>
          <w:snapToGrid w:val="0"/>
          <w:color w:val="000000"/>
          <w:spacing w:val="-8"/>
          <w:kern w:val="0"/>
          <w:sz w:val="24"/>
          <w:szCs w:val="24"/>
          <w:lang w:val="en-US" w:eastAsia="zh-CN" w:bidi="ar-SA"/>
        </w:rPr>
        <w:t xml:space="preserve"> </w:t>
      </w:r>
      <w:r>
        <w:rPr>
          <w:rFonts w:hint="eastAsia" w:asciiTheme="minorEastAsia" w:hAnsiTheme="minorEastAsia" w:eastAsiaTheme="minorEastAsia" w:cstheme="minorEastAsia"/>
          <w:b w:val="0"/>
          <w:snapToGrid w:val="0"/>
          <w:color w:val="000000"/>
          <w:spacing w:val="-8"/>
          <w:kern w:val="0"/>
          <w:sz w:val="24"/>
          <w:szCs w:val="24"/>
          <w:lang w:val="en-US" w:eastAsia="en-US" w:bidi="ar-SA"/>
        </w:rPr>
        <w:t>采购人拟采购的产品属于品目清单范围的，采购人及其委托的采购代理机构依据</w:t>
      </w:r>
      <w:r>
        <w:rPr>
          <w:rFonts w:hint="eastAsia" w:asciiTheme="minorEastAsia" w:hAnsiTheme="minorEastAsia" w:eastAsiaTheme="minorEastAsia" w:cstheme="minorEastAsia"/>
          <w:spacing w:val="-8"/>
          <w:sz w:val="24"/>
          <w:szCs w:val="24"/>
        </w:rPr>
        <w:t>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7991C97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如本项目采购产品属于实施政府强制采购品目清单范围的节能产品，则投标人所报产品必须获得国家确定的认证机构出具的、处于有效期之内的节能产品认证证书，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否则投标无效；</w:t>
      </w:r>
    </w:p>
    <w:p w14:paraId="2A2F812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非政府强制采购的节能产品或环境标志产品，依据品目清单和认证证书实施政府优先采购。优先采购的具体规定见第四章《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评标程序、评标方法和评标标准》（如涉及）。</w:t>
      </w:r>
    </w:p>
    <w:p w14:paraId="009BFA5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正版软件</w:t>
      </w:r>
    </w:p>
    <w:p w14:paraId="64F8843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b w:val="0"/>
          <w:snapToGrid w:val="0"/>
          <w:color w:val="000000"/>
          <w:spacing w:val="-8"/>
          <w:kern w:val="0"/>
          <w:sz w:val="24"/>
          <w:szCs w:val="24"/>
          <w:lang w:val="en-US" w:eastAsia="zh-CN" w:bidi="ar-SA"/>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14:paraId="6AD73F5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.4.2</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各级政府部门在购置计算机办公设备时，必须采购预装正版操作系统</w:t>
      </w:r>
    </w:p>
    <w:p w14:paraId="7654BF8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14:paraId="5C79155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网络安全专用产品</w:t>
      </w:r>
    </w:p>
    <w:p w14:paraId="1C35E41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14:paraId="1563B28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6 </w:t>
      </w:r>
      <w:r>
        <w:rPr>
          <w:rFonts w:hint="eastAsia" w:asciiTheme="minorEastAsia" w:hAnsiTheme="minorEastAsia" w:eastAsiaTheme="minorEastAsia" w:cstheme="minorEastAsia"/>
          <w:spacing w:val="2"/>
          <w:sz w:val="24"/>
          <w:szCs w:val="24"/>
        </w:rPr>
        <w:t>采购需求标准</w:t>
      </w:r>
    </w:p>
    <w:p w14:paraId="5ECE61A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14:paraId="705AE556">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14:paraId="73733EA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14:paraId="0360D94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lang w:val="en-US" w:eastAsia="zh-CN"/>
        </w:rPr>
        <w:t>5.投标</w:t>
      </w:r>
      <w:r>
        <w:rPr>
          <w:rFonts w:hint="eastAsia" w:asciiTheme="minorEastAsia" w:hAnsiTheme="minorEastAsia" w:eastAsiaTheme="minorEastAsia" w:cstheme="minorEastAsia"/>
          <w:b/>
          <w:bCs/>
          <w:spacing w:val="-2"/>
          <w:sz w:val="24"/>
          <w:szCs w:val="24"/>
        </w:rPr>
        <w:t>费用</w:t>
      </w:r>
    </w:p>
    <w:p w14:paraId="709B60E6">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投标人</w:t>
      </w:r>
      <w:r>
        <w:rPr>
          <w:rFonts w:hint="eastAsia" w:asciiTheme="minorEastAsia" w:hAnsiTheme="minorEastAsia" w:eastAsiaTheme="minorEastAsia" w:cstheme="minorEastAsia"/>
          <w:spacing w:val="-4"/>
          <w:sz w:val="24"/>
          <w:szCs w:val="24"/>
        </w:rPr>
        <w:t>应自行承担所有与准备和</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招标</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14:paraId="4F1A09B9">
      <w:pPr>
        <w:keepNext w:val="0"/>
        <w:keepLines w:val="0"/>
        <w:pageBreakBefore w:val="0"/>
        <w:kinsoku/>
        <w:wordWrap w:val="0"/>
        <w:overflowPunct/>
        <w:topLinePunct w:val="0"/>
        <w:bidi w:val="0"/>
        <w:spacing w:line="360" w:lineRule="auto"/>
        <w:ind w:firstLine="466" w:firstLineChars="200"/>
        <w:jc w:val="both"/>
        <w:rPr>
          <w:rFonts w:hint="eastAsia" w:asciiTheme="minorEastAsia" w:hAnsiTheme="minorEastAsia" w:eastAsiaTheme="minorEastAsia" w:cstheme="minorEastAsia"/>
          <w:b/>
          <w:bCs/>
          <w:snapToGrid w:val="0"/>
          <w:color w:val="auto"/>
          <w:spacing w:val="-4"/>
          <w:kern w:val="0"/>
          <w:sz w:val="24"/>
          <w:szCs w:val="24"/>
          <w:lang w:val="en-US" w:eastAsia="zh-CN" w:bidi="ar-SA"/>
        </w:rPr>
      </w:pPr>
      <w:r>
        <w:rPr>
          <w:rFonts w:hint="eastAsia" w:asciiTheme="minorEastAsia" w:hAnsiTheme="minorEastAsia" w:eastAsiaTheme="minorEastAsia" w:cstheme="minorEastAsia"/>
          <w:b/>
          <w:bCs/>
          <w:snapToGrid w:val="0"/>
          <w:color w:val="auto"/>
          <w:spacing w:val="-4"/>
          <w:kern w:val="0"/>
          <w:sz w:val="24"/>
          <w:szCs w:val="24"/>
          <w:lang w:val="en-US" w:eastAsia="zh-CN" w:bidi="ar-SA"/>
        </w:rPr>
        <w:t>6.采购范围及适用法律</w:t>
      </w:r>
    </w:p>
    <w:p w14:paraId="22EC8EE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6.1 本次招标适用的法律、法规为《中华人民共和国政府采购法》《中华人民共和国政府采购法实施条例》《政府采购货物和服务招标投标管理办法》《中华人民共和国民法典》以及其他相关政府采购法律法规。</w:t>
      </w:r>
    </w:p>
    <w:p w14:paraId="44BDD80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南阳市财政局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14:paraId="029F58E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2"/>
          <w:kern w:val="0"/>
          <w:sz w:val="24"/>
          <w:szCs w:val="24"/>
          <w:highlight w:val="yellow"/>
          <w:lang w:val="en-US" w:eastAsia="zh-CN"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6.3 “货物”指投标人按招标文件规定，须向采购人提供的与本次招标相关的</w:t>
      </w:r>
      <w:r>
        <w:rPr>
          <w:rFonts w:hint="eastAsia" w:asciiTheme="minorEastAsia" w:hAnsiTheme="minorEastAsia" w:eastAsiaTheme="minorEastAsia" w:cstheme="minorEastAsia"/>
          <w:color w:val="auto"/>
          <w:spacing w:val="-24"/>
          <w:sz w:val="24"/>
          <w:szCs w:val="24"/>
          <w:u w:val="single"/>
          <w:lang w:eastAsia="zh-CN"/>
        </w:rPr>
        <w:t>南阳市第一中学校附属初级中学校校园监控及广播系统升级改造项目</w:t>
      </w:r>
    </w:p>
    <w:p w14:paraId="6D2A047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6.4 “服务”指招标文件规定投标人应承担的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安装及售后 </w:t>
      </w:r>
      <w:r>
        <w:rPr>
          <w:rFonts w:hint="eastAsia" w:asciiTheme="minorEastAsia" w:hAnsiTheme="minorEastAsia" w:eastAsiaTheme="minorEastAsia" w:cstheme="minorEastAsia"/>
          <w:snapToGrid w:val="0"/>
          <w:color w:val="000000"/>
          <w:spacing w:val="-4"/>
          <w:kern w:val="0"/>
          <w:sz w:val="24"/>
          <w:szCs w:val="24"/>
          <w:lang w:val="en-US" w:eastAsia="zh-CN" w:bidi="ar-SA"/>
        </w:rPr>
        <w:t>服务。</w:t>
      </w:r>
    </w:p>
    <w:p w14:paraId="341C128A">
      <w:pPr>
        <w:pStyle w:val="34"/>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14:paraId="545B6E82">
      <w:pPr>
        <w:pStyle w:val="6"/>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14:paraId="211F67BF">
      <w:pPr>
        <w:pStyle w:val="6"/>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14:paraId="4C72D6F2">
      <w:pPr>
        <w:pStyle w:val="6"/>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5"/>
          <w:sz w:val="28"/>
          <w:szCs w:val="28"/>
          <w:lang w:eastAsia="zh-CN"/>
        </w:rPr>
        <w:t>、</w:t>
      </w: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招标文件</w:t>
      </w:r>
    </w:p>
    <w:p w14:paraId="10344178">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4" w:firstLineChars="200"/>
        <w:jc w:val="both"/>
        <w:textAlignment w:val="baseline"/>
        <w:rPr>
          <w:rFonts w:hint="eastAsia" w:asciiTheme="minorEastAsia" w:hAnsiTheme="minorEastAsia" w:eastAsiaTheme="minorEastAsia" w:cstheme="minorEastAsia"/>
          <w:b/>
          <w:bCs/>
          <w:snapToGrid w:val="0"/>
          <w:color w:val="000000"/>
          <w:spacing w:val="-2"/>
          <w:kern w:val="0"/>
          <w:sz w:val="24"/>
          <w:szCs w:val="24"/>
          <w:lang w:val="en-US" w:eastAsia="zh-CN" w:bidi="ar-SA"/>
        </w:rPr>
      </w:pPr>
      <w:r>
        <w:rPr>
          <w:rFonts w:hint="eastAsia" w:asciiTheme="minorEastAsia" w:hAnsiTheme="minorEastAsia" w:eastAsiaTheme="minorEastAsia" w:cstheme="minorEastAsia"/>
          <w:b/>
          <w:bCs/>
          <w:snapToGrid w:val="0"/>
          <w:color w:val="000000"/>
          <w:spacing w:val="-2"/>
          <w:kern w:val="0"/>
          <w:sz w:val="24"/>
          <w:szCs w:val="24"/>
          <w:lang w:val="en-US" w:eastAsia="zh-CN" w:bidi="ar-SA"/>
        </w:rPr>
        <w:t>7.招标文件构成</w:t>
      </w:r>
    </w:p>
    <w:p w14:paraId="6E376D04">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7.1 招标文件包括以下部分：</w:t>
      </w:r>
    </w:p>
    <w:p w14:paraId="275C7754">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第一章 公开招标公告</w:t>
      </w:r>
    </w:p>
    <w:p w14:paraId="6CC2C0D2">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第二章 采购需求</w:t>
      </w:r>
    </w:p>
    <w:p w14:paraId="7FFC970F">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第三章 投标人须知</w:t>
      </w:r>
    </w:p>
    <w:p w14:paraId="46B73109">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第四章 开、评标程序、评标方法和评标标准</w:t>
      </w:r>
    </w:p>
    <w:p w14:paraId="52FAB738">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第五章 政府采购合同（草案）</w:t>
      </w:r>
    </w:p>
    <w:p w14:paraId="3089EAB7">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第六章 投标文件格式</w:t>
      </w:r>
    </w:p>
    <w:p w14:paraId="696F09B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7.2 投标人应认真阅读招标文件的全部内容。投标人应按照招标文件要求提交投标文件并保证所提供的全部资料的真实性，并对招标文件做出实质性响应，否则投标无效。</w:t>
      </w:r>
    </w:p>
    <w:p w14:paraId="1424CF4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50"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8.对招标文件的澄清或修改</w:t>
      </w:r>
    </w:p>
    <w:p w14:paraId="11884E4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8.1 采购人或采购代理机构对已发出的招标文件进行必要澄清或者修改的，将在原公告发布媒体上发布更正公告，不得改变采购标的和资格条件。</w:t>
      </w:r>
    </w:p>
    <w:p w14:paraId="35A303B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8.2 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14:paraId="13177D18">
      <w:pPr>
        <w:keepNext w:val="0"/>
        <w:keepLines w:val="0"/>
        <w:pageBreakBefore w:val="0"/>
        <w:widowControl/>
        <w:overflowPunct/>
        <w:topLinePunct w:val="0"/>
        <w:autoSpaceDE w:val="0"/>
        <w:autoSpaceDN w:val="0"/>
        <w:bidi w:val="0"/>
        <w:adjustRightInd w:val="0"/>
        <w:snapToGrid w:val="0"/>
        <w:spacing w:line="400" w:lineRule="exact"/>
        <w:ind w:firstLine="450" w:firstLineChars="200"/>
        <w:textAlignment w:val="baseline"/>
        <w:rPr>
          <w:rFonts w:hint="eastAsia"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8.3 政府采购项目实行网上受理，开标前所有信息保密。因此，发布的一切公告信息（包括招标公告、更正公告、澄清公告、延期公告等）均在“河南省政府采购网”“</w:t>
      </w:r>
      <w:r>
        <w:rPr>
          <w:rFonts w:hint="eastAsia" w:asciiTheme="minorEastAsia" w:hAnsiTheme="minorEastAsia" w:eastAsiaTheme="minorEastAsia" w:cstheme="minorEastAsia"/>
          <w:b/>
          <w:bCs/>
          <w:snapToGrid w:val="0"/>
          <w:color w:val="000000"/>
          <w:spacing w:val="-8"/>
          <w:kern w:val="0"/>
          <w:sz w:val="24"/>
          <w:szCs w:val="24"/>
          <w:lang w:val="en-US" w:eastAsia="zh-CN" w:bidi="ar-SA"/>
        </w:rPr>
        <w:t>全国公共资源交易平台(河南省·南阳市)</w:t>
      </w:r>
      <w:r>
        <w:rPr>
          <w:rFonts w:hint="eastAsia" w:asciiTheme="minorEastAsia" w:hAnsiTheme="minorEastAsia" w:eastAsiaTheme="minorEastAsia" w:cstheme="minorEastAsia"/>
          <w:b/>
          <w:bCs/>
          <w:spacing w:val="-8"/>
          <w:sz w:val="24"/>
          <w:szCs w:val="24"/>
          <w:lang w:val="en-US" w:eastAsia="zh-CN"/>
        </w:rPr>
        <w:t>”发布，请潜在投标供应商随时查询有关公告信息。若因潜在投标供应商没有及时查看到公告信息而造成的投标失误，责任自负。</w:t>
      </w:r>
    </w:p>
    <w:p w14:paraId="7F58EA02">
      <w:pPr>
        <w:pStyle w:val="6"/>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50" w:firstLineChars="200"/>
        <w:jc w:val="both"/>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8.4 投标人应关注是否有发布最新的澄清更正公告和更正的最新招标文件（电子答疑文件），如有则需下载最新的招标文件，并在此基础上制作最新的投标文件并上传。</w:t>
      </w:r>
    </w:p>
    <w:p w14:paraId="7EB0F878">
      <w:pP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br w:type="page"/>
      </w:r>
    </w:p>
    <w:p w14:paraId="32B0C3C0">
      <w:pPr>
        <w:pStyle w:val="15"/>
        <w:rPr>
          <w:rFonts w:hint="eastAsia"/>
        </w:rPr>
      </w:pPr>
    </w:p>
    <w:p w14:paraId="059C127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8"/>
          <w:szCs w:val="28"/>
          <w:lang w:eastAsia="zh-CN"/>
        </w:rPr>
        <w:t>、</w:t>
      </w: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投标文件的编制</w:t>
      </w:r>
    </w:p>
    <w:p w14:paraId="1DAEFF18">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9</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投标范围、投标文件中计量单位的使用及投标语言</w:t>
      </w:r>
    </w:p>
    <w:p w14:paraId="4F73B5D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本项目如划分采购包，投标人可以对本项目的其中一个采购包进行投标，也可同时对多个采购包进行投标。投标人应当对所投采购包对应第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章《采购需求》所列的全部内容进行投标，不得将一个采购包中的内容拆分投标，否则其对该采购包的投标将被认定为无效投标。</w:t>
      </w:r>
    </w:p>
    <w:p w14:paraId="4426D5D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除招标文件有特殊要求外，本项目投标所使用的计量单位，应采用中华人民共和国法定计量单位。</w:t>
      </w:r>
    </w:p>
    <w:p w14:paraId="3EC58FD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除专用术语外，投标文件及来往函电均应使用中文书写。必要时专用术语应附有中文解释。投标人</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交的支持资料和已印制的文献可以用外文，但相应内容应附有中文翻译本，在解释投标文件时以中文翻译本为准。未附中文翻译本或翻译本中文内容明显与外文内容不一致的，其不利后果由投标人自行承担。</w:t>
      </w:r>
    </w:p>
    <w:p w14:paraId="7E23A260">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投标文件构成</w:t>
      </w:r>
    </w:p>
    <w:p w14:paraId="293CD3D0">
      <w:pPr>
        <w:keepNext w:val="0"/>
        <w:keepLines w:val="0"/>
        <w:pageBreakBefore w:val="0"/>
        <w:widowControl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10.1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投标人应当按照招标文件的要求编制投标文件。投标文件应由《</w:t>
      </w:r>
      <w:r>
        <w:rPr>
          <w:rFonts w:hint="eastAsia" w:asciiTheme="minorEastAsia" w:hAnsiTheme="minorEastAsia" w:eastAsiaTheme="minorEastAsia" w:cstheme="minorEastAsia"/>
          <w:sz w:val="24"/>
          <w:szCs w:val="24"/>
          <w:lang w:eastAsia="zh-CN"/>
        </w:rPr>
        <w:t>开标一览表及资格证明文件</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技术文件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《商务</w:t>
      </w:r>
      <w:r>
        <w:rPr>
          <w:rFonts w:hint="eastAsia" w:asciiTheme="minorEastAsia" w:hAnsiTheme="minorEastAsia" w:eastAsiaTheme="minorEastAsia" w:cstheme="minorEastAsia"/>
          <w:sz w:val="24"/>
          <w:szCs w:val="24"/>
          <w:lang w:val="en-US" w:eastAsia="zh-CN"/>
        </w:rPr>
        <w:t>文件</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三</w:t>
      </w:r>
      <w:r>
        <w:rPr>
          <w:rFonts w:hint="eastAsia" w:asciiTheme="minorEastAsia" w:hAnsiTheme="minorEastAsia" w:eastAsiaTheme="minorEastAsia" w:cstheme="minorEastAsia"/>
          <w:sz w:val="24"/>
          <w:szCs w:val="24"/>
        </w:rPr>
        <w:t>部分构成。投标文件的部分格式要求，见第</w:t>
      </w:r>
      <w:r>
        <w:rPr>
          <w:rFonts w:hint="eastAsia" w:asciiTheme="minorEastAsia" w:hAnsiTheme="minorEastAsia" w:eastAsiaTheme="minorEastAsia" w:cstheme="minorEastAsia"/>
          <w:sz w:val="24"/>
          <w:szCs w:val="24"/>
          <w:lang w:val="en-US" w:eastAsia="zh-CN"/>
        </w:rPr>
        <w:t>六</w:t>
      </w:r>
      <w:r>
        <w:rPr>
          <w:rFonts w:hint="eastAsia" w:asciiTheme="minorEastAsia" w:hAnsiTheme="minorEastAsia" w:eastAsiaTheme="minorEastAsia" w:cstheme="minorEastAsia"/>
          <w:sz w:val="24"/>
          <w:szCs w:val="24"/>
        </w:rPr>
        <w:t>章《投标文件格式》。</w:t>
      </w:r>
      <w:r>
        <w:rPr>
          <w:rFonts w:hint="eastAsia" w:asciiTheme="minorEastAsia" w:hAnsiTheme="minorEastAsia" w:eastAsiaTheme="minorEastAsia" w:cstheme="minorEastAsia"/>
          <w:sz w:val="24"/>
          <w:szCs w:val="24"/>
          <w:lang w:eastAsia="zh-CN"/>
        </w:rPr>
        <w:t>如有漏项或</w:t>
      </w:r>
      <w:r>
        <w:rPr>
          <w:rFonts w:hint="eastAsia" w:asciiTheme="minorEastAsia" w:hAnsiTheme="minorEastAsia" w:eastAsiaTheme="minorEastAsia" w:cstheme="minorEastAsia"/>
          <w:sz w:val="24"/>
          <w:szCs w:val="24"/>
          <w:lang w:val="en-US" w:eastAsia="zh-CN"/>
        </w:rPr>
        <w:t>评标委员会</w:t>
      </w:r>
      <w:r>
        <w:rPr>
          <w:rFonts w:hint="eastAsia" w:asciiTheme="minorEastAsia" w:hAnsiTheme="minorEastAsia" w:eastAsiaTheme="minorEastAsia" w:cstheme="minorEastAsia"/>
          <w:sz w:val="24"/>
          <w:szCs w:val="24"/>
          <w:lang w:eastAsia="zh-CN"/>
        </w:rPr>
        <w:t>认为其投标文件有明显缺陷的，造成的后果由投标人自己承担。</w:t>
      </w:r>
    </w:p>
    <w:p w14:paraId="6E5C812E">
      <w:pPr>
        <w:pStyle w:val="44"/>
        <w:snapToGrid w:val="0"/>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供格式的内容，可由投标人自行编写。</w:t>
      </w:r>
    </w:p>
    <w:p w14:paraId="2764FE79">
      <w:pPr>
        <w:pStyle w:val="44"/>
        <w:snapToGrid w:val="0"/>
        <w:spacing w:line="360" w:lineRule="auto"/>
        <w:ind w:firstLine="480" w:firstLineChars="200"/>
        <w:textAlignment w:val="auto"/>
        <w:rPr>
          <w:rFonts w:hint="eastAsia" w:hAnsi="宋体" w:cs="宋体"/>
          <w:sz w:val="24"/>
          <w:szCs w:val="24"/>
        </w:rPr>
      </w:pPr>
      <w:r>
        <w:rPr>
          <w:rFonts w:hint="eastAsia" w:asciiTheme="minorEastAsia" w:hAnsiTheme="minorEastAsia" w:eastAsiaTheme="minorEastAsia" w:cstheme="minorEastAsia"/>
          <w:sz w:val="24"/>
          <w:szCs w:val="24"/>
          <w:lang w:val="en-US" w:eastAsia="zh-CN"/>
        </w:rPr>
        <w:t>10.3</w:t>
      </w:r>
      <w:r>
        <w:rPr>
          <w:rFonts w:hint="eastAsia" w:hAnsi="宋体" w:cs="宋体"/>
          <w:sz w:val="24"/>
          <w:szCs w:val="24"/>
        </w:rPr>
        <w:t>投标文件应严格按照政府采购法律法规和招标文件要求，分开编制商务标和技术标，对能明显区分投标供应商的内容，应放入商务标；技术标中不能出现涉及投标供应商名称及相关提示内容的任何信息。</w:t>
      </w:r>
    </w:p>
    <w:p w14:paraId="73A968B8">
      <w:pPr>
        <w:pStyle w:val="44"/>
        <w:snapToGrid w:val="0"/>
        <w:spacing w:line="360" w:lineRule="auto"/>
        <w:ind w:firstLine="480" w:firstLineChars="200"/>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10.4</w:t>
      </w:r>
      <w:r>
        <w:rPr>
          <w:rFonts w:hint="eastAsia" w:hAnsi="宋体" w:cs="宋体"/>
          <w:b/>
          <w:bCs/>
          <w:sz w:val="24"/>
          <w:szCs w:val="24"/>
          <w:lang w:val="en-US" w:eastAsia="zh-CN"/>
        </w:rPr>
        <w:t xml:space="preserve"> </w:t>
      </w:r>
      <w:r>
        <w:rPr>
          <w:rFonts w:hint="eastAsia" w:ascii="宋体" w:hAnsi="宋体" w:cs="宋体"/>
          <w:b/>
          <w:bCs/>
          <w:sz w:val="24"/>
          <w:szCs w:val="24"/>
          <w:lang w:val="en-US" w:eastAsia="zh-CN"/>
        </w:rPr>
        <w:t>技术标文件制作要求：</w:t>
      </w:r>
    </w:p>
    <w:p w14:paraId="4AA17877">
      <w:pPr>
        <w:pStyle w:val="44"/>
        <w:snapToGrid w:val="0"/>
        <w:spacing w:line="360" w:lineRule="auto"/>
        <w:ind w:firstLine="482" w:firstLineChars="200"/>
        <w:textAlignment w:val="auto"/>
        <w:rPr>
          <w:rFonts w:hint="eastAsia" w:hAnsi="宋体" w:cs="宋体"/>
          <w:b/>
          <w:bCs/>
          <w:sz w:val="24"/>
          <w:szCs w:val="24"/>
        </w:rPr>
      </w:pPr>
      <w:r>
        <w:rPr>
          <w:rFonts w:hint="eastAsia" w:hAnsi="宋体" w:eastAsia="宋体" w:cs="宋体"/>
          <w:b/>
          <w:bCs/>
          <w:sz w:val="24"/>
          <w:szCs w:val="24"/>
          <w:lang w:val="en-US" w:eastAsia="zh-CN"/>
        </w:rPr>
        <w:t>10.4.1</w:t>
      </w:r>
      <w:r>
        <w:rPr>
          <w:rFonts w:hint="eastAsia" w:hAnsi="宋体" w:cs="宋体"/>
          <w:b/>
          <w:bCs/>
          <w:sz w:val="24"/>
          <w:szCs w:val="24"/>
        </w:rPr>
        <w:t>版面要求：A4纸张大小，纵向排版，不设置封面。</w:t>
      </w:r>
    </w:p>
    <w:p w14:paraId="378FDBFB">
      <w:pPr>
        <w:pStyle w:val="44"/>
        <w:snapToGrid w:val="0"/>
        <w:spacing w:line="360" w:lineRule="auto"/>
        <w:ind w:firstLine="482" w:firstLineChars="200"/>
        <w:textAlignment w:val="auto"/>
        <w:rPr>
          <w:rFonts w:hint="eastAsia" w:hAnsi="宋体" w:cs="宋体"/>
          <w:b/>
          <w:bCs/>
          <w:sz w:val="24"/>
          <w:szCs w:val="24"/>
        </w:rPr>
      </w:pPr>
      <w:r>
        <w:rPr>
          <w:rFonts w:hint="eastAsia" w:hAnsi="宋体" w:eastAsia="宋体" w:cs="宋体"/>
          <w:b/>
          <w:bCs/>
          <w:sz w:val="24"/>
          <w:szCs w:val="24"/>
          <w:lang w:val="en-US" w:eastAsia="zh-CN"/>
        </w:rPr>
        <w:t>10.4.</w:t>
      </w:r>
      <w:r>
        <w:rPr>
          <w:rFonts w:hint="eastAsia" w:hAnsi="宋体" w:cs="宋体"/>
          <w:b/>
          <w:bCs/>
          <w:sz w:val="24"/>
          <w:szCs w:val="24"/>
        </w:rPr>
        <w:t>2颜色要求：所有文字、图表均为黑色。</w:t>
      </w:r>
    </w:p>
    <w:p w14:paraId="2AA2AA54">
      <w:pPr>
        <w:pStyle w:val="44"/>
        <w:snapToGrid w:val="0"/>
        <w:spacing w:line="360" w:lineRule="auto"/>
        <w:ind w:firstLine="482" w:firstLineChars="200"/>
        <w:textAlignment w:val="auto"/>
        <w:rPr>
          <w:rFonts w:hint="eastAsia" w:hAnsi="宋体" w:cs="宋体"/>
          <w:b/>
          <w:bCs/>
          <w:sz w:val="24"/>
          <w:szCs w:val="24"/>
        </w:rPr>
      </w:pPr>
      <w:r>
        <w:rPr>
          <w:rFonts w:hint="eastAsia" w:hAnsi="宋体" w:eastAsia="宋体" w:cs="宋体"/>
          <w:b/>
          <w:bCs/>
          <w:sz w:val="24"/>
          <w:szCs w:val="24"/>
          <w:lang w:val="en-US" w:eastAsia="zh-CN"/>
        </w:rPr>
        <w:t>10.4.</w:t>
      </w:r>
      <w:r>
        <w:rPr>
          <w:rFonts w:hint="eastAsia" w:hAnsi="宋体" w:cs="宋体"/>
          <w:b/>
          <w:bCs/>
          <w:sz w:val="24"/>
          <w:szCs w:val="24"/>
        </w:rPr>
        <w:t>3字体要求：标题及正文部分所用文字均采用“宋体”四号“常规”字；图、表内的字体及字号不作要求；所有字体均不得出现加粗、加色、倾斜、下划线等标记。</w:t>
      </w:r>
    </w:p>
    <w:p w14:paraId="2FB51109">
      <w:pPr>
        <w:pStyle w:val="44"/>
        <w:snapToGrid w:val="0"/>
        <w:spacing w:line="360" w:lineRule="auto"/>
        <w:ind w:firstLine="482" w:firstLineChars="200"/>
        <w:textAlignment w:val="auto"/>
        <w:rPr>
          <w:rFonts w:hint="eastAsia" w:hAnsi="宋体" w:cs="宋体"/>
          <w:b/>
          <w:bCs/>
          <w:sz w:val="24"/>
          <w:szCs w:val="24"/>
        </w:rPr>
      </w:pPr>
      <w:r>
        <w:rPr>
          <w:rFonts w:hint="eastAsia" w:hAnsi="宋体" w:eastAsia="宋体" w:cs="宋体"/>
          <w:b/>
          <w:bCs/>
          <w:sz w:val="24"/>
          <w:szCs w:val="24"/>
          <w:lang w:val="en-US" w:eastAsia="zh-CN"/>
        </w:rPr>
        <w:t>10.4.4</w:t>
      </w:r>
      <w:r>
        <w:rPr>
          <w:rFonts w:hint="eastAsia" w:hAnsi="宋体" w:cs="宋体"/>
          <w:b/>
          <w:bCs/>
          <w:sz w:val="24"/>
          <w:szCs w:val="24"/>
        </w:rPr>
        <w:t>排版要求：页边距要求上、下边距3厘米，左、右页边距2厘米；不得设置目录；段落格式对齐方式统一设为左对齐；正文首行缩进2字符；标题缩进量为0、不设置首行缩进；不得有空格；正文、标题行间距为固定值25磅；段前段后间距为0，且段落前后不得设置空行；不得设置页眉、页脚和页码；图、表部分对齐形式设为居中对齐；标题规则：一级“一、”二级“（一）”三级“1.”四级“（1）”五级“1）”六级“a.”七级“a)”。</w:t>
      </w:r>
    </w:p>
    <w:p w14:paraId="03C142D9">
      <w:pPr>
        <w:pStyle w:val="44"/>
        <w:snapToGrid w:val="0"/>
        <w:spacing w:line="360" w:lineRule="auto"/>
        <w:ind w:firstLine="482" w:firstLineChars="200"/>
        <w:textAlignment w:val="auto"/>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hAnsi="宋体" w:eastAsia="宋体" w:cs="宋体"/>
          <w:b/>
          <w:bCs/>
          <w:sz w:val="24"/>
          <w:szCs w:val="24"/>
          <w:lang w:val="en-US" w:eastAsia="zh-CN"/>
        </w:rPr>
        <w:t>10.4.</w:t>
      </w:r>
      <w:r>
        <w:rPr>
          <w:rFonts w:hint="eastAsia" w:hAnsi="宋体" w:cs="宋体"/>
          <w:b/>
          <w:bCs/>
          <w:sz w:val="24"/>
          <w:szCs w:val="24"/>
        </w:rPr>
        <w:t>5除满足上述各项要求外，技术“暗标”中不得出现任何行间插字或删除痕迹，构成投标文件的“技术暗标”的正文中不得出现投标人的名称和其它可识别投标人身份的字符、徽标、人员名称以及其他特殊标记等。</w:t>
      </w:r>
    </w:p>
    <w:p w14:paraId="72338EA7">
      <w:pPr>
        <w:pStyle w:val="44"/>
        <w:snapToGrid w:val="0"/>
        <w:spacing w:line="360" w:lineRule="auto"/>
        <w:ind w:firstLine="490" w:firstLineChars="200"/>
        <w:textAlignment w:val="auto"/>
        <w:rPr>
          <w:rFonts w:hint="default" w:hAnsi="宋体" w:cs="宋体"/>
          <w:b/>
          <w:bCs/>
          <w:sz w:val="24"/>
          <w:szCs w:val="24"/>
          <w:lang w:val="en-US"/>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10.4.6编写软件及版本要求:MicrosoftWord2007或以上。</w:t>
      </w:r>
    </w:p>
    <w:p w14:paraId="0BDB3DA0">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文件应使用CA数字证书生成并在截止时间前上传其加密版本，</w:t>
      </w:r>
      <w:r>
        <w:rPr>
          <w:rFonts w:hint="eastAsia" w:asciiTheme="minorEastAsia" w:hAnsiTheme="minorEastAsia" w:eastAsiaTheme="minorEastAsia" w:cstheme="minorEastAsia"/>
          <w:sz w:val="24"/>
          <w:szCs w:val="24"/>
          <w:lang w:val="en-US" w:eastAsia="zh-CN"/>
        </w:rPr>
        <w:t>根据招标文件中规定的下载平台要求，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投标</w:t>
      </w:r>
      <w:r>
        <w:rPr>
          <w:rFonts w:hint="eastAsia" w:asciiTheme="minorEastAsia" w:hAnsiTheme="minorEastAsia" w:eastAsiaTheme="minorEastAsia" w:cstheme="minorEastAsia"/>
          <w:b/>
          <w:bCs/>
          <w:sz w:val="24"/>
          <w:szCs w:val="24"/>
          <w:lang w:eastAsia="zh-CN"/>
        </w:rPr>
        <w:t>文件，将被平台系统拒绝。</w:t>
      </w:r>
    </w:p>
    <w:p w14:paraId="5CCC0532">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10.6 </w:t>
      </w:r>
      <w:r>
        <w:rPr>
          <w:rFonts w:hint="eastAsia" w:asciiTheme="minorEastAsia" w:hAnsiTheme="minorEastAsia" w:eastAsiaTheme="minorEastAsia" w:cstheme="minorEastAsia"/>
          <w:sz w:val="24"/>
          <w:szCs w:val="24"/>
        </w:rPr>
        <w:t>第四章《</w:t>
      </w:r>
      <w:r>
        <w:rPr>
          <w:rFonts w:hint="eastAsia" w:asciiTheme="minorEastAsia" w:hAnsiTheme="minorEastAsia" w:eastAsiaTheme="minorEastAsia" w:cstheme="minorEastAsia"/>
          <w:sz w:val="24"/>
          <w:szCs w:val="24"/>
          <w:lang w:val="en-US" w:eastAsia="zh-CN"/>
        </w:rPr>
        <w:t>开</w:t>
      </w:r>
      <w:r>
        <w:rPr>
          <w:rFonts w:hint="eastAsia" w:asciiTheme="minorEastAsia" w:hAnsiTheme="minorEastAsia" w:eastAsiaTheme="minorEastAsia" w:cstheme="minorEastAsia"/>
          <w:sz w:val="24"/>
          <w:szCs w:val="24"/>
        </w:rPr>
        <w:t>评标程序、评标方法和评标标准》中涉及的证明文件。</w:t>
      </w:r>
    </w:p>
    <w:p w14:paraId="16F1A808">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7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供货物和服务已对第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供证明文件的，投标人应当按具体要求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14:paraId="33DCCEF3">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宋体" w:eastAsia="仿宋_GB2312"/>
          <w:b/>
          <w:color w:val="auto"/>
          <w:sz w:val="28"/>
          <w:szCs w:val="28"/>
          <w:lang w:eastAsia="zh-CN"/>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8 </w:t>
      </w:r>
      <w:r>
        <w:rPr>
          <w:rFonts w:hint="eastAsia" w:asciiTheme="minorEastAsia" w:hAnsiTheme="minorEastAsia" w:eastAsiaTheme="minorEastAsia" w:cstheme="minorEastAsia"/>
          <w:sz w:val="24"/>
          <w:szCs w:val="24"/>
          <w:lang w:eastAsia="zh-CN"/>
        </w:rPr>
        <w:t>投标人编制投标文件时，涉及营业执照、资质、业绩、财务、社保、纳税及各类证书、报告等内容，必须是原件的扫描件。</w:t>
      </w:r>
    </w:p>
    <w:p w14:paraId="3E9BC17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10.9 </w:t>
      </w:r>
      <w:r>
        <w:rPr>
          <w:rFonts w:hint="eastAsia" w:asciiTheme="minorEastAsia" w:hAnsiTheme="minorEastAsia" w:eastAsiaTheme="minorEastAsia" w:cstheme="minorEastAsia"/>
          <w:sz w:val="24"/>
          <w:szCs w:val="24"/>
          <w:lang w:eastAsia="zh-CN"/>
        </w:rPr>
        <w:t>投标人认为应附的其他材料。</w:t>
      </w:r>
    </w:p>
    <w:p w14:paraId="2BB20969">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11</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投标报价</w:t>
      </w:r>
    </w:p>
    <w:p w14:paraId="569091A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所有投标均以人民币报价。</w:t>
      </w:r>
    </w:p>
    <w:p w14:paraId="79F29F5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投标人的报价应包括为完成本项目所发生的一切费用和税费，采购人将不再支付报价以外的任何费用。投标人的报价应包括但不限于下列内容，</w:t>
      </w:r>
      <w:r>
        <w:rPr>
          <w:rFonts w:hint="eastAsia" w:asciiTheme="minorEastAsia" w:hAnsiTheme="minorEastAsia" w:eastAsiaTheme="minorEastAsia" w:cstheme="minorEastAsia"/>
          <w:sz w:val="24"/>
          <w:szCs w:val="24"/>
          <w:lang w:val="en-US" w:eastAsia="zh-CN"/>
        </w:rPr>
        <w:t>招标文件</w:t>
      </w:r>
      <w:r>
        <w:rPr>
          <w:rFonts w:hint="eastAsia" w:asciiTheme="minorEastAsia" w:hAnsiTheme="minorEastAsia" w:eastAsiaTheme="minorEastAsia" w:cstheme="minorEastAsia"/>
          <w:sz w:val="24"/>
          <w:szCs w:val="24"/>
        </w:rPr>
        <w:t>中有特殊规定的，从其规定。</w:t>
      </w:r>
    </w:p>
    <w:p w14:paraId="31FC9FF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14:paraId="5C185DD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按照招标文件要求完成本项目的全部相关费用。</w:t>
      </w:r>
    </w:p>
    <w:p w14:paraId="4B8CB56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14:paraId="360AF6A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供任何有选择性或可调整的报价（招标文件另有规定的除外），否则其投标无效。</w:t>
      </w:r>
    </w:p>
    <w:p w14:paraId="6971609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11.5 </w:t>
      </w:r>
      <w:r>
        <w:rPr>
          <w:rFonts w:hint="eastAsia" w:asciiTheme="minorEastAsia" w:hAnsiTheme="minorEastAsia" w:eastAsiaTheme="minorEastAsia" w:cstheme="minorEastAsia"/>
          <w:sz w:val="24"/>
          <w:szCs w:val="24"/>
          <w:lang w:eastAsia="zh-CN"/>
        </w:rPr>
        <w:t>本次招标设有预算，投标人报价超过预算的，评标委员会将不予评议。</w:t>
      </w:r>
    </w:p>
    <w:p w14:paraId="6690148A">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 xml:space="preserve">11.6 </w:t>
      </w:r>
      <w:r>
        <w:rPr>
          <w:rFonts w:hint="eastAsia" w:asciiTheme="minorEastAsia" w:hAnsiTheme="minorEastAsia" w:eastAsiaTheme="minorEastAsia" w:cstheme="minorEastAsia"/>
          <w:b/>
          <w:bCs/>
          <w:sz w:val="24"/>
          <w:szCs w:val="24"/>
          <w:lang w:eastAsia="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868C979">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w:t>
      </w: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rPr>
        <w:t>投标有效期</w:t>
      </w:r>
    </w:p>
    <w:p w14:paraId="3CAC08F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投标文件应在本招标文件《</w:t>
      </w:r>
      <w:r>
        <w:rPr>
          <w:rFonts w:hint="eastAsia" w:asciiTheme="minorEastAsia" w:hAnsiTheme="minorEastAsia" w:eastAsiaTheme="minorEastAsia" w:cstheme="minorEastAsia"/>
          <w:sz w:val="24"/>
          <w:szCs w:val="24"/>
          <w:lang w:eastAsia="zh-CN"/>
        </w:rPr>
        <w:t>投标人须知表</w:t>
      </w:r>
      <w:r>
        <w:rPr>
          <w:rFonts w:hint="eastAsia" w:asciiTheme="minorEastAsia" w:hAnsiTheme="minorEastAsia" w:eastAsiaTheme="minorEastAsia" w:cstheme="minorEastAsia"/>
          <w:sz w:val="24"/>
          <w:szCs w:val="24"/>
        </w:rPr>
        <w:t>》中规定的投标有效期内保持有效，投标有效期少于招标文件规定期限的，其投标无效。</w:t>
      </w:r>
      <w:r>
        <w:rPr>
          <w:rFonts w:hint="eastAsia" w:asciiTheme="minorEastAsia" w:hAnsiTheme="minorEastAsia" w:eastAsiaTheme="minorEastAsia" w:cstheme="minorEastAsia"/>
          <w:sz w:val="24"/>
          <w:szCs w:val="24"/>
          <w:lang w:eastAsia="zh-CN"/>
        </w:rPr>
        <w:t>中标人的投标有效期延长至项目验收合格之日。</w:t>
      </w:r>
    </w:p>
    <w:p w14:paraId="4F69B9F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特别情况下，</w:t>
      </w:r>
      <w:r>
        <w:rPr>
          <w:rFonts w:hint="eastAsia" w:asciiTheme="minorEastAsia" w:hAnsiTheme="minorEastAsia" w:eastAsiaTheme="minorEastAsia" w:cstheme="minorEastAsia"/>
          <w:sz w:val="24"/>
          <w:szCs w:val="24"/>
          <w:lang w:val="en-US" w:eastAsia="zh-CN"/>
        </w:rPr>
        <w:t>采购代理机构</w:t>
      </w:r>
      <w:r>
        <w:rPr>
          <w:rFonts w:hint="eastAsia" w:asciiTheme="minorEastAsia" w:hAnsiTheme="minorEastAsia" w:eastAsiaTheme="minorEastAsia" w:cstheme="minorEastAsia"/>
          <w:sz w:val="24"/>
          <w:szCs w:val="24"/>
          <w:lang w:eastAsia="zh-CN"/>
        </w:rPr>
        <w:t>、采购人可于投标有效期满之前要求投标人同意延长有效期，要求与答复均为书面形式。投标人可以拒绝上述要求。对于同意该要求的投标人，既不要求也不允许其修改投标文件。</w:t>
      </w:r>
    </w:p>
    <w:p w14:paraId="1BBD0EE6">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w:t>
      </w:r>
      <w:r>
        <w:rPr>
          <w:rFonts w:hint="eastAsia" w:asciiTheme="minorEastAsia" w:hAnsiTheme="minorEastAsia" w:eastAsiaTheme="minorEastAsia" w:cstheme="minorEastAsia"/>
          <w:b/>
          <w:bCs/>
          <w:sz w:val="24"/>
          <w:szCs w:val="24"/>
        </w:rPr>
        <w:t>投标文件的签署、盖章</w:t>
      </w:r>
    </w:p>
    <w:p w14:paraId="6B4AC9E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文件必须在规定签章处</w:t>
      </w:r>
      <w:r>
        <w:rPr>
          <w:rFonts w:hint="eastAsia" w:asciiTheme="minorEastAsia" w:hAnsiTheme="minorEastAsia" w:eastAsiaTheme="minorEastAsia" w:cstheme="minorEastAsia"/>
          <w:sz w:val="24"/>
          <w:szCs w:val="24"/>
          <w:lang w:val="en-US" w:eastAsia="zh-CN"/>
        </w:rPr>
        <w:t>电子签章或</w:t>
      </w:r>
      <w:r>
        <w:rPr>
          <w:rFonts w:hint="eastAsia" w:asciiTheme="minorEastAsia" w:hAnsiTheme="minorEastAsia" w:eastAsiaTheme="minorEastAsia" w:cstheme="minorEastAsia"/>
          <w:sz w:val="24"/>
          <w:szCs w:val="24"/>
          <w:lang w:eastAsia="zh-CN"/>
        </w:rPr>
        <w:t>手写签字后扫描上传进投标文件。</w:t>
      </w:r>
    </w:p>
    <w:p w14:paraId="11E25C0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招标文件要求盖章的内容，一般通过</w:t>
      </w:r>
      <w:r>
        <w:rPr>
          <w:rFonts w:hint="eastAsia" w:asciiTheme="minorEastAsia" w:hAnsiTheme="minorEastAsia" w:eastAsiaTheme="minorEastAsia" w:cstheme="minorEastAsia"/>
          <w:sz w:val="24"/>
          <w:szCs w:val="24"/>
          <w:lang w:val="en-US" w:eastAsia="zh-CN"/>
        </w:rPr>
        <w:t>CA</w:t>
      </w:r>
      <w:r>
        <w:rPr>
          <w:rFonts w:hint="eastAsia" w:asciiTheme="minorEastAsia" w:hAnsiTheme="minorEastAsia" w:eastAsiaTheme="minorEastAsia" w:cstheme="minorEastAsia"/>
          <w:sz w:val="24"/>
          <w:szCs w:val="24"/>
        </w:rPr>
        <w:t>加盖电子签章。</w:t>
      </w:r>
    </w:p>
    <w:p w14:paraId="552C20F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2647CEF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投标文件的</w:t>
      </w:r>
      <w:r>
        <w:rPr>
          <w:rFonts w:hint="eastAsia" w:asciiTheme="minorEastAsia" w:hAnsiTheme="minorEastAsia" w:eastAsiaTheme="minorEastAsia" w:cstheme="minorEastAsia"/>
          <w:sz w:val="28"/>
          <w:szCs w:val="28"/>
          <w:lang w:val="en-US" w:eastAsia="zh-CN"/>
          <w14:textOutline w14:w="1800"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交</w:t>
      </w:r>
    </w:p>
    <w:p w14:paraId="0B1D07DE">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86"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4.</w:t>
      </w:r>
      <w:r>
        <w:rPr>
          <w:rFonts w:hint="eastAsia" w:asciiTheme="minorEastAsia" w:hAnsiTheme="minorEastAsia" w:eastAsiaTheme="minorEastAsia" w:cstheme="minorEastAsia"/>
          <w:b/>
          <w:bCs/>
          <w:spacing w:val="1"/>
          <w:sz w:val="24"/>
          <w:szCs w:val="24"/>
        </w:rPr>
        <w:t>投标文件的</w:t>
      </w:r>
      <w:r>
        <w:rPr>
          <w:rFonts w:hint="eastAsia" w:asciiTheme="minorEastAsia" w:hAnsiTheme="minorEastAsia" w:eastAsiaTheme="minorEastAsia" w:cstheme="minorEastAsia"/>
          <w:b/>
          <w:bCs/>
          <w:spacing w:val="1"/>
          <w:sz w:val="24"/>
          <w:szCs w:val="24"/>
          <w:lang w:val="en-US" w:eastAsia="zh-CN"/>
        </w:rPr>
        <w:t>提</w:t>
      </w:r>
      <w:r>
        <w:rPr>
          <w:rFonts w:hint="eastAsia" w:asciiTheme="minorEastAsia" w:hAnsiTheme="minorEastAsia" w:eastAsiaTheme="minorEastAsia" w:cstheme="minorEastAsia"/>
          <w:b/>
          <w:bCs/>
          <w:spacing w:val="1"/>
          <w:sz w:val="24"/>
          <w:szCs w:val="24"/>
        </w:rPr>
        <w:t>交</w:t>
      </w:r>
    </w:p>
    <w:p w14:paraId="6F1CCB6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投标文件的提交是指使用南阳市公共资源交易中心网上交易系统在投标截止时间前完成制作软件生成的加密电子投标文件的上传。未在投标截止时间前完成上传的，视为逾期提交。逾期提交的投标文件，招标人不予受理。</w:t>
      </w:r>
    </w:p>
    <w:p w14:paraId="6DAEFC6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采购人及采购代理机构拒绝接受通过电子交易平台以外任何形式提交的投标文件。</w:t>
      </w:r>
    </w:p>
    <w:p w14:paraId="28BDBE1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15.投标截止时间</w:t>
      </w:r>
    </w:p>
    <w:p w14:paraId="580A455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spacing w:val="3"/>
          <w:kern w:val="0"/>
          <w:sz w:val="24"/>
          <w:szCs w:val="24"/>
          <w:lang w:val="en-US" w:eastAsia="zh-CN" w:bidi="ar-SA"/>
        </w:rPr>
        <w:t>投标人应在招标文件要求的投标文件截止时间前，将电子投标文件提交至电</w:t>
      </w:r>
      <w:r>
        <w:rPr>
          <w:rFonts w:hint="eastAsia" w:asciiTheme="minorEastAsia" w:hAnsiTheme="minorEastAsia" w:eastAsiaTheme="minorEastAsia" w:cstheme="minorEastAsia"/>
          <w:spacing w:val="-9"/>
          <w:sz w:val="24"/>
          <w:szCs w:val="24"/>
        </w:rPr>
        <w:t>子交易平台。</w:t>
      </w:r>
    </w:p>
    <w:p w14:paraId="4823ACC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6.</w:t>
      </w:r>
      <w:r>
        <w:rPr>
          <w:rFonts w:hint="eastAsia" w:asciiTheme="minorEastAsia" w:hAnsiTheme="minorEastAsia" w:eastAsiaTheme="minorEastAsia" w:cstheme="minorEastAsia"/>
          <w:b/>
          <w:bCs/>
          <w:spacing w:val="-1"/>
          <w:sz w:val="24"/>
          <w:szCs w:val="24"/>
        </w:rPr>
        <w:t>投标文件的修改与撤回</w:t>
      </w:r>
    </w:p>
    <w:p w14:paraId="75FE917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16.1 在招标文件规定的投标截止时间前，投标人可以修改或撤回已上传的电子投标文件，最终电子投标文件以投标截止时间前完成上传至南阳市电子交易平台系统最后一份解密投标文件为准。投标截止时间之后，投标人不得修改或撤回电子投标文件。</w:t>
      </w:r>
    </w:p>
    <w:p w14:paraId="067D0C6E">
      <w:pPr>
        <w:pStyle w:val="6"/>
        <w:keepNext w:val="0"/>
        <w:keepLines w:val="0"/>
        <w:pageBreakBefore w:val="0"/>
        <w:kinsoku/>
        <w:wordWrap w:val="0"/>
        <w:overflowPunct/>
        <w:topLinePunct w:val="0"/>
        <w:bidi w:val="0"/>
        <w:spacing w:before="353" w:line="219" w:lineRule="auto"/>
        <w:jc w:val="both"/>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7AFAE11D">
      <w:pPr>
        <w:pStyle w:val="14"/>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F17FDC6">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0172DE05">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0940A8D2">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182E5FB8">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5ADBDDCE">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5245C88">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19CFCD43">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66062231">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4288DDE9">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6CCE0161">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5300F5E6">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81185BF">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849D3CC">
      <w:pP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br w:type="page"/>
      </w:r>
    </w:p>
    <w:p w14:paraId="17435E11">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 xml:space="preserve"> 开、</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评标程序、评标方法和评标标准</w:t>
      </w:r>
    </w:p>
    <w:p w14:paraId="52F9984C">
      <w:pPr>
        <w:pStyle w:val="6"/>
        <w:keepNext w:val="0"/>
        <w:keepLines w:val="0"/>
        <w:pageBreakBefore w:val="0"/>
        <w:kinsoku/>
        <w:wordWrap w:val="0"/>
        <w:overflowPunct/>
        <w:topLinePunct w:val="0"/>
        <w:bidi w:val="0"/>
        <w:spacing w:before="255" w:line="221" w:lineRule="auto"/>
        <w:ind w:left="3942"/>
        <w:jc w:val="both"/>
        <w:outlineLvl w:val="2"/>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pPr>
    </w:p>
    <w:p w14:paraId="63B49F22">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一、开标</w:t>
      </w:r>
    </w:p>
    <w:p w14:paraId="3DA15738">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1.采购人或采购代理机构按招标公告中规定的时间开标，本项目使用不见面开标，投标人无需到开标现场。</w:t>
      </w:r>
    </w:p>
    <w:p w14:paraId="5E36B07F">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2.开标：</w:t>
      </w:r>
    </w:p>
    <w:p w14:paraId="6536503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2.1 投标人解密：投标人制作电子投标文件时，必须使用本单位企业数字证书进行加密，投标人在开标前须自行检查数字证书的有效性。在解密时间到达后，系统做出解密提示，请各投标人自行解密即可。开标解密时未在规定时间（30分钟）内进行解密的视为撤销其投标文件（因电子开标系统原因除外）。</w:t>
      </w:r>
    </w:p>
    <w:p w14:paraId="612CC1C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2.2 唱标。查看唱标信息（系统不提供语音在线播放，该页面停留1分钟供投标人查看，如无异议视为同意）。招标（采购）人、监督人员需要关注开标过程中，投标人随时在线提出的异议、问题沟通等信息，并及时做好答复工作。</w:t>
      </w:r>
    </w:p>
    <w:p w14:paraId="1678ADD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2.3 宣布开标结束。</w:t>
      </w:r>
    </w:p>
    <w:p w14:paraId="6100CCD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p>
    <w:p w14:paraId="342F9725">
      <w:pPr>
        <w:pStyle w:val="6"/>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outlineLvl w:val="2"/>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二、资格审查</w:t>
      </w:r>
    </w:p>
    <w:p w14:paraId="27E68627">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1.开标结束后，采购人或采购代理机构将根据资格审查要求中的规定，对投标人进行资格审查，并形成资格审查结果。</w:t>
      </w:r>
    </w:p>
    <w:p w14:paraId="7B4C150D">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2.投标人《资格证明文件》有任何一项不符合《资格审查要求》的，资格审查不合格，其投标无效。</w:t>
      </w:r>
    </w:p>
    <w:p w14:paraId="548FFD79">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3.资格审查合格的投标人不足3家的，不进行评标。</w:t>
      </w:r>
    </w:p>
    <w:p w14:paraId="409AC1E2">
      <w:pPr>
        <w:pStyle w:val="34"/>
        <w:rPr>
          <w:rFonts w:hint="eastAsia"/>
          <w:lang w:val="en-US" w:eastAsia="zh-CN"/>
        </w:rPr>
      </w:pPr>
    </w:p>
    <w:p w14:paraId="4343421D">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35B35798">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099E8B94">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2846D00D">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09EDE43E">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5DF88C8D">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73BBEBB8">
      <w:pP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br w:type="page"/>
      </w:r>
    </w:p>
    <w:p w14:paraId="40332567">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资格审查要求</w:t>
      </w:r>
    </w:p>
    <w:p w14:paraId="6EB67FCC">
      <w:pPr>
        <w:keepNext w:val="0"/>
        <w:keepLines w:val="0"/>
        <w:pageBreakBefore w:val="0"/>
        <w:kinsoku/>
        <w:wordWrap w:val="0"/>
        <w:overflowPunct/>
        <w:topLinePunct w:val="0"/>
        <w:bidi w:val="0"/>
        <w:spacing w:line="146" w:lineRule="exact"/>
        <w:jc w:val="both"/>
        <w:rPr>
          <w:rFonts w:hint="eastAsia" w:asciiTheme="minorEastAsia" w:hAnsiTheme="minorEastAsia" w:eastAsiaTheme="minorEastAsia" w:cstheme="minorEastAsia"/>
        </w:rPr>
      </w:pPr>
    </w:p>
    <w:tbl>
      <w:tblPr>
        <w:tblStyle w:val="35"/>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98"/>
        <w:gridCol w:w="1092"/>
        <w:gridCol w:w="3465"/>
        <w:gridCol w:w="3253"/>
      </w:tblGrid>
      <w:tr w14:paraId="2CF1D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top"/>
          </w:tcPr>
          <w:p w14:paraId="13BCAC92">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0" w:type="auto"/>
            <w:vAlign w:val="top"/>
          </w:tcPr>
          <w:p w14:paraId="4B73293A">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0" w:type="auto"/>
            <w:vAlign w:val="top"/>
          </w:tcPr>
          <w:p w14:paraId="19D85599">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0" w:type="auto"/>
            <w:vAlign w:val="top"/>
          </w:tcPr>
          <w:p w14:paraId="232A58D3">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14:paraId="76D343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7A9E43FA">
            <w:pPr>
              <w:pStyle w:val="36"/>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rPr>
            </w:pPr>
          </w:p>
          <w:p w14:paraId="1A112AEA">
            <w:pPr>
              <w:pStyle w:val="36"/>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0" w:type="auto"/>
            <w:vAlign w:val="center"/>
          </w:tcPr>
          <w:p w14:paraId="5272D138">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投标人具备的</w:t>
            </w:r>
            <w:r>
              <w:rPr>
                <w:rFonts w:hint="eastAsia" w:asciiTheme="minorEastAsia" w:hAnsiTheme="minorEastAsia" w:eastAsiaTheme="minorEastAsia" w:cstheme="minorEastAsia"/>
                <w:spacing w:val="-2"/>
                <w:sz w:val="24"/>
                <w:szCs w:val="24"/>
              </w:rPr>
              <w:t>资格要求</w:t>
            </w:r>
          </w:p>
        </w:tc>
        <w:tc>
          <w:tcPr>
            <w:tcW w:w="0" w:type="auto"/>
            <w:vAlign w:val="top"/>
          </w:tcPr>
          <w:p w14:paraId="3DD2B71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1.</w:t>
            </w:r>
            <w:r>
              <w:rPr>
                <w:rFonts w:hint="eastAsia" w:asciiTheme="minorEastAsia" w:hAnsiTheme="minorEastAsia" w:eastAsiaTheme="minorEastAsia" w:cstheme="minorEastAsia"/>
                <w:spacing w:val="-2"/>
                <w:sz w:val="24"/>
                <w:szCs w:val="24"/>
                <w:lang w:val="en-US" w:eastAsia="zh-CN"/>
              </w:rPr>
              <w:t>注册于中华人民共和国境内，具有独立承担民事责任能力；</w:t>
            </w:r>
          </w:p>
          <w:p w14:paraId="5E313584">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2.具有良好的商业信誉和健全的财务会计制度；</w:t>
            </w:r>
          </w:p>
          <w:p w14:paraId="3EF17F30">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3.具有履行合同所必需的设备和专业技术能力；</w:t>
            </w:r>
          </w:p>
          <w:p w14:paraId="75292436">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4.有依法缴纳税收和社会保障资金的良好记录；</w:t>
            </w:r>
          </w:p>
          <w:p w14:paraId="20B48F53">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w:t>
            </w:r>
            <w:r>
              <w:rPr>
                <w:rFonts w:hint="eastAsia" w:asciiTheme="minorEastAsia" w:hAnsiTheme="minorEastAsia" w:eastAsiaTheme="minorEastAsia" w:cstheme="minorEastAsia"/>
                <w:snapToGrid w:val="0"/>
                <w:color w:val="000000"/>
                <w:spacing w:val="-14"/>
                <w:kern w:val="0"/>
                <w:sz w:val="24"/>
                <w:szCs w:val="24"/>
                <w:lang w:val="en-US" w:eastAsia="zh-CN" w:bidi="ar-SA"/>
              </w:rPr>
              <w:t>参加政府采购活动前三年内，在经营活动中没有重大违法记录；</w:t>
            </w:r>
          </w:p>
          <w:p w14:paraId="62590CDD">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val="en-US"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val="en-US"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24AE52DA">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7.遵守国家有关法律、法规、规章。</w:t>
            </w:r>
          </w:p>
        </w:tc>
        <w:tc>
          <w:tcPr>
            <w:tcW w:w="0" w:type="auto"/>
            <w:vAlign w:val="top"/>
          </w:tcPr>
          <w:p w14:paraId="2997AACF">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投标人为企业（包括合伙企业、个体工商户）的，应提供有效的营业执照；</w:t>
            </w:r>
          </w:p>
          <w:p w14:paraId="1D7C0A0B">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投标人为事业单位的，应提供有效的事业单位法人证书；</w:t>
            </w:r>
          </w:p>
          <w:p w14:paraId="0728C0B3">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投标人是非企业机构的，应提供有效的执业许可证、登记证书等证明文件；</w:t>
            </w:r>
          </w:p>
          <w:p w14:paraId="784A1F18">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投标人是自然人的，应提供有效的自然人身份证明。</w:t>
            </w:r>
          </w:p>
          <w:p w14:paraId="4064C531">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58A86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top"/>
          </w:tcPr>
          <w:p w14:paraId="01F77288">
            <w:pPr>
              <w:pStyle w:val="36"/>
              <w:keepNext w:val="0"/>
              <w:keepLines w:val="0"/>
              <w:pageBreakBefore w:val="0"/>
              <w:kinsoku/>
              <w:wordWrap w:val="0"/>
              <w:overflowPunct/>
              <w:topLinePunct w:val="0"/>
              <w:bidi w:val="0"/>
              <w:spacing w:before="137" w:line="201" w:lineRule="auto"/>
              <w:ind w:left="243"/>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val="en-US" w:eastAsia="zh-CN"/>
              </w:rPr>
              <w:t>2</w:t>
            </w:r>
          </w:p>
        </w:tc>
        <w:tc>
          <w:tcPr>
            <w:tcW w:w="0" w:type="auto"/>
            <w:vAlign w:val="top"/>
          </w:tcPr>
          <w:p w14:paraId="31744602">
            <w:pPr>
              <w:keepNext w:val="0"/>
              <w:keepLines w:val="0"/>
              <w:pageBreakBefore w:val="0"/>
              <w:kinsoku/>
              <w:wordWrap w:val="0"/>
              <w:overflowPunct/>
              <w:topLinePunct w:val="0"/>
              <w:bidi w:val="0"/>
              <w:spacing w:before="116" w:line="221" w:lineRule="auto"/>
              <w:ind w:lef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0" w:type="auto"/>
            <w:vAlign w:val="top"/>
          </w:tcPr>
          <w:p w14:paraId="5DA8B189">
            <w:pPr>
              <w:keepNext w:val="0"/>
              <w:keepLines w:val="0"/>
              <w:pageBreakBefore w:val="0"/>
              <w:kinsoku/>
              <w:wordWrap w:val="0"/>
              <w:overflowPunct/>
              <w:topLinePunct w:val="0"/>
              <w:bidi w:val="0"/>
              <w:spacing w:before="116" w:line="219" w:lineRule="auto"/>
              <w:ind w:left="1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0" w:type="auto"/>
            <w:vAlign w:val="top"/>
          </w:tcPr>
          <w:p w14:paraId="1B28451E">
            <w:pPr>
              <w:pStyle w:val="36"/>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r w14:paraId="11BE4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top"/>
          </w:tcPr>
          <w:p w14:paraId="1CD47BAD">
            <w:pPr>
              <w:pStyle w:val="36"/>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491198F5">
            <w:pPr>
              <w:pStyle w:val="36"/>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45B13231">
            <w:pPr>
              <w:pStyle w:val="36"/>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5BED6417">
            <w:pPr>
              <w:pStyle w:val="36"/>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799730BB">
            <w:pPr>
              <w:pStyle w:val="36"/>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4D443A80">
            <w:pPr>
              <w:pStyle w:val="36"/>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326F28E0">
            <w:pPr>
              <w:pStyle w:val="36"/>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12B4940C">
            <w:pPr>
              <w:pStyle w:val="36"/>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2F31A2C4">
            <w:pPr>
              <w:pStyle w:val="36"/>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0625EDCC">
            <w:pPr>
              <w:pStyle w:val="36"/>
              <w:keepNext w:val="0"/>
              <w:keepLines w:val="0"/>
              <w:pageBreakBefore w:val="0"/>
              <w:kinsoku/>
              <w:wordWrap w:val="0"/>
              <w:overflowPunct/>
              <w:topLinePunct w:val="0"/>
              <w:bidi w:val="0"/>
              <w:spacing w:before="49" w:line="19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0" w:type="auto"/>
            <w:vAlign w:val="top"/>
          </w:tcPr>
          <w:p w14:paraId="0BF2420E">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2772458">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20CCCFD">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4300041">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209C5B06">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291CFB0">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2AFA864C">
            <w:pPr>
              <w:pStyle w:val="36"/>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65A70946">
            <w:pPr>
              <w:pStyle w:val="36"/>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59F6AA07">
            <w:pPr>
              <w:pStyle w:val="36"/>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2D59C149">
            <w:pPr>
              <w:keepNext w:val="0"/>
              <w:keepLines w:val="0"/>
              <w:pageBreakBefore w:val="0"/>
              <w:kinsoku/>
              <w:wordWrap w:val="0"/>
              <w:overflowPunct/>
              <w:topLinePunct w:val="0"/>
              <w:bidi w:val="0"/>
              <w:spacing w:before="78" w:line="229" w:lineRule="auto"/>
              <w:ind w:left="112" w:right="105" w:firstLine="2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0" w:type="auto"/>
            <w:vAlign w:val="top"/>
          </w:tcPr>
          <w:p w14:paraId="003C79AF">
            <w:pPr>
              <w:keepNext w:val="0"/>
              <w:keepLines w:val="0"/>
              <w:pageBreakBefore w:val="0"/>
              <w:kinsoku/>
              <w:wordWrap w:val="0"/>
              <w:overflowPunct/>
              <w:topLinePunct w:val="0"/>
              <w:bidi w:val="0"/>
              <w:spacing w:before="36" w:line="215" w:lineRule="auto"/>
              <w:ind w:left="115" w:right="102" w:firstLine="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val="en-US"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val="en-US" w:eastAsia="zh-CN"/>
              </w:rPr>
              <w:t>提</w:t>
            </w:r>
            <w:r>
              <w:rPr>
                <w:rFonts w:hint="eastAsia" w:asciiTheme="minorEastAsia" w:hAnsiTheme="minorEastAsia" w:eastAsiaTheme="minorEastAsia" w:cstheme="minorEastAsia"/>
                <w:spacing w:val="-5"/>
                <w:sz w:val="24"/>
                <w:szCs w:val="24"/>
              </w:rPr>
              <w:t>供。</w:t>
            </w:r>
          </w:p>
          <w:p w14:paraId="40DE803A">
            <w:pPr>
              <w:pStyle w:val="36"/>
              <w:keepNext w:val="0"/>
              <w:keepLines w:val="0"/>
              <w:pageBreakBefore w:val="0"/>
              <w:kinsoku/>
              <w:wordWrap w:val="0"/>
              <w:overflowPunct/>
              <w:topLinePunct w:val="0"/>
              <w:bidi w:val="0"/>
              <w:spacing w:before="4" w:line="220" w:lineRule="auto"/>
              <w:ind w:left="116" w:right="102" w:firstLine="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1、投标人单独投标的，应</w:t>
            </w:r>
            <w:r>
              <w:rPr>
                <w:rFonts w:hint="eastAsia" w:asciiTheme="minorEastAsia" w:hAnsiTheme="minorEastAsia" w:eastAsiaTheme="minorEastAsia" w:cstheme="minorEastAsia"/>
                <w:spacing w:val="-5"/>
                <w:sz w:val="24"/>
                <w:szCs w:val="24"/>
                <w:lang w:val="en-US"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14:paraId="58569974">
            <w:pPr>
              <w:pStyle w:val="36"/>
              <w:keepNext w:val="0"/>
              <w:keepLines w:val="0"/>
              <w:pageBreakBefore w:val="0"/>
              <w:kinsoku/>
              <w:wordWrap w:val="0"/>
              <w:overflowPunct/>
              <w:topLinePunct w:val="0"/>
              <w:bidi w:val="0"/>
              <w:spacing w:before="20" w:line="236" w:lineRule="auto"/>
              <w:ind w:left="113" w:right="102" w:firstLine="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2、如招标文件要求以联合体形式参加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w:t>
            </w:r>
            <w:r>
              <w:rPr>
                <w:rFonts w:hint="eastAsia" w:asciiTheme="minorEastAsia" w:hAnsiTheme="minorEastAsia" w:eastAsiaTheme="minorEastAsia" w:cstheme="minorEastAsia"/>
                <w:spacing w:val="-4"/>
                <w:sz w:val="24"/>
                <w:szCs w:val="24"/>
              </w:rPr>
              <w:t>关于预留份额的要求。</w:t>
            </w:r>
          </w:p>
        </w:tc>
        <w:tc>
          <w:tcPr>
            <w:tcW w:w="0" w:type="auto"/>
            <w:vAlign w:val="top"/>
          </w:tcPr>
          <w:p w14:paraId="40A6137E">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6EDD7373">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C337B13">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3034B80A">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A72CA55">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4FCA1FFF">
            <w:pPr>
              <w:pStyle w:val="36"/>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5AAE514D">
            <w:pPr>
              <w:pStyle w:val="36"/>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38E9A44C">
            <w:pPr>
              <w:pStyle w:val="36"/>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127D0033">
            <w:pPr>
              <w:pStyle w:val="36"/>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1811B787">
            <w:pPr>
              <w:keepNext w:val="0"/>
              <w:keepLines w:val="0"/>
              <w:pageBreakBefore w:val="0"/>
              <w:kinsoku/>
              <w:wordWrap w:val="0"/>
              <w:overflowPunct/>
              <w:topLinePunct w:val="0"/>
              <w:bidi w:val="0"/>
              <w:spacing w:before="78" w:line="229" w:lineRule="auto"/>
              <w:ind w:left="118" w:right="11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格式见《投标</w:t>
            </w:r>
            <w:r>
              <w:rPr>
                <w:rFonts w:hint="eastAsia" w:asciiTheme="minorEastAsia" w:hAnsiTheme="minorEastAsia" w:eastAsiaTheme="minorEastAsia" w:cstheme="minorEastAsia"/>
                <w:spacing w:val="-4"/>
                <w:sz w:val="24"/>
                <w:szCs w:val="24"/>
              </w:rPr>
              <w:t>文件格式》</w:t>
            </w:r>
          </w:p>
        </w:tc>
      </w:tr>
      <w:tr w14:paraId="33DDA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top"/>
          </w:tcPr>
          <w:p w14:paraId="30F72CA9">
            <w:pPr>
              <w:pStyle w:val="36"/>
              <w:keepNext w:val="0"/>
              <w:keepLines w:val="0"/>
              <w:pageBreakBefore w:val="0"/>
              <w:kinsoku/>
              <w:wordWrap w:val="0"/>
              <w:overflowPunct/>
              <w:topLinePunct w:val="0"/>
              <w:bidi w:val="0"/>
              <w:spacing w:before="213" w:line="201" w:lineRule="auto"/>
              <w:ind w:left="36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0" w:type="auto"/>
            <w:vAlign w:val="top"/>
          </w:tcPr>
          <w:p w14:paraId="1B9B862C">
            <w:pPr>
              <w:keepNext w:val="0"/>
              <w:keepLines w:val="0"/>
              <w:pageBreakBefore w:val="0"/>
              <w:kinsoku/>
              <w:wordWrap w:val="0"/>
              <w:overflowPunct/>
              <w:topLinePunct w:val="0"/>
              <w:bidi w:val="0"/>
              <w:spacing w:before="35" w:line="224" w:lineRule="auto"/>
              <w:ind w:left="113"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val="en-US"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求</w:t>
            </w:r>
          </w:p>
        </w:tc>
        <w:tc>
          <w:tcPr>
            <w:tcW w:w="0" w:type="auto"/>
            <w:vAlign w:val="top"/>
          </w:tcPr>
          <w:p w14:paraId="6651E405">
            <w:pPr>
              <w:keepNext w:val="0"/>
              <w:keepLines w:val="0"/>
              <w:pageBreakBefore w:val="0"/>
              <w:kinsoku/>
              <w:wordWrap w:val="0"/>
              <w:overflowPunct/>
              <w:topLinePunct w:val="0"/>
              <w:bidi w:val="0"/>
              <w:spacing w:before="192" w:line="219"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0" w:type="auto"/>
            <w:vAlign w:val="top"/>
          </w:tcPr>
          <w:p w14:paraId="6F5EF71B">
            <w:pPr>
              <w:pStyle w:val="36"/>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14:paraId="031BCC5A">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both"/>
        <w:textAlignment w:val="auto"/>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z w:val="24"/>
          <w:szCs w:val="24"/>
          <w:lang w:val="en-US" w:eastAsia="zh-CN"/>
        </w:rPr>
        <w:t>说明：按照南阳市财政局《关于在政府采购活动中施行供应商资格信用承诺制的通知》宛财购〔2023〕4号的要求，对于市本级政府采购项目，全部实施供应商资格信用承诺，投标人在投标时，按照规定提供“南阳市政府采购供应商信用承诺函”（详见附件）的，无需再提交序号1中1-5项证明材料”。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14:paraId="52382346">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p>
    <w:p w14:paraId="2AE88959">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三、评标委员会</w:t>
      </w:r>
    </w:p>
    <w:p w14:paraId="652987A6">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采购预算金额在1000万元以上的或者技术复杂或者社会影响较大的采购项目，评标委员会成员人数应当为7人以上单数。</w:t>
      </w:r>
    </w:p>
    <w:p w14:paraId="48AC3FAD">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14:paraId="0BF31045">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3.评标委员会应当严格遵守评审纪律，现场签订评审委员会评审承诺书，并按照客观、公正、审慎的原则，根据采购文件规定的评审程序、评审方法和评审标准进行独立评审。</w:t>
      </w:r>
    </w:p>
    <w:p w14:paraId="18FBF410">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4.评标委员会应当在评审报告上签字，对自己评审意见承担法律责任。</w:t>
      </w:r>
    </w:p>
    <w:p w14:paraId="129FAD67">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5.评审专家未完成评审工作擅自离开评审现场，或者在评审活动中有违法违规行为的，不得获取劳务报酬和报销异地评审差旅费。评审专家以外的其他人员不得获取评审劳务报酬。</w:t>
      </w:r>
    </w:p>
    <w:p w14:paraId="30A8BD44">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47B6FA6">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7.评标委员会或者其成员存在下列情形导致评标结果无效的，采购人、采购代理机构可以重新组建评标委员会进行评标，并书面报告本级财政部门，但采购合同已经履行的除外：</w:t>
      </w:r>
    </w:p>
    <w:p w14:paraId="35451B6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（1）评标委员会组成不符合本办法规定的;</w:t>
      </w:r>
    </w:p>
    <w:p w14:paraId="458999F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（2）政府采购货物和服务招标投标管理办法（87号令）第六十二条第一至五项情形的;</w:t>
      </w:r>
    </w:p>
    <w:p w14:paraId="44CD2F3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（3）评标委员会及其成员独立评标受到非法干预的;</w:t>
      </w:r>
    </w:p>
    <w:p w14:paraId="17F632C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（4）有政府采购法实施条例第七十五条规定的违法行为的。</w:t>
      </w:r>
    </w:p>
    <w:p w14:paraId="6971FA1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有违法违规行为的原评标委员会成员不得参加重新组建的评标委员会。</w:t>
      </w:r>
    </w:p>
    <w:p w14:paraId="65D8F08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8.评审活动结束，按照《河南省政府采购评审专家劳务报酬支付标准》的通知(豫财购〔2017〕9号)的规定，发放劳务报酬。</w:t>
      </w:r>
    </w:p>
    <w:p w14:paraId="304C14D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4" w:firstLineChars="200"/>
        <w:jc w:val="both"/>
        <w:textAlignment w:val="baseline"/>
        <w:rPr>
          <w:rFonts w:hint="eastAsia" w:asciiTheme="minorEastAsia" w:hAnsiTheme="minorEastAsia" w:eastAsiaTheme="minorEastAsia" w:cstheme="minorEastAsia"/>
          <w:b/>
          <w:bCs/>
          <w:spacing w:val="3"/>
          <w:sz w:val="24"/>
          <w:szCs w:val="24"/>
          <w:lang w:val="en-US" w:eastAsia="zh-CN"/>
        </w:rPr>
      </w:pPr>
    </w:p>
    <w:p w14:paraId="478C2161">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四、投标文件的审查</w:t>
      </w:r>
    </w:p>
    <w:p w14:paraId="59394F7C">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投标文件的符合性审查</w:t>
      </w:r>
    </w:p>
    <w:p w14:paraId="0A4A57B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1.1</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rPr>
        <w:t>评标委员会对资格审查合格的投标人的投标文件进行符合性审查，以</w:t>
      </w:r>
    </w:p>
    <w:p w14:paraId="292866D2">
      <w:pPr>
        <w:pStyle w:val="6"/>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确定其</w:t>
      </w:r>
      <w:r>
        <w:rPr>
          <w:rFonts w:hint="eastAsia" w:asciiTheme="minorEastAsia" w:hAnsiTheme="minorEastAsia" w:eastAsiaTheme="minorEastAsia" w:cstheme="minorEastAsia"/>
          <w:spacing w:val="-3"/>
          <w:sz w:val="24"/>
          <w:szCs w:val="24"/>
        </w:rPr>
        <w:t>是否满足招标文件的实质性要求。</w:t>
      </w:r>
    </w:p>
    <w:p w14:paraId="01B8601C">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1.2</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14:paraId="2A63DDEB">
      <w:pPr>
        <w:pStyle w:val="6"/>
        <w:keepNext w:val="0"/>
        <w:keepLines w:val="0"/>
        <w:pageBreakBefore w:val="0"/>
        <w:kinsoku/>
        <w:wordWrap w:val="0"/>
        <w:overflowPunct/>
        <w:topLinePunct w:val="0"/>
        <w:bidi w:val="0"/>
        <w:spacing w:before="178" w:line="220" w:lineRule="auto"/>
        <w:ind w:left="3640"/>
        <w:jc w:val="both"/>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52786853">
      <w:pPr>
        <w:pStyle w:val="6"/>
        <w:keepNext w:val="0"/>
        <w:keepLines w:val="0"/>
        <w:pageBreakBefore w:val="0"/>
        <w:kinsoku/>
        <w:wordWrap w:val="0"/>
        <w:overflowPunct/>
        <w:topLinePunct w:val="0"/>
        <w:bidi w:val="0"/>
        <w:spacing w:before="178" w:line="220" w:lineRule="auto"/>
        <w:ind w:left="364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符合性审查要求</w:t>
      </w:r>
    </w:p>
    <w:p w14:paraId="0A5B99EE">
      <w:pPr>
        <w:keepNext w:val="0"/>
        <w:keepLines w:val="0"/>
        <w:pageBreakBefore w:val="0"/>
        <w:kinsoku/>
        <w:wordWrap w:val="0"/>
        <w:overflowPunct/>
        <w:topLinePunct w:val="0"/>
        <w:bidi w:val="0"/>
        <w:spacing w:line="145" w:lineRule="exact"/>
        <w:jc w:val="both"/>
        <w:rPr>
          <w:rFonts w:hint="eastAsia" w:asciiTheme="minorEastAsia" w:hAnsiTheme="minorEastAsia" w:eastAsiaTheme="minorEastAsia" w:cstheme="minorEastAsia"/>
        </w:rPr>
      </w:pPr>
    </w:p>
    <w:tbl>
      <w:tblPr>
        <w:tblStyle w:val="35"/>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14:paraId="1DDFC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vAlign w:val="top"/>
          </w:tcPr>
          <w:p w14:paraId="39C968B0">
            <w:pPr>
              <w:keepNext w:val="0"/>
              <w:keepLines w:val="0"/>
              <w:pageBreakBefore w:val="0"/>
              <w:kinsoku/>
              <w:wordWrap w:val="0"/>
              <w:overflowPunct/>
              <w:topLinePunct w:val="0"/>
              <w:bidi w:val="0"/>
              <w:spacing w:before="41" w:line="207" w:lineRule="auto"/>
              <w:ind w:left="14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812" w:type="dxa"/>
            <w:vAlign w:val="top"/>
          </w:tcPr>
          <w:p w14:paraId="6C9B8556">
            <w:pPr>
              <w:keepNext w:val="0"/>
              <w:keepLines w:val="0"/>
              <w:pageBreakBefore w:val="0"/>
              <w:kinsoku/>
              <w:wordWrap w:val="0"/>
              <w:overflowPunct/>
              <w:topLinePunct w:val="0"/>
              <w:bidi w:val="0"/>
              <w:spacing w:before="41" w:line="207" w:lineRule="auto"/>
              <w:ind w:left="43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5791" w:type="dxa"/>
            <w:vAlign w:val="top"/>
          </w:tcPr>
          <w:p w14:paraId="02CAC3B2">
            <w:pPr>
              <w:keepNext w:val="0"/>
              <w:keepLines w:val="0"/>
              <w:pageBreakBefore w:val="0"/>
              <w:kinsoku/>
              <w:wordWrap w:val="0"/>
              <w:overflowPunct/>
              <w:topLinePunct w:val="0"/>
              <w:bidi w:val="0"/>
              <w:spacing w:before="41" w:line="207" w:lineRule="auto"/>
              <w:ind w:left="289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r>
      <w:tr w14:paraId="3DF7E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238E1815">
            <w:pPr>
              <w:pStyle w:val="36"/>
              <w:keepNext w:val="0"/>
              <w:keepLines w:val="0"/>
              <w:pageBreakBefore w:val="0"/>
              <w:kinsoku/>
              <w:wordWrap w:val="0"/>
              <w:overflowPunct/>
              <w:topLinePunct w:val="0"/>
              <w:bidi w:val="0"/>
              <w:spacing w:before="245" w:line="199" w:lineRule="auto"/>
              <w:ind w:left="32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12" w:type="dxa"/>
            <w:vAlign w:val="top"/>
          </w:tcPr>
          <w:p w14:paraId="260B8214">
            <w:pPr>
              <w:keepNext w:val="0"/>
              <w:keepLines w:val="0"/>
              <w:pageBreakBefore w:val="0"/>
              <w:kinsoku/>
              <w:wordWrap w:val="0"/>
              <w:overflowPunct/>
              <w:topLinePunct w:val="0"/>
              <w:bidi w:val="0"/>
              <w:spacing w:before="222" w:line="219" w:lineRule="auto"/>
              <w:ind w:left="11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授权委托书</w:t>
            </w:r>
          </w:p>
        </w:tc>
        <w:tc>
          <w:tcPr>
            <w:tcW w:w="5791" w:type="dxa"/>
            <w:vAlign w:val="top"/>
          </w:tcPr>
          <w:p w14:paraId="5212613A">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按招标文件要求</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供授权委托书</w:t>
            </w:r>
            <w:r>
              <w:rPr>
                <w:rFonts w:hint="eastAsia" w:asciiTheme="minorEastAsia" w:hAnsiTheme="minorEastAsia" w:eastAsiaTheme="minorEastAsia" w:cstheme="minorEastAsia"/>
                <w:spacing w:val="-3"/>
                <w:sz w:val="24"/>
                <w:szCs w:val="24"/>
                <w:lang w:eastAsia="zh-CN"/>
              </w:rPr>
              <w:t>。</w:t>
            </w:r>
          </w:p>
        </w:tc>
      </w:tr>
      <w:tr w14:paraId="5F8BB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14:paraId="0BAE7E55">
            <w:pPr>
              <w:pStyle w:val="36"/>
              <w:keepNext w:val="0"/>
              <w:keepLines w:val="0"/>
              <w:pageBreakBefore w:val="0"/>
              <w:kinsoku/>
              <w:wordWrap w:val="0"/>
              <w:overflowPunct/>
              <w:topLinePunct w:val="0"/>
              <w:bidi w:val="0"/>
              <w:spacing w:before="244" w:line="201" w:lineRule="auto"/>
              <w:ind w:left="3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p>
        </w:tc>
        <w:tc>
          <w:tcPr>
            <w:tcW w:w="1812" w:type="dxa"/>
            <w:vAlign w:val="center"/>
          </w:tcPr>
          <w:p w14:paraId="0EB5C30C">
            <w:pPr>
              <w:keepNext w:val="0"/>
              <w:keepLines w:val="0"/>
              <w:pageBreakBefore w:val="0"/>
              <w:kinsoku/>
              <w:wordWrap w:val="0"/>
              <w:overflowPunct/>
              <w:topLinePunct w:val="0"/>
              <w:bidi w:val="0"/>
              <w:spacing w:before="223" w:line="220"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投标完整性</w:t>
            </w:r>
          </w:p>
        </w:tc>
        <w:tc>
          <w:tcPr>
            <w:tcW w:w="5791" w:type="dxa"/>
            <w:vAlign w:val="center"/>
          </w:tcPr>
          <w:p w14:paraId="4032DD35">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未将一个采购包中的内容拆分投标；</w:t>
            </w:r>
          </w:p>
          <w:p w14:paraId="44A1E6BB">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投标人对所投招标文件中所列的所有内容进行投标。</w:t>
            </w:r>
          </w:p>
        </w:tc>
      </w:tr>
      <w:tr w14:paraId="7C1A11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3E50B9D5">
            <w:pPr>
              <w:pStyle w:val="36"/>
              <w:keepNext w:val="0"/>
              <w:keepLines w:val="0"/>
              <w:pageBreakBefore w:val="0"/>
              <w:kinsoku/>
              <w:wordWrap w:val="0"/>
              <w:overflowPunct/>
              <w:topLinePunct w:val="0"/>
              <w:bidi w:val="0"/>
              <w:spacing w:before="245" w:line="201" w:lineRule="auto"/>
              <w:ind w:left="3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12" w:type="dxa"/>
            <w:vAlign w:val="top"/>
          </w:tcPr>
          <w:p w14:paraId="61B10110">
            <w:pPr>
              <w:keepNext w:val="0"/>
              <w:keepLines w:val="0"/>
              <w:pageBreakBefore w:val="0"/>
              <w:kinsoku/>
              <w:wordWrap w:val="0"/>
              <w:overflowPunct/>
              <w:topLinePunct w:val="0"/>
              <w:bidi w:val="0"/>
              <w:spacing w:before="221" w:line="219"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5791" w:type="dxa"/>
            <w:vAlign w:val="top"/>
          </w:tcPr>
          <w:p w14:paraId="5A19490C">
            <w:pPr>
              <w:pStyle w:val="36"/>
              <w:keepNext w:val="0"/>
              <w:keepLines w:val="0"/>
              <w:pageBreakBefore w:val="0"/>
              <w:kinsoku/>
              <w:wordWrap w:val="0"/>
              <w:overflowPunct/>
              <w:topLinePunct w:val="0"/>
              <w:bidi w:val="0"/>
              <w:spacing w:before="69" w:line="228" w:lineRule="auto"/>
              <w:ind w:left="117" w:right="29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投标报价未超过招标文件中规定的项目/采购包预算金额或者</w:t>
            </w:r>
            <w:r>
              <w:rPr>
                <w:rFonts w:hint="eastAsia" w:asciiTheme="minorEastAsia" w:hAnsiTheme="minorEastAsia" w:eastAsiaTheme="minorEastAsia" w:cstheme="minorEastAsia"/>
                <w:spacing w:val="-5"/>
                <w:sz w:val="24"/>
                <w:szCs w:val="24"/>
              </w:rPr>
              <w:t>项目/采购包最高限价</w:t>
            </w:r>
            <w:r>
              <w:rPr>
                <w:rFonts w:hint="eastAsia" w:asciiTheme="minorEastAsia" w:hAnsiTheme="minorEastAsia" w:eastAsiaTheme="minorEastAsia" w:cstheme="minorEastAsia"/>
                <w:spacing w:val="-5"/>
                <w:sz w:val="24"/>
                <w:szCs w:val="24"/>
                <w:lang w:eastAsia="zh-CN"/>
              </w:rPr>
              <w:t>。</w:t>
            </w:r>
          </w:p>
        </w:tc>
      </w:tr>
      <w:tr w14:paraId="20FD7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562C990A">
            <w:pPr>
              <w:pStyle w:val="36"/>
              <w:keepNext w:val="0"/>
              <w:keepLines w:val="0"/>
              <w:pageBreakBefore w:val="0"/>
              <w:kinsoku/>
              <w:wordWrap w:val="0"/>
              <w:overflowPunct/>
              <w:topLinePunct w:val="0"/>
              <w:bidi w:val="0"/>
              <w:spacing w:before="247" w:line="199" w:lineRule="auto"/>
              <w:ind w:left="30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w:t>
            </w:r>
          </w:p>
        </w:tc>
        <w:tc>
          <w:tcPr>
            <w:tcW w:w="1812" w:type="dxa"/>
            <w:vAlign w:val="top"/>
          </w:tcPr>
          <w:p w14:paraId="0D744143">
            <w:pPr>
              <w:keepNext w:val="0"/>
              <w:keepLines w:val="0"/>
              <w:pageBreakBefore w:val="0"/>
              <w:kinsoku/>
              <w:wordWrap w:val="0"/>
              <w:overflowPunct/>
              <w:topLinePunct w:val="0"/>
              <w:bidi w:val="0"/>
              <w:spacing w:before="223" w:line="219" w:lineRule="auto"/>
              <w:ind w:left="11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报价唯一性</w:t>
            </w:r>
          </w:p>
        </w:tc>
        <w:tc>
          <w:tcPr>
            <w:tcW w:w="5791" w:type="dxa"/>
            <w:vAlign w:val="top"/>
          </w:tcPr>
          <w:p w14:paraId="7A2632E9">
            <w:pPr>
              <w:keepNext w:val="0"/>
              <w:keepLines w:val="0"/>
              <w:pageBreakBefore w:val="0"/>
              <w:kinsoku/>
              <w:wordWrap w:val="0"/>
              <w:overflowPunct/>
              <w:topLinePunct w:val="0"/>
              <w:bidi w:val="0"/>
              <w:spacing w:before="68" w:line="230" w:lineRule="auto"/>
              <w:ind w:left="133" w:right="136" w:hanging="1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投标文件未出现可选择性或可调整的报价（招标文件另有规定</w:t>
            </w:r>
            <w:r>
              <w:rPr>
                <w:rFonts w:hint="eastAsia" w:asciiTheme="minorEastAsia" w:hAnsiTheme="minorEastAsia" w:eastAsiaTheme="minorEastAsia" w:cstheme="minorEastAsia"/>
                <w:spacing w:val="-17"/>
                <w:sz w:val="24"/>
                <w:szCs w:val="24"/>
              </w:rPr>
              <w:t>的除外</w:t>
            </w:r>
            <w:r>
              <w:rPr>
                <w:rFonts w:hint="eastAsia" w:asciiTheme="minorEastAsia" w:hAnsiTheme="minorEastAsia" w:eastAsiaTheme="minorEastAsia" w:cstheme="minorEastAsia"/>
                <w:spacing w:val="-9"/>
                <w:sz w:val="24"/>
                <w:szCs w:val="24"/>
              </w:rPr>
              <w:t>）</w:t>
            </w:r>
            <w:r>
              <w:rPr>
                <w:rFonts w:hint="eastAsia" w:asciiTheme="minorEastAsia" w:hAnsiTheme="minorEastAsia" w:eastAsiaTheme="minorEastAsia" w:cstheme="minorEastAsia"/>
                <w:spacing w:val="-9"/>
                <w:sz w:val="24"/>
                <w:szCs w:val="24"/>
                <w:lang w:eastAsia="zh-CN"/>
              </w:rPr>
              <w:t>。</w:t>
            </w:r>
          </w:p>
        </w:tc>
      </w:tr>
      <w:tr w14:paraId="0DCCD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54C68072">
            <w:pPr>
              <w:pStyle w:val="36"/>
              <w:keepNext w:val="0"/>
              <w:keepLines w:val="0"/>
              <w:pageBreakBefore w:val="0"/>
              <w:kinsoku/>
              <w:wordWrap w:val="0"/>
              <w:overflowPunct/>
              <w:topLinePunct w:val="0"/>
              <w:bidi w:val="0"/>
              <w:spacing w:before="248" w:line="199" w:lineRule="auto"/>
              <w:ind w:left="3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812" w:type="dxa"/>
            <w:vAlign w:val="top"/>
          </w:tcPr>
          <w:p w14:paraId="31085E6C">
            <w:pPr>
              <w:keepNext w:val="0"/>
              <w:keepLines w:val="0"/>
              <w:pageBreakBefore w:val="0"/>
              <w:kinsoku/>
              <w:wordWrap w:val="0"/>
              <w:overflowPunct/>
              <w:topLinePunct w:val="0"/>
              <w:bidi w:val="0"/>
              <w:spacing w:before="222" w:line="221"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投标有效期</w:t>
            </w:r>
          </w:p>
        </w:tc>
        <w:tc>
          <w:tcPr>
            <w:tcW w:w="5791" w:type="dxa"/>
            <w:vAlign w:val="top"/>
          </w:tcPr>
          <w:p w14:paraId="21DDE4A1">
            <w:pPr>
              <w:keepNext w:val="0"/>
              <w:keepLines w:val="0"/>
              <w:pageBreakBefore w:val="0"/>
              <w:kinsoku/>
              <w:wordWrap w:val="0"/>
              <w:overflowPunct/>
              <w:topLinePunct w:val="0"/>
              <w:bidi w:val="0"/>
              <w:spacing w:before="70" w:line="229" w:lineRule="auto"/>
              <w:ind w:left="117"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投标文件中承诺的投标有效期满足招标文件中载明的投标有效</w:t>
            </w:r>
            <w:r>
              <w:rPr>
                <w:rFonts w:hint="eastAsia" w:asciiTheme="minorEastAsia" w:hAnsiTheme="minorEastAsia" w:eastAsiaTheme="minorEastAsia" w:cstheme="minorEastAsia"/>
                <w:spacing w:val="-15"/>
                <w:sz w:val="24"/>
                <w:szCs w:val="24"/>
              </w:rPr>
              <w:t>期的</w:t>
            </w:r>
            <w:r>
              <w:rPr>
                <w:rFonts w:hint="eastAsia" w:asciiTheme="minorEastAsia" w:hAnsiTheme="minorEastAsia" w:eastAsiaTheme="minorEastAsia" w:cstheme="minorEastAsia"/>
                <w:spacing w:val="-15"/>
                <w:sz w:val="24"/>
                <w:szCs w:val="24"/>
                <w:lang w:eastAsia="zh-CN"/>
              </w:rPr>
              <w:t>。</w:t>
            </w:r>
          </w:p>
        </w:tc>
      </w:tr>
      <w:tr w14:paraId="5B828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30793F58">
            <w:pPr>
              <w:pStyle w:val="36"/>
              <w:keepNext w:val="0"/>
              <w:keepLines w:val="0"/>
              <w:pageBreakBefore w:val="0"/>
              <w:kinsoku/>
              <w:wordWrap w:val="0"/>
              <w:overflowPunct/>
              <w:topLinePunct w:val="0"/>
              <w:bidi w:val="0"/>
              <w:spacing w:before="244" w:line="202" w:lineRule="auto"/>
              <w:ind w:left="3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w:t>
            </w:r>
          </w:p>
        </w:tc>
        <w:tc>
          <w:tcPr>
            <w:tcW w:w="1812" w:type="dxa"/>
            <w:vAlign w:val="top"/>
          </w:tcPr>
          <w:p w14:paraId="77BA914C">
            <w:pPr>
              <w:keepNext w:val="0"/>
              <w:keepLines w:val="0"/>
              <w:pageBreakBefore w:val="0"/>
              <w:kinsoku/>
              <w:wordWrap w:val="0"/>
              <w:overflowPunct/>
              <w:topLinePunct w:val="0"/>
              <w:bidi w:val="0"/>
              <w:spacing w:before="224" w:line="220"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实质性格式</w:t>
            </w:r>
          </w:p>
        </w:tc>
        <w:tc>
          <w:tcPr>
            <w:tcW w:w="5791" w:type="dxa"/>
            <w:vAlign w:val="top"/>
          </w:tcPr>
          <w:p w14:paraId="65D966B3">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标记为</w:t>
            </w:r>
            <w:r>
              <w:rPr>
                <w:rFonts w:hint="eastAsia" w:asciiTheme="minorEastAsia" w:hAnsiTheme="minorEastAsia" w:eastAsiaTheme="minorEastAsia" w:cstheme="minorEastAsia"/>
                <w:spacing w:val="-1"/>
                <w:sz w:val="24"/>
                <w:szCs w:val="24"/>
              </w:rPr>
              <w:t>实质性格式的文件均按招标文件要求</w:t>
            </w:r>
            <w:r>
              <w:rPr>
                <w:rFonts w:hint="eastAsia" w:asciiTheme="minorEastAsia" w:hAnsiTheme="minorEastAsia" w:eastAsiaTheme="minorEastAsia" w:cstheme="minorEastAsia"/>
                <w:spacing w:val="-1"/>
                <w:sz w:val="24"/>
                <w:szCs w:val="24"/>
                <w:lang w:val="en-US" w:eastAsia="zh-CN"/>
              </w:rPr>
              <w:t>提</w:t>
            </w:r>
            <w:r>
              <w:rPr>
                <w:rFonts w:hint="eastAsia" w:asciiTheme="minorEastAsia" w:hAnsiTheme="minorEastAsia" w:eastAsiaTheme="minorEastAsia" w:cstheme="minorEastAsia"/>
                <w:spacing w:val="-1"/>
                <w:sz w:val="24"/>
                <w:szCs w:val="24"/>
              </w:rPr>
              <w:t>供且签署、盖</w:t>
            </w:r>
            <w:r>
              <w:rPr>
                <w:rFonts w:hint="eastAsia" w:asciiTheme="minorEastAsia" w:hAnsiTheme="minorEastAsia" w:eastAsiaTheme="minorEastAsia" w:cstheme="minorEastAsia"/>
                <w:spacing w:val="-17"/>
                <w:sz w:val="24"/>
                <w:szCs w:val="24"/>
              </w:rPr>
              <w:t>章的</w:t>
            </w:r>
            <w:r>
              <w:rPr>
                <w:rFonts w:hint="eastAsia" w:asciiTheme="minorEastAsia" w:hAnsiTheme="minorEastAsia" w:eastAsiaTheme="minorEastAsia" w:cstheme="minorEastAsia"/>
                <w:spacing w:val="-17"/>
                <w:sz w:val="24"/>
                <w:szCs w:val="24"/>
                <w:lang w:eastAsia="zh-CN"/>
              </w:rPr>
              <w:t>。</w:t>
            </w:r>
          </w:p>
        </w:tc>
      </w:tr>
      <w:tr w14:paraId="5A451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2A543EF3">
            <w:pPr>
              <w:pStyle w:val="36"/>
              <w:keepNext w:val="0"/>
              <w:keepLines w:val="0"/>
              <w:pageBreakBefore w:val="0"/>
              <w:kinsoku/>
              <w:wordWrap w:val="0"/>
              <w:overflowPunct/>
              <w:topLinePunct w:val="0"/>
              <w:bidi w:val="0"/>
              <w:spacing w:before="247"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7</w:t>
            </w:r>
          </w:p>
        </w:tc>
        <w:tc>
          <w:tcPr>
            <w:tcW w:w="1812" w:type="dxa"/>
            <w:vAlign w:val="top"/>
          </w:tcPr>
          <w:p w14:paraId="73BCB35B">
            <w:pPr>
              <w:keepNext w:val="0"/>
              <w:keepLines w:val="0"/>
              <w:pageBreakBefore w:val="0"/>
              <w:kinsoku/>
              <w:wordWrap w:val="0"/>
              <w:overflowPunct/>
              <w:topLinePunct w:val="0"/>
              <w:bidi w:val="0"/>
              <w:spacing w:before="72" w:line="230" w:lineRule="auto"/>
              <w:ind w:left="112" w:right="123" w:hanging="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报价的修正（如</w:t>
            </w:r>
            <w:r>
              <w:rPr>
                <w:rFonts w:hint="eastAsia" w:asciiTheme="minorEastAsia" w:hAnsiTheme="minorEastAsia" w:eastAsiaTheme="minorEastAsia" w:cstheme="minorEastAsia"/>
                <w:spacing w:val="-7"/>
                <w:sz w:val="24"/>
                <w:szCs w:val="24"/>
              </w:rPr>
              <w:t>有）</w:t>
            </w:r>
          </w:p>
        </w:tc>
        <w:tc>
          <w:tcPr>
            <w:tcW w:w="5791" w:type="dxa"/>
            <w:vAlign w:val="top"/>
          </w:tcPr>
          <w:p w14:paraId="3EA1F469">
            <w:pPr>
              <w:keepNext w:val="0"/>
              <w:keepLines w:val="0"/>
              <w:pageBreakBefore w:val="0"/>
              <w:kinsoku/>
              <w:wordWrap w:val="0"/>
              <w:overflowPunct/>
              <w:topLinePunct w:val="0"/>
              <w:bidi w:val="0"/>
              <w:spacing w:before="72" w:line="229" w:lineRule="auto"/>
              <w:ind w:left="114" w:right="136" w:firstLine="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不涉及报价修正，或投标文件报价出现前后不一致时，投标人</w:t>
            </w:r>
            <w:r>
              <w:rPr>
                <w:rFonts w:hint="eastAsia" w:asciiTheme="minorEastAsia" w:hAnsiTheme="minorEastAsia" w:eastAsiaTheme="minorEastAsia" w:cstheme="minorEastAsia"/>
                <w:spacing w:val="-2"/>
                <w:sz w:val="24"/>
                <w:szCs w:val="24"/>
              </w:rPr>
              <w:t>对修正后的报价予以确认</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如有）</w:t>
            </w:r>
          </w:p>
        </w:tc>
      </w:tr>
      <w:tr w14:paraId="1A4A5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top"/>
          </w:tcPr>
          <w:p w14:paraId="193BF9E2">
            <w:pPr>
              <w:pStyle w:val="36"/>
              <w:keepNext w:val="0"/>
              <w:keepLines w:val="0"/>
              <w:pageBreakBefore w:val="0"/>
              <w:kinsoku/>
              <w:wordWrap w:val="0"/>
              <w:overflowPunct/>
              <w:topLinePunct w:val="0"/>
              <w:bidi w:val="0"/>
              <w:spacing w:line="304" w:lineRule="auto"/>
              <w:jc w:val="center"/>
              <w:rPr>
                <w:rFonts w:hint="eastAsia" w:asciiTheme="minorEastAsia" w:hAnsiTheme="minorEastAsia" w:eastAsiaTheme="minorEastAsia" w:cstheme="minorEastAsia"/>
              </w:rPr>
            </w:pPr>
          </w:p>
          <w:p w14:paraId="6D0DF018">
            <w:pPr>
              <w:pStyle w:val="36"/>
              <w:keepNext w:val="0"/>
              <w:keepLines w:val="0"/>
              <w:pageBreakBefore w:val="0"/>
              <w:kinsoku/>
              <w:wordWrap w:val="0"/>
              <w:overflowPunct/>
              <w:topLinePunct w:val="0"/>
              <w:bidi w:val="0"/>
              <w:spacing w:before="69"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8</w:t>
            </w:r>
          </w:p>
        </w:tc>
        <w:tc>
          <w:tcPr>
            <w:tcW w:w="1812" w:type="dxa"/>
            <w:vAlign w:val="top"/>
          </w:tcPr>
          <w:p w14:paraId="1137E1EA">
            <w:pPr>
              <w:pStyle w:val="36"/>
              <w:keepNext w:val="0"/>
              <w:keepLines w:val="0"/>
              <w:pageBreakBefore w:val="0"/>
              <w:kinsoku/>
              <w:wordWrap w:val="0"/>
              <w:overflowPunct/>
              <w:topLinePunct w:val="0"/>
              <w:bidi w:val="0"/>
              <w:spacing w:line="271" w:lineRule="auto"/>
              <w:jc w:val="both"/>
              <w:rPr>
                <w:rFonts w:hint="eastAsia" w:asciiTheme="minorEastAsia" w:hAnsiTheme="minorEastAsia" w:eastAsiaTheme="minorEastAsia" w:cstheme="minorEastAsia"/>
              </w:rPr>
            </w:pPr>
          </w:p>
          <w:p w14:paraId="171F6E54">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报价合理性</w:t>
            </w:r>
          </w:p>
        </w:tc>
        <w:tc>
          <w:tcPr>
            <w:tcW w:w="5791" w:type="dxa"/>
            <w:vAlign w:val="top"/>
          </w:tcPr>
          <w:p w14:paraId="66E2FFFC">
            <w:pPr>
              <w:keepNext w:val="0"/>
              <w:keepLines w:val="0"/>
              <w:pageBreakBefore w:val="0"/>
              <w:kinsoku/>
              <w:wordWrap w:val="0"/>
              <w:overflowPunct/>
              <w:topLinePunct w:val="0"/>
              <w:bidi w:val="0"/>
              <w:spacing w:before="41" w:line="228" w:lineRule="auto"/>
              <w:ind w:left="113"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报价合理，或投标人的报价明显低于其他通过符合性审查投标人的报价，有可能影响产品质量或者不能诚信履约的，能够应</w:t>
            </w:r>
            <w:r>
              <w:rPr>
                <w:rFonts w:hint="eastAsia" w:asciiTheme="minorEastAsia" w:hAnsiTheme="minorEastAsia" w:eastAsiaTheme="minorEastAsia" w:cstheme="minorEastAsia"/>
                <w:spacing w:val="-3"/>
                <w:sz w:val="24"/>
                <w:szCs w:val="24"/>
              </w:rPr>
              <w:t>评标委员会要求在规定时间内证明其报价合理性的</w:t>
            </w:r>
            <w:r>
              <w:rPr>
                <w:rFonts w:hint="eastAsia" w:asciiTheme="minorEastAsia" w:hAnsiTheme="minorEastAsia" w:eastAsiaTheme="minorEastAsia" w:cstheme="minorEastAsia"/>
                <w:spacing w:val="-3"/>
                <w:sz w:val="24"/>
                <w:szCs w:val="24"/>
                <w:lang w:eastAsia="zh-CN"/>
              </w:rPr>
              <w:t>。</w:t>
            </w:r>
          </w:p>
        </w:tc>
      </w:tr>
      <w:tr w14:paraId="5C6C4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vAlign w:val="top"/>
          </w:tcPr>
          <w:p w14:paraId="093BEE7A">
            <w:pPr>
              <w:pStyle w:val="36"/>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9</w:t>
            </w:r>
          </w:p>
        </w:tc>
        <w:tc>
          <w:tcPr>
            <w:tcW w:w="1812" w:type="dxa"/>
            <w:vAlign w:val="top"/>
          </w:tcPr>
          <w:p w14:paraId="0791FE92">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交货时间</w:t>
            </w:r>
          </w:p>
          <w:p w14:paraId="6EDFB74B">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服务期限</w:t>
            </w:r>
          </w:p>
        </w:tc>
        <w:tc>
          <w:tcPr>
            <w:tcW w:w="5791" w:type="dxa"/>
            <w:vAlign w:val="center"/>
          </w:tcPr>
          <w:p w14:paraId="06A26726">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14:paraId="5012B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14:paraId="2C165795">
            <w:pPr>
              <w:pStyle w:val="36"/>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10</w:t>
            </w:r>
          </w:p>
        </w:tc>
        <w:tc>
          <w:tcPr>
            <w:tcW w:w="1812" w:type="dxa"/>
            <w:vAlign w:val="center"/>
          </w:tcPr>
          <w:p w14:paraId="3FD67925">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2"/>
                <w:sz w:val="24"/>
                <w:szCs w:val="24"/>
                <w:lang w:val="en-US" w:eastAsia="zh-CN"/>
              </w:rPr>
              <w:t>质保期</w:t>
            </w:r>
          </w:p>
          <w:p w14:paraId="62603EDF">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val="en-US" w:eastAsia="zh-CN"/>
              </w:rPr>
              <w:t>服务质量</w:t>
            </w:r>
          </w:p>
        </w:tc>
        <w:tc>
          <w:tcPr>
            <w:tcW w:w="5791" w:type="dxa"/>
            <w:vAlign w:val="center"/>
          </w:tcPr>
          <w:p w14:paraId="615E7E73">
            <w:pPr>
              <w:keepNext w:val="0"/>
              <w:keepLines w:val="0"/>
              <w:pageBreakBefore w:val="0"/>
              <w:kinsoku/>
              <w:wordWrap w:val="0"/>
              <w:overflowPunct/>
              <w:topLinePunct w:val="0"/>
              <w:bidi w:val="0"/>
              <w:spacing w:before="41" w:line="228" w:lineRule="auto"/>
              <w:ind w:left="113" w:right="136"/>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14:paraId="1DAAA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vAlign w:val="top"/>
          </w:tcPr>
          <w:p w14:paraId="25665586">
            <w:pPr>
              <w:pStyle w:val="36"/>
              <w:keepNext w:val="0"/>
              <w:keepLines w:val="0"/>
              <w:pageBreakBefore w:val="0"/>
              <w:kinsoku/>
              <w:wordWrap w:val="0"/>
              <w:overflowPunct/>
              <w:topLinePunct w:val="0"/>
              <w:bidi w:val="0"/>
              <w:spacing w:line="301" w:lineRule="auto"/>
              <w:jc w:val="center"/>
              <w:rPr>
                <w:rFonts w:hint="eastAsia" w:asciiTheme="minorEastAsia" w:hAnsiTheme="minorEastAsia" w:eastAsiaTheme="minorEastAsia" w:cstheme="minorEastAsia"/>
              </w:rPr>
            </w:pPr>
          </w:p>
          <w:p w14:paraId="0A5E0E6A">
            <w:pPr>
              <w:pStyle w:val="36"/>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11</w:t>
            </w:r>
          </w:p>
        </w:tc>
        <w:tc>
          <w:tcPr>
            <w:tcW w:w="1812" w:type="dxa"/>
            <w:vAlign w:val="top"/>
          </w:tcPr>
          <w:p w14:paraId="523560F8">
            <w:pPr>
              <w:pStyle w:val="36"/>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14:paraId="5C231E3E">
            <w:pPr>
              <w:keepNext w:val="0"/>
              <w:keepLines w:val="0"/>
              <w:pageBreakBefore w:val="0"/>
              <w:kinsoku/>
              <w:wordWrap w:val="0"/>
              <w:overflowPunct/>
              <w:topLinePunct w:val="0"/>
              <w:bidi w:val="0"/>
              <w:spacing w:before="78" w:line="220" w:lineRule="auto"/>
              <w:ind w:left="12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公平竞争</w:t>
            </w:r>
          </w:p>
        </w:tc>
        <w:tc>
          <w:tcPr>
            <w:tcW w:w="5791" w:type="dxa"/>
            <w:vAlign w:val="top"/>
          </w:tcPr>
          <w:p w14:paraId="05FECE68">
            <w:pPr>
              <w:keepNext w:val="0"/>
              <w:keepLines w:val="0"/>
              <w:pageBreakBefore w:val="0"/>
              <w:kinsoku/>
              <w:wordWrap w:val="0"/>
              <w:overflowPunct/>
              <w:topLinePunct w:val="0"/>
              <w:bidi w:val="0"/>
              <w:spacing w:before="38" w:line="228" w:lineRule="auto"/>
              <w:ind w:left="113" w:right="136" w:firstLine="4"/>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投标人遵循公平竞争的原则，不存在恶意串通，妨碍其他投标人的竞争行为，不存在损害采购人或者其他投标人的合法权益</w:t>
            </w:r>
            <w:r>
              <w:rPr>
                <w:rFonts w:hint="eastAsia" w:asciiTheme="minorEastAsia" w:hAnsiTheme="minorEastAsia" w:eastAsiaTheme="minorEastAsia" w:cstheme="minorEastAsia"/>
                <w:spacing w:val="-12"/>
                <w:sz w:val="24"/>
                <w:szCs w:val="24"/>
              </w:rPr>
              <w:t>情形的</w:t>
            </w:r>
            <w:r>
              <w:rPr>
                <w:rFonts w:hint="eastAsia" w:asciiTheme="minorEastAsia" w:hAnsiTheme="minorEastAsia" w:eastAsiaTheme="minorEastAsia" w:cstheme="minorEastAsia"/>
                <w:spacing w:val="-12"/>
                <w:sz w:val="24"/>
                <w:szCs w:val="24"/>
                <w:lang w:eastAsia="zh-CN"/>
              </w:rPr>
              <w:t>。</w:t>
            </w:r>
          </w:p>
        </w:tc>
      </w:tr>
      <w:tr w14:paraId="3373B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vAlign w:val="top"/>
          </w:tcPr>
          <w:p w14:paraId="1264F078">
            <w:pPr>
              <w:pStyle w:val="36"/>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34C33747">
            <w:pPr>
              <w:pStyle w:val="36"/>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0BE934D5">
            <w:pPr>
              <w:pStyle w:val="36"/>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4D081CA3">
            <w:pPr>
              <w:pStyle w:val="36"/>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12</w:t>
            </w:r>
          </w:p>
        </w:tc>
        <w:tc>
          <w:tcPr>
            <w:tcW w:w="1812" w:type="dxa"/>
            <w:vAlign w:val="top"/>
          </w:tcPr>
          <w:p w14:paraId="1FE719E1">
            <w:pPr>
              <w:pStyle w:val="36"/>
              <w:keepNext w:val="0"/>
              <w:keepLines w:val="0"/>
              <w:pageBreakBefore w:val="0"/>
              <w:kinsoku/>
              <w:wordWrap w:val="0"/>
              <w:overflowPunct/>
              <w:topLinePunct w:val="0"/>
              <w:bidi w:val="0"/>
              <w:spacing w:line="296" w:lineRule="auto"/>
              <w:jc w:val="both"/>
              <w:rPr>
                <w:rFonts w:hint="eastAsia" w:asciiTheme="minorEastAsia" w:hAnsiTheme="minorEastAsia" w:eastAsiaTheme="minorEastAsia" w:cstheme="minorEastAsia"/>
              </w:rPr>
            </w:pPr>
          </w:p>
          <w:p w14:paraId="0DC5CCC9">
            <w:pPr>
              <w:pStyle w:val="36"/>
              <w:keepNext w:val="0"/>
              <w:keepLines w:val="0"/>
              <w:pageBreakBefore w:val="0"/>
              <w:kinsoku/>
              <w:wordWrap w:val="0"/>
              <w:overflowPunct/>
              <w:topLinePunct w:val="0"/>
              <w:bidi w:val="0"/>
              <w:spacing w:line="296" w:lineRule="auto"/>
              <w:jc w:val="both"/>
              <w:rPr>
                <w:rFonts w:hint="eastAsia" w:asciiTheme="minorEastAsia" w:hAnsiTheme="minorEastAsia" w:eastAsiaTheme="minorEastAsia" w:cstheme="minorEastAsia"/>
              </w:rPr>
            </w:pPr>
          </w:p>
          <w:p w14:paraId="5782FDCF">
            <w:pPr>
              <w:pStyle w:val="36"/>
              <w:keepNext w:val="0"/>
              <w:keepLines w:val="0"/>
              <w:pageBreakBefore w:val="0"/>
              <w:kinsoku/>
              <w:wordWrap w:val="0"/>
              <w:overflowPunct/>
              <w:topLinePunct w:val="0"/>
              <w:bidi w:val="0"/>
              <w:spacing w:line="297" w:lineRule="auto"/>
              <w:jc w:val="both"/>
              <w:rPr>
                <w:rFonts w:hint="eastAsia" w:asciiTheme="minorEastAsia" w:hAnsiTheme="minorEastAsia" w:eastAsiaTheme="minorEastAsia" w:cstheme="minorEastAsia"/>
              </w:rPr>
            </w:pPr>
          </w:p>
          <w:p w14:paraId="4C286722">
            <w:pPr>
              <w:keepNext w:val="0"/>
              <w:keepLines w:val="0"/>
              <w:pageBreakBefore w:val="0"/>
              <w:kinsoku/>
              <w:wordWrap w:val="0"/>
              <w:overflowPunct/>
              <w:topLinePunct w:val="0"/>
              <w:bidi w:val="0"/>
              <w:spacing w:before="78" w:line="221" w:lineRule="auto"/>
              <w:ind w:left="13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串通投标</w:t>
            </w:r>
          </w:p>
        </w:tc>
        <w:tc>
          <w:tcPr>
            <w:tcW w:w="5791" w:type="dxa"/>
            <w:vMerge w:val="restart"/>
            <w:vAlign w:val="top"/>
          </w:tcPr>
          <w:p w14:paraId="657BA3FF">
            <w:pPr>
              <w:keepNext w:val="0"/>
              <w:keepLines w:val="0"/>
              <w:pageBreakBefore w:val="0"/>
              <w:kinsoku/>
              <w:wordWrap w:val="0"/>
              <w:overflowPunct/>
              <w:topLinePunct w:val="0"/>
              <w:bidi w:val="0"/>
              <w:spacing w:before="42" w:line="234" w:lineRule="auto"/>
              <w:ind w:left="113" w:right="2" w:firstLine="5"/>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
                <w:sz w:val="24"/>
                <w:szCs w:val="24"/>
              </w:rPr>
              <w:t>不存在《政府采购货物和服务招标投标管理办法》视为投标人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7"/>
                <w:sz w:val="24"/>
                <w:szCs w:val="24"/>
              </w:rPr>
              <w:t>一）不同投标人的投标文件由同一单位或者</w:t>
            </w:r>
            <w:r>
              <w:rPr>
                <w:rFonts w:hint="eastAsia" w:asciiTheme="minorEastAsia" w:hAnsiTheme="minorEastAsia" w:eastAsiaTheme="minorEastAsia" w:cstheme="minorEastAsia"/>
                <w:spacing w:val="-8"/>
                <w:sz w:val="24"/>
                <w:szCs w:val="24"/>
              </w:rPr>
              <w:t>个人编制</w:t>
            </w:r>
            <w:r>
              <w:rPr>
                <w:rFonts w:hint="eastAsia" w:asciiTheme="minorEastAsia" w:hAnsiTheme="minorEastAsia" w:eastAsiaTheme="minorEastAsia" w:cstheme="minorEastAsia"/>
                <w:spacing w:val="-31"/>
                <w:sz w:val="24"/>
                <w:szCs w:val="24"/>
              </w:rPr>
              <w:t>；（</w:t>
            </w:r>
            <w:r>
              <w:rPr>
                <w:rFonts w:hint="eastAsia" w:asciiTheme="minorEastAsia" w:hAnsiTheme="minorEastAsia" w:eastAsiaTheme="minorEastAsia" w:cstheme="minorEastAsia"/>
                <w:spacing w:val="-8"/>
                <w:sz w:val="24"/>
                <w:szCs w:val="24"/>
              </w:rPr>
              <w:t>二）不同投标人委托同一单位或者个人办</w:t>
            </w:r>
            <w:r>
              <w:rPr>
                <w:rFonts w:hint="eastAsia" w:asciiTheme="minorEastAsia" w:hAnsiTheme="minorEastAsia" w:eastAsiaTheme="minorEastAsia" w:cstheme="minorEastAsia"/>
                <w:spacing w:val="-9"/>
                <w:sz w:val="24"/>
                <w:szCs w:val="24"/>
              </w:rPr>
              <w:t>理投标事</w:t>
            </w:r>
            <w:r>
              <w:rPr>
                <w:rFonts w:hint="eastAsia" w:asciiTheme="minorEastAsia" w:hAnsiTheme="minorEastAsia" w:eastAsiaTheme="minorEastAsia" w:cstheme="minorEastAsia"/>
                <w:spacing w:val="-6"/>
                <w:sz w:val="24"/>
                <w:szCs w:val="24"/>
              </w:rPr>
              <w:t>宜</w:t>
            </w:r>
            <w:r>
              <w:rPr>
                <w:rFonts w:hint="eastAsia" w:asciiTheme="minorEastAsia" w:hAnsiTheme="minorEastAsia" w:eastAsiaTheme="minorEastAsia" w:cstheme="minorEastAsia"/>
                <w:spacing w:val="-59"/>
                <w:sz w:val="24"/>
                <w:szCs w:val="24"/>
              </w:rPr>
              <w:t>；（</w:t>
            </w:r>
            <w:r>
              <w:rPr>
                <w:rFonts w:hint="eastAsia" w:asciiTheme="minorEastAsia" w:hAnsiTheme="minorEastAsia" w:eastAsiaTheme="minorEastAsia" w:cstheme="minorEastAsia"/>
                <w:spacing w:val="-6"/>
                <w:sz w:val="24"/>
                <w:szCs w:val="24"/>
              </w:rPr>
              <w:t>三）不同投标人的投标文件载明的项目管理成员或者联系人员为同一人</w:t>
            </w:r>
            <w:r>
              <w:rPr>
                <w:rFonts w:hint="eastAsia" w:asciiTheme="minorEastAsia" w:hAnsiTheme="minorEastAsia" w:eastAsiaTheme="minorEastAsia" w:cstheme="minorEastAsia"/>
                <w:spacing w:val="-57"/>
                <w:sz w:val="24"/>
                <w:szCs w:val="24"/>
              </w:rPr>
              <w:t>；（</w:t>
            </w:r>
            <w:r>
              <w:rPr>
                <w:rFonts w:hint="eastAsia" w:asciiTheme="minorEastAsia" w:hAnsiTheme="minorEastAsia" w:eastAsiaTheme="minorEastAsia" w:cstheme="minorEastAsia"/>
                <w:spacing w:val="-6"/>
                <w:sz w:val="24"/>
                <w:szCs w:val="24"/>
              </w:rPr>
              <w:t>四）不同投标人的投标文件异常一</w:t>
            </w:r>
            <w:r>
              <w:rPr>
                <w:rFonts w:hint="eastAsia" w:asciiTheme="minorEastAsia" w:hAnsiTheme="minorEastAsia" w:eastAsiaTheme="minorEastAsia" w:cstheme="minorEastAsia"/>
                <w:spacing w:val="-7"/>
                <w:sz w:val="24"/>
                <w:szCs w:val="24"/>
              </w:rPr>
              <w:t>致或者投标</w:t>
            </w:r>
            <w:r>
              <w:rPr>
                <w:rFonts w:hint="eastAsia" w:asciiTheme="minorEastAsia" w:hAnsiTheme="minorEastAsia" w:eastAsiaTheme="minorEastAsia" w:cstheme="minorEastAsia"/>
                <w:spacing w:val="-18"/>
                <w:sz w:val="24"/>
                <w:szCs w:val="24"/>
              </w:rPr>
              <w:t>报价呈规律性差异</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五）不同投标人的投标文件相互混装</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六）</w:t>
            </w:r>
            <w:r>
              <w:rPr>
                <w:rFonts w:hint="eastAsia" w:asciiTheme="minorEastAsia" w:hAnsiTheme="minorEastAsia" w:eastAsiaTheme="minorEastAsia" w:cstheme="minorEastAsia"/>
                <w:spacing w:val="-1"/>
                <w:sz w:val="24"/>
                <w:szCs w:val="24"/>
              </w:rPr>
              <w:t>不同投标人的投标保证金从同一单位或者个人的账户转出；</w:t>
            </w:r>
            <w:r>
              <w:rPr>
                <w:rFonts w:hint="eastAsia" w:asciiTheme="minorEastAsia" w:hAnsiTheme="minorEastAsia" w:eastAsiaTheme="minorEastAsia" w:cstheme="minorEastAsia"/>
                <w:snapToGrid w:val="0"/>
                <w:color w:val="000000"/>
                <w:spacing w:val="-1"/>
                <w:kern w:val="0"/>
                <w:sz w:val="24"/>
                <w:szCs w:val="24"/>
                <w:lang w:val="en-US" w:eastAsia="zh-CN" w:bidi="ar-SA"/>
              </w:rPr>
              <w:t>不存在</w:t>
            </w:r>
            <w:r>
              <w:rPr>
                <w:rFonts w:hint="eastAsia" w:asciiTheme="minorEastAsia" w:hAnsiTheme="minorEastAsia" w:eastAsiaTheme="minorEastAsia" w:cstheme="minorEastAsia"/>
                <w:snapToGrid w:val="0"/>
                <w:color w:val="000000"/>
                <w:spacing w:val="-1"/>
                <w:kern w:val="0"/>
                <w:sz w:val="24"/>
                <w:szCs w:val="24"/>
                <w:lang w:val="en-US" w:eastAsia="en-US" w:bidi="ar-SA"/>
              </w:rPr>
              <w:t>南阳市财政局关于防范供应商串通投标促进政府采购公平竞争的通知（宛财购〔2022〕3号）</w:t>
            </w:r>
            <w:r>
              <w:rPr>
                <w:rFonts w:hint="eastAsia" w:asciiTheme="minorEastAsia" w:hAnsiTheme="minorEastAsia" w:eastAsiaTheme="minorEastAsia" w:cstheme="minorEastAsia"/>
                <w:spacing w:val="-1"/>
                <w:sz w:val="24"/>
                <w:szCs w:val="24"/>
              </w:rPr>
              <w:t>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p>
          <w:p w14:paraId="69181B9D">
            <w:pPr>
              <w:keepNext w:val="0"/>
              <w:keepLines w:val="0"/>
              <w:pageBreakBefore w:val="0"/>
              <w:widowControl/>
              <w:kinsoku/>
              <w:wordWrap w:val="0"/>
              <w:overflowPunct/>
              <w:topLinePunct w:val="0"/>
              <w:autoSpaceDE w:val="0"/>
              <w:autoSpaceDN w:val="0"/>
              <w:bidi w:val="0"/>
              <w:adjustRightInd w:val="0"/>
              <w:snapToGrid w:val="0"/>
              <w:spacing w:line="234" w:lineRule="auto"/>
              <w:ind w:left="0" w:right="0" w:firstLine="5"/>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一</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）不同供应商的电子投标（响应）文件上传的计算机网卡MAC地址、CPU序列号和硬盘序列号等硬件信息相同</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二</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）不同供应商的投标（响应）文件由同一电子设备编制、打印、加密或上传；（</w:t>
            </w:r>
            <w:r>
              <w:rPr>
                <w:rFonts w:hint="eastAsia" w:asciiTheme="minorEastAsia" w:hAnsiTheme="minorEastAsia" w:eastAsiaTheme="minorEastAsia" w:cstheme="minorEastAsia"/>
                <w:snapToGrid w:val="0"/>
                <w:color w:val="000000"/>
                <w:spacing w:val="-1"/>
                <w:kern w:val="0"/>
                <w:sz w:val="24"/>
                <w:szCs w:val="24"/>
                <w:lang w:val="en-US" w:eastAsia="zh-CN" w:bidi="ar-SA"/>
              </w:rPr>
              <w:t>三</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）不同供应商的投标（响应）文件由同一电子设备打印、复印；（</w:t>
            </w:r>
            <w:r>
              <w:rPr>
                <w:rFonts w:hint="eastAsia" w:asciiTheme="minorEastAsia" w:hAnsiTheme="minorEastAsia" w:eastAsiaTheme="minorEastAsia" w:cstheme="minorEastAsia"/>
                <w:snapToGrid w:val="0"/>
                <w:color w:val="000000"/>
                <w:spacing w:val="-1"/>
                <w:kern w:val="0"/>
                <w:sz w:val="24"/>
                <w:szCs w:val="24"/>
                <w:lang w:val="en-US" w:eastAsia="zh-CN" w:bidi="ar-SA"/>
              </w:rPr>
              <w:t>四</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）不同供应商的投标（响应）文件由同一人送达或分发，或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w:t>
            </w:r>
            <w:r>
              <w:rPr>
                <w:rFonts w:hint="eastAsia" w:asciiTheme="minorEastAsia" w:hAnsiTheme="minorEastAsia" w:eastAsiaTheme="minorEastAsia" w:cstheme="minorEastAsia"/>
                <w:snapToGrid w:val="0"/>
                <w:color w:val="000000"/>
                <w:spacing w:val="-1"/>
                <w:kern w:val="0"/>
                <w:sz w:val="24"/>
                <w:szCs w:val="24"/>
                <w:lang w:val="en-US" w:eastAsia="zh-CN" w:bidi="ar-SA"/>
              </w:rPr>
              <w:t>联系人</w:t>
            </w:r>
            <w:r>
              <w:rPr>
                <w:rFonts w:hint="eastAsia" w:asciiTheme="minorEastAsia" w:hAnsiTheme="minorEastAsia" w:eastAsiaTheme="minorEastAsia" w:cstheme="minorEastAsia"/>
                <w:snapToGrid w:val="0"/>
                <w:color w:val="000000"/>
                <w:spacing w:val="-1"/>
                <w:kern w:val="0"/>
                <w:sz w:val="24"/>
                <w:szCs w:val="24"/>
                <w:lang w:val="en-US" w:eastAsia="en-US" w:bidi="ar-SA"/>
              </w:rPr>
              <w:t>为同一人或不同联系人</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联系电话一致</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五</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）不同供应商的投标（响应）文件内容</w:t>
            </w:r>
            <w:r>
              <w:rPr>
                <w:rFonts w:hint="eastAsia" w:asciiTheme="minorEastAsia" w:hAnsiTheme="minorEastAsia" w:eastAsiaTheme="minorEastAsia" w:cstheme="minorEastAsia"/>
                <w:snapToGrid w:val="0"/>
                <w:color w:val="000000"/>
                <w:spacing w:val="-1"/>
                <w:kern w:val="0"/>
                <w:sz w:val="24"/>
                <w:szCs w:val="24"/>
                <w:lang w:val="en-US" w:eastAsia="zh-CN" w:bidi="ar-SA"/>
              </w:rPr>
              <w:t>存在</w:t>
            </w:r>
            <w:r>
              <w:rPr>
                <w:rFonts w:hint="eastAsia" w:asciiTheme="minorEastAsia" w:hAnsiTheme="minorEastAsia" w:eastAsiaTheme="minorEastAsia" w:cstheme="minorEastAsia"/>
                <w:snapToGrid w:val="0"/>
                <w:color w:val="000000"/>
                <w:spacing w:val="-1"/>
                <w:kern w:val="0"/>
                <w:sz w:val="24"/>
                <w:szCs w:val="24"/>
                <w:lang w:val="en-US" w:eastAsia="en-US" w:bidi="ar-SA"/>
              </w:rPr>
              <w:t>两处以上</w:t>
            </w:r>
            <w:r>
              <w:rPr>
                <w:rFonts w:hint="eastAsia" w:asciiTheme="minorEastAsia" w:hAnsiTheme="minorEastAsia" w:eastAsiaTheme="minorEastAsia" w:cstheme="minorEastAsia"/>
                <w:snapToGrid w:val="0"/>
                <w:color w:val="000000"/>
                <w:spacing w:val="-1"/>
                <w:kern w:val="0"/>
                <w:sz w:val="24"/>
                <w:szCs w:val="24"/>
                <w:lang w:val="en-US" w:eastAsia="zh-CN" w:bidi="ar-SA"/>
              </w:rPr>
              <w:t>细节错误</w:t>
            </w:r>
            <w:r>
              <w:rPr>
                <w:rFonts w:hint="eastAsia" w:asciiTheme="minorEastAsia" w:hAnsiTheme="minorEastAsia" w:eastAsiaTheme="minorEastAsia" w:cstheme="minorEastAsia"/>
                <w:snapToGrid w:val="0"/>
                <w:color w:val="000000"/>
                <w:spacing w:val="-1"/>
                <w:kern w:val="0"/>
                <w:sz w:val="24"/>
                <w:szCs w:val="24"/>
                <w:lang w:val="en-US" w:eastAsia="en-US" w:bidi="ar-SA"/>
              </w:rPr>
              <w:t>一致；（</w:t>
            </w:r>
            <w:r>
              <w:rPr>
                <w:rFonts w:hint="eastAsia" w:asciiTheme="minorEastAsia" w:hAnsiTheme="minorEastAsia" w:eastAsiaTheme="minorEastAsia" w:cstheme="minorEastAsia"/>
                <w:snapToGrid w:val="0"/>
                <w:color w:val="000000"/>
                <w:spacing w:val="-1"/>
                <w:kern w:val="0"/>
                <w:sz w:val="24"/>
                <w:szCs w:val="24"/>
                <w:lang w:val="en-US" w:eastAsia="zh-CN" w:bidi="ar-SA"/>
              </w:rPr>
              <w:t>六</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）不同供应商的法定代表人、委托代理人、项目经理、项目负责人</w:t>
            </w:r>
            <w:r>
              <w:rPr>
                <w:rFonts w:hint="eastAsia" w:asciiTheme="minorEastAsia" w:hAnsiTheme="minorEastAsia" w:eastAsiaTheme="minorEastAsia" w:cstheme="minorEastAsia"/>
                <w:snapToGrid w:val="0"/>
                <w:color w:val="000000"/>
                <w:spacing w:val="-1"/>
                <w:kern w:val="0"/>
                <w:sz w:val="24"/>
                <w:szCs w:val="24"/>
                <w:lang w:val="en-US" w:eastAsia="zh-CN" w:bidi="ar-SA"/>
              </w:rPr>
              <w:t>等由</w:t>
            </w:r>
            <w:r>
              <w:rPr>
                <w:rFonts w:hint="eastAsia" w:asciiTheme="minorEastAsia" w:hAnsiTheme="minorEastAsia" w:eastAsiaTheme="minorEastAsia" w:cstheme="minorEastAsia"/>
                <w:snapToGrid w:val="0"/>
                <w:color w:val="000000"/>
                <w:spacing w:val="-1"/>
                <w:kern w:val="0"/>
                <w:sz w:val="24"/>
                <w:szCs w:val="24"/>
                <w:lang w:val="en-US" w:eastAsia="en-US" w:bidi="ar-SA"/>
              </w:rPr>
              <w:t>同一单位缴纳社会保险或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领取报酬</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七</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）不同供应商投标</w:t>
            </w:r>
            <w:r>
              <w:rPr>
                <w:rFonts w:hint="eastAsia" w:asciiTheme="minorEastAsia" w:hAnsiTheme="minorEastAsia" w:eastAsiaTheme="minorEastAsia" w:cstheme="minorEastAsia"/>
                <w:snapToGrid w:val="0"/>
                <w:color w:val="000000"/>
                <w:spacing w:val="-1"/>
                <w:kern w:val="0"/>
                <w:sz w:val="24"/>
                <w:szCs w:val="24"/>
                <w:lang w:val="en-US" w:eastAsia="zh-CN" w:bidi="ar-SA"/>
              </w:rPr>
              <w:t>（响应）</w:t>
            </w:r>
            <w:r>
              <w:rPr>
                <w:rFonts w:hint="eastAsia" w:asciiTheme="minorEastAsia" w:hAnsiTheme="minorEastAsia" w:eastAsiaTheme="minorEastAsia" w:cstheme="minorEastAsia"/>
                <w:snapToGrid w:val="0"/>
                <w:color w:val="000000"/>
                <w:spacing w:val="-1"/>
                <w:kern w:val="0"/>
                <w:sz w:val="24"/>
                <w:szCs w:val="24"/>
                <w:lang w:val="en-US" w:eastAsia="en-US" w:bidi="ar-SA"/>
              </w:rPr>
              <w:t>文件中的法定代表人或负责人签名出自同一人</w:t>
            </w:r>
            <w:r>
              <w:rPr>
                <w:rFonts w:hint="eastAsia" w:asciiTheme="minorEastAsia" w:hAnsiTheme="minorEastAsia" w:eastAsiaTheme="minorEastAsia" w:cstheme="minorEastAsia"/>
                <w:snapToGrid w:val="0"/>
                <w:color w:val="000000"/>
                <w:spacing w:val="-1"/>
                <w:kern w:val="0"/>
                <w:sz w:val="24"/>
                <w:szCs w:val="24"/>
                <w:lang w:val="en-US" w:eastAsia="zh-CN" w:bidi="ar-SA"/>
              </w:rPr>
              <w:t>之手</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八</w:t>
            </w:r>
            <w:r>
              <w:rPr>
                <w:rFonts w:hint="eastAsia" w:asciiTheme="minorEastAsia" w:hAnsiTheme="minorEastAsia" w:eastAsiaTheme="minorEastAsia" w:cstheme="minorEastAsia"/>
                <w:snapToGrid w:val="0"/>
                <w:color w:val="000000"/>
                <w:spacing w:val="-1"/>
                <w:kern w:val="0"/>
                <w:sz w:val="24"/>
                <w:szCs w:val="24"/>
                <w:lang w:val="en-US" w:eastAsia="en-US" w:bidi="ar-SA"/>
              </w:rPr>
              <w:t>）其他涉嫌串通的情形。</w:t>
            </w:r>
          </w:p>
        </w:tc>
      </w:tr>
      <w:tr w14:paraId="4E4CA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vAlign w:val="top"/>
          </w:tcPr>
          <w:p w14:paraId="2C3A0D50">
            <w:pPr>
              <w:pStyle w:val="36"/>
              <w:keepNext w:val="0"/>
              <w:keepLines w:val="0"/>
              <w:pageBreakBefore w:val="0"/>
              <w:kinsoku/>
              <w:wordWrap w:val="0"/>
              <w:overflowPunct/>
              <w:topLinePunct w:val="0"/>
              <w:bidi w:val="0"/>
              <w:spacing w:before="69" w:line="199" w:lineRule="auto"/>
              <w:jc w:val="center"/>
              <w:rPr>
                <w:rFonts w:hint="eastAsia" w:asciiTheme="minorEastAsia" w:hAnsiTheme="minorEastAsia" w:eastAsiaTheme="minorEastAsia" w:cstheme="minorEastAsia"/>
                <w:spacing w:val="5"/>
                <w:sz w:val="24"/>
                <w:szCs w:val="24"/>
                <w:lang w:val="en-US" w:eastAsia="zh-CN"/>
              </w:rPr>
            </w:pPr>
          </w:p>
        </w:tc>
        <w:tc>
          <w:tcPr>
            <w:tcW w:w="1812" w:type="dxa"/>
            <w:vAlign w:val="top"/>
          </w:tcPr>
          <w:p w14:paraId="2876665E">
            <w:pPr>
              <w:keepNext w:val="0"/>
              <w:keepLines w:val="0"/>
              <w:pageBreakBefore w:val="0"/>
              <w:kinsoku/>
              <w:wordWrap w:val="0"/>
              <w:overflowPunct/>
              <w:topLinePunct w:val="0"/>
              <w:bidi w:val="0"/>
              <w:spacing w:before="78" w:line="221" w:lineRule="auto"/>
              <w:ind w:left="134"/>
              <w:jc w:val="both"/>
              <w:rPr>
                <w:rFonts w:hint="eastAsia" w:asciiTheme="minorEastAsia" w:hAnsiTheme="minorEastAsia" w:eastAsiaTheme="minorEastAsia" w:cstheme="minorEastAsia"/>
                <w:spacing w:val="-6"/>
                <w:sz w:val="24"/>
                <w:szCs w:val="24"/>
              </w:rPr>
            </w:pPr>
          </w:p>
        </w:tc>
        <w:tc>
          <w:tcPr>
            <w:tcW w:w="5791" w:type="dxa"/>
            <w:vMerge w:val="continue"/>
            <w:vAlign w:val="top"/>
          </w:tcPr>
          <w:p w14:paraId="6DE1E761">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val="0"/>
              <w:bidi w:val="0"/>
              <w:adjustRightInd w:val="0"/>
              <w:snapToGrid w:val="0"/>
              <w:spacing w:before="0" w:beforeAutospacing="0" w:after="0" w:afterAutospacing="0"/>
              <w:ind w:left="0" w:right="0" w:firstLine="0"/>
              <w:jc w:val="both"/>
              <w:textAlignment w:val="baseline"/>
              <w:rPr>
                <w:rFonts w:hint="eastAsia" w:asciiTheme="minorEastAsia" w:hAnsiTheme="minorEastAsia" w:eastAsiaTheme="minorEastAsia" w:cstheme="minorEastAsia"/>
                <w:spacing w:val="-1"/>
                <w:sz w:val="24"/>
                <w:szCs w:val="24"/>
              </w:rPr>
            </w:pPr>
          </w:p>
        </w:tc>
      </w:tr>
      <w:tr w14:paraId="1C6FA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1F36340F">
            <w:pPr>
              <w:pStyle w:val="36"/>
              <w:keepNext w:val="0"/>
              <w:keepLines w:val="0"/>
              <w:pageBreakBefore w:val="0"/>
              <w:kinsoku/>
              <w:wordWrap w:val="0"/>
              <w:overflowPunct/>
              <w:topLinePunct w:val="0"/>
              <w:bidi w:val="0"/>
              <w:spacing w:before="248"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3</w:t>
            </w:r>
          </w:p>
        </w:tc>
        <w:tc>
          <w:tcPr>
            <w:tcW w:w="1812" w:type="dxa"/>
            <w:vAlign w:val="top"/>
          </w:tcPr>
          <w:p w14:paraId="6CB22D37">
            <w:pPr>
              <w:keepNext w:val="0"/>
              <w:keepLines w:val="0"/>
              <w:pageBreakBefore w:val="0"/>
              <w:kinsoku/>
              <w:wordWrap w:val="0"/>
              <w:overflowPunct/>
              <w:topLinePunct w:val="0"/>
              <w:bidi w:val="0"/>
              <w:spacing w:before="228" w:line="219" w:lineRule="auto"/>
              <w:ind w:left="13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附加条件</w:t>
            </w:r>
          </w:p>
        </w:tc>
        <w:tc>
          <w:tcPr>
            <w:tcW w:w="5791" w:type="dxa"/>
            <w:vAlign w:val="top"/>
          </w:tcPr>
          <w:p w14:paraId="7A005DED">
            <w:pPr>
              <w:keepNext w:val="0"/>
              <w:keepLines w:val="0"/>
              <w:pageBreakBefore w:val="0"/>
              <w:kinsoku/>
              <w:wordWrap w:val="0"/>
              <w:overflowPunct/>
              <w:topLinePunct w:val="0"/>
              <w:bidi w:val="0"/>
              <w:spacing w:before="228" w:line="219" w:lineRule="auto"/>
              <w:ind w:left="11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投标文件未含有采购人不能接受的附加条件</w:t>
            </w:r>
            <w:r>
              <w:rPr>
                <w:rFonts w:hint="eastAsia" w:asciiTheme="minorEastAsia" w:hAnsiTheme="minorEastAsia" w:eastAsiaTheme="minorEastAsia" w:cstheme="minorEastAsia"/>
                <w:spacing w:val="-4"/>
                <w:sz w:val="24"/>
                <w:szCs w:val="24"/>
              </w:rPr>
              <w:t>的</w:t>
            </w:r>
            <w:r>
              <w:rPr>
                <w:rFonts w:hint="eastAsia" w:asciiTheme="minorEastAsia" w:hAnsiTheme="minorEastAsia" w:eastAsiaTheme="minorEastAsia" w:cstheme="minorEastAsia"/>
                <w:spacing w:val="-4"/>
                <w:sz w:val="24"/>
                <w:szCs w:val="24"/>
                <w:lang w:eastAsia="zh-CN"/>
              </w:rPr>
              <w:t>。</w:t>
            </w:r>
          </w:p>
        </w:tc>
      </w:tr>
      <w:tr w14:paraId="273DF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vAlign w:val="top"/>
          </w:tcPr>
          <w:p w14:paraId="78202F77">
            <w:pPr>
              <w:pStyle w:val="36"/>
              <w:keepNext w:val="0"/>
              <w:keepLines w:val="0"/>
              <w:pageBreakBefore w:val="0"/>
              <w:kinsoku/>
              <w:wordWrap w:val="0"/>
              <w:overflowPunct/>
              <w:topLinePunct w:val="0"/>
              <w:bidi w:val="0"/>
              <w:spacing w:before="252"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4</w:t>
            </w:r>
          </w:p>
        </w:tc>
        <w:tc>
          <w:tcPr>
            <w:tcW w:w="1812" w:type="dxa"/>
            <w:vAlign w:val="top"/>
          </w:tcPr>
          <w:p w14:paraId="58737BAF">
            <w:pPr>
              <w:keepNext w:val="0"/>
              <w:keepLines w:val="0"/>
              <w:pageBreakBefore w:val="0"/>
              <w:kinsoku/>
              <w:wordWrap w:val="0"/>
              <w:overflowPunct/>
              <w:topLinePunct w:val="0"/>
              <w:bidi w:val="0"/>
              <w:spacing w:before="226" w:line="221" w:lineRule="auto"/>
              <w:ind w:left="11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其他无效情形</w:t>
            </w:r>
          </w:p>
        </w:tc>
        <w:tc>
          <w:tcPr>
            <w:tcW w:w="5791" w:type="dxa"/>
            <w:vAlign w:val="top"/>
          </w:tcPr>
          <w:p w14:paraId="10F5766C">
            <w:pPr>
              <w:keepNext w:val="0"/>
              <w:keepLines w:val="0"/>
              <w:pageBreakBefore w:val="0"/>
              <w:kinsoku/>
              <w:wordWrap w:val="0"/>
              <w:overflowPunct/>
              <w:topLinePunct w:val="0"/>
              <w:bidi w:val="0"/>
              <w:spacing w:before="74" w:line="229" w:lineRule="auto"/>
              <w:ind w:left="115" w:right="136" w:firstLine="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投标人、投标文件不存在不符合法律、法规和招标文件规定的</w:t>
            </w:r>
            <w:r>
              <w:rPr>
                <w:rFonts w:hint="eastAsia" w:asciiTheme="minorEastAsia" w:hAnsiTheme="minorEastAsia" w:eastAsiaTheme="minorEastAsia" w:cstheme="minorEastAsia"/>
                <w:spacing w:val="-6"/>
                <w:sz w:val="24"/>
                <w:szCs w:val="24"/>
              </w:rPr>
              <w:t>其他无效情形。</w:t>
            </w:r>
          </w:p>
        </w:tc>
      </w:tr>
    </w:tbl>
    <w:p w14:paraId="2532BA37">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2.技术审查</w:t>
      </w:r>
    </w:p>
    <w:p w14:paraId="2A9A9493">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pacing w:val="2"/>
          <w:position w:val="17"/>
          <w:sz w:val="24"/>
          <w:szCs w:val="24"/>
          <w:highlight w:val="none"/>
          <w:lang w:val="en-US" w:eastAsia="zh-CN"/>
        </w:rPr>
      </w:pPr>
      <w:r>
        <w:rPr>
          <w:rFonts w:hint="eastAsia" w:asciiTheme="minorEastAsia" w:hAnsiTheme="minorEastAsia" w:eastAsiaTheme="minorEastAsia" w:cstheme="minorEastAsia"/>
          <w:spacing w:val="2"/>
          <w:position w:val="17"/>
          <w:sz w:val="24"/>
          <w:szCs w:val="24"/>
          <w:highlight w:val="none"/>
          <w:lang w:val="en-US" w:eastAsia="zh-CN"/>
        </w:rPr>
        <w:t>审查投标设备的技术指标、技术性能及产品技术说明等：</w:t>
      </w:r>
    </w:p>
    <w:p w14:paraId="422A7091">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firstLine="488" w:firstLineChars="200"/>
        <w:jc w:val="both"/>
        <w:textAlignment w:val="baseline"/>
        <w:rPr>
          <w:rFonts w:hint="eastAsia" w:asciiTheme="minorEastAsia" w:hAnsiTheme="minorEastAsia" w:eastAsiaTheme="minorEastAsia" w:cstheme="minorEastAsia"/>
          <w:spacing w:val="2"/>
          <w:position w:val="17"/>
          <w:sz w:val="24"/>
          <w:szCs w:val="24"/>
          <w:highlight w:val="none"/>
          <w:lang w:val="en-US" w:eastAsia="zh-CN"/>
        </w:rPr>
      </w:pPr>
      <w:r>
        <w:rPr>
          <w:rFonts w:hint="eastAsia" w:asciiTheme="minorEastAsia" w:hAnsiTheme="minorEastAsia" w:eastAsiaTheme="minorEastAsia" w:cstheme="minorEastAsia"/>
          <w:spacing w:val="2"/>
          <w:position w:val="17"/>
          <w:sz w:val="24"/>
          <w:szCs w:val="24"/>
          <w:highlight w:val="none"/>
          <w:lang w:val="en-US" w:eastAsia="zh-CN"/>
        </w:rPr>
        <w:t>2.1投标人提供的产品必须为符合国家质量标准的全新产品，国家对投标产品有强制性要求的，投标人应出具相应的质量证明文件。</w:t>
      </w:r>
    </w:p>
    <w:p w14:paraId="3BDE7DC7">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firstLine="488" w:firstLineChars="200"/>
        <w:jc w:val="both"/>
        <w:textAlignment w:val="baseline"/>
        <w:rPr>
          <w:rFonts w:hint="eastAsia" w:asciiTheme="minorEastAsia" w:hAnsiTheme="minorEastAsia" w:eastAsiaTheme="minorEastAsia" w:cstheme="minorEastAsia"/>
          <w:spacing w:val="2"/>
          <w:position w:val="17"/>
          <w:sz w:val="24"/>
          <w:szCs w:val="24"/>
          <w:highlight w:val="none"/>
          <w:lang w:val="en-US" w:eastAsia="zh-CN"/>
        </w:rPr>
      </w:pPr>
      <w:r>
        <w:rPr>
          <w:rFonts w:hint="eastAsia" w:asciiTheme="minorEastAsia" w:hAnsiTheme="minorEastAsia" w:eastAsiaTheme="minorEastAsia" w:cstheme="minorEastAsia"/>
          <w:spacing w:val="2"/>
          <w:position w:val="17"/>
          <w:sz w:val="24"/>
          <w:szCs w:val="24"/>
          <w:highlight w:val="none"/>
          <w:lang w:val="en-US" w:eastAsia="zh-CN"/>
        </w:rPr>
        <w:t xml:space="preserve">2.2投标人应提供主要产品的技术参数、技术性能说明；同时提供其官方网站下载的产品技术说明。中标人应向采购人提供全方位及时而有效的技术支持和服务。     </w:t>
      </w:r>
    </w:p>
    <w:p w14:paraId="023D946C">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firstLine="488"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highlight w:val="none"/>
          <w:lang w:val="en-US" w:eastAsia="zh-CN"/>
        </w:rPr>
        <w:t>2.3  审查投标人提供的技术配置方案、社会化网点接入方案、软硬件运行环境建设方案、系统运行安全建设方案、部署迁移方案等是否符合招标要求。</w:t>
      </w:r>
    </w:p>
    <w:p w14:paraId="45B1842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3.评标委员会将通过审查确定每一投标人是否对招标文件做出了实质性响应</w:t>
      </w:r>
    </w:p>
    <w:p w14:paraId="332E18AA">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14:paraId="028EB1A1">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4.投标文件的澄清</w:t>
      </w:r>
    </w:p>
    <w:p w14:paraId="73BD5523">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4.1 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14:paraId="7E6664BE">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4.2 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w:t>
      </w:r>
    </w:p>
    <w:p w14:paraId="067B31D1">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4.3 投标人的澄清、说明或补正文件是投标文件的组成部分，并取代投标文件中被澄清、说明或补正的部分。</w:t>
      </w:r>
    </w:p>
    <w:p w14:paraId="6D981C07">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五.</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评标方法和评标标准</w:t>
      </w:r>
    </w:p>
    <w:p w14:paraId="4A242950">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本项目采用的评标方法为：</w:t>
      </w:r>
    </w:p>
    <w:p w14:paraId="73B0E3CD">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7E0D6686">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14:paraId="08C79578">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最低评标价法，指投标文件满足招标文件全部实质性要求，且投标报价最低的投标人为中标候选人的评标方法。</w:t>
      </w:r>
    </w:p>
    <w:p w14:paraId="018785B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采用最低评标价法时，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14:paraId="76BD4AA5">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□其他方式，具体要求：</w:t>
      </w:r>
      <w:r>
        <w:rPr>
          <w:rFonts w:hint="eastAsia" w:asciiTheme="minorEastAsia" w:hAnsiTheme="minorEastAsia" w:eastAsiaTheme="minorEastAsia" w:cstheme="minorEastAsia"/>
          <w:snapToGrid w:val="0"/>
          <w:color w:val="auto"/>
          <w:spacing w:val="2"/>
          <w:kern w:val="0"/>
          <w:position w:val="17"/>
          <w:sz w:val="24"/>
          <w:szCs w:val="24"/>
          <w:u w:val="single"/>
          <w:lang w:val="en-US" w:eastAsia="zh-CN" w:bidi="ar-SA"/>
        </w:rPr>
        <w:t xml:space="preserve">                                 。</w:t>
      </w:r>
    </w:p>
    <w:p w14:paraId="1E7A1039">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2.非政府强制采购的节能产品或环境标志产品，依据品目清单和认证证书实施政府优先采购。优先采购的具体规定（如涉及）。</w:t>
      </w:r>
    </w:p>
    <w:p w14:paraId="1A00508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关于无线局域网认证产品政府采购清单中的产品，优先采购的具体规定（如涉及）</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14:paraId="4F5E7510">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确定中标候选人名单</w:t>
      </w:r>
    </w:p>
    <w:p w14:paraId="3FC3A4F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0D29B3B1">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随机抽取</w:t>
      </w:r>
    </w:p>
    <w:p w14:paraId="6E51C5A6">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auto"/>
          <w:spacing w:val="2"/>
          <w:kern w:val="0"/>
          <w:position w:val="17"/>
          <w:sz w:val="24"/>
          <w:szCs w:val="24"/>
          <w:highlight w:val="yellow"/>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en-US" w:bidi="ar-SA"/>
        </w:rPr>
        <w:t>其他方式，</w:t>
      </w:r>
      <w:r>
        <w:rPr>
          <w:rFonts w:hint="eastAsia" w:asciiTheme="minorEastAsia" w:hAnsiTheme="minorEastAsia" w:eastAsiaTheme="minorEastAsia" w:cstheme="minorEastAsia"/>
          <w:snapToGrid w:val="0"/>
          <w:color w:val="auto"/>
          <w:spacing w:val="2"/>
          <w:kern w:val="0"/>
          <w:position w:val="17"/>
          <w:sz w:val="24"/>
          <w:szCs w:val="24"/>
          <w:highlight w:val="none"/>
          <w:lang w:val="en-US" w:eastAsia="en-US" w:bidi="ar-SA"/>
        </w:rPr>
        <w:t>具体要求：</w:t>
      </w:r>
      <w:r>
        <w:rPr>
          <w:rFonts w:hint="eastAsia" w:asciiTheme="minorEastAsia" w:hAnsiTheme="minorEastAsia" w:eastAsiaTheme="minorEastAsia" w:cstheme="minorEastAsia"/>
          <w:snapToGrid w:val="0"/>
          <w:color w:val="auto"/>
          <w:spacing w:val="2"/>
          <w:kern w:val="0"/>
          <w:position w:val="17"/>
          <w:sz w:val="24"/>
          <w:szCs w:val="24"/>
          <w:highlight w:val="none"/>
          <w:u w:val="single"/>
          <w:lang w:val="en-US" w:eastAsia="zh-CN" w:bidi="ar-SA"/>
        </w:rPr>
        <w:t xml:space="preserve">  优先选择报价低的   。</w:t>
      </w:r>
    </w:p>
    <w:p w14:paraId="2E4AC9FA">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投标人的排名按得分顺序从高到低排列；得分相同的，按投标报价由低到高顺序排列；得分且投标报价相同的，按技术指标优劣顺序排列。</w:t>
      </w:r>
    </w:p>
    <w:p w14:paraId="6E5B0561">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采用最低评标价法时，评标结果</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按照</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投标报价由低到高顺序排列。投标报价相同的并列。投标文件满足招标文件全部实质性要求且投标报价最低的投标人为排名第一的中标候选人。</w:t>
      </w:r>
    </w:p>
    <w:p w14:paraId="78241C42">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 xml:space="preserve">4.4 </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评标委员会要对评分汇总情况进行复核，特别是对排名第一的、报价最低的、投标文件被认定为无效的情形进行重点复核。</w:t>
      </w:r>
    </w:p>
    <w:p w14:paraId="713EB302">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5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评标委员会将根据各投标人的评标排序，依次推荐本项目（各采购包）的中标候选人，起草并签署评标报告。</w:t>
      </w: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en-US" w:bidi="ar-SA"/>
        </w:rPr>
        <w:t>本项目（采购包）评标委</w:t>
      </w:r>
      <w:r>
        <w:rPr>
          <w:rFonts w:hint="eastAsia" w:asciiTheme="minorEastAsia" w:hAnsiTheme="minorEastAsia" w:eastAsiaTheme="minorEastAsia" w:cstheme="minorEastAsia"/>
          <w:snapToGrid w:val="0"/>
          <w:color w:val="auto"/>
          <w:spacing w:val="2"/>
          <w:kern w:val="0"/>
          <w:position w:val="17"/>
          <w:sz w:val="24"/>
          <w:szCs w:val="24"/>
          <w:highlight w:val="none"/>
          <w:lang w:val="en-US" w:eastAsia="en-US" w:bidi="ar-SA"/>
        </w:rPr>
        <w:t>员会共推荐</w:t>
      </w:r>
      <w:r>
        <w:rPr>
          <w:rFonts w:hint="eastAsia" w:asciiTheme="minorEastAsia" w:hAnsiTheme="minorEastAsia" w:eastAsiaTheme="minorEastAsia" w:cstheme="minorEastAsia"/>
          <w:snapToGrid w:val="0"/>
          <w:color w:val="auto"/>
          <w:spacing w:val="2"/>
          <w:kern w:val="0"/>
          <w:position w:val="17"/>
          <w:sz w:val="24"/>
          <w:szCs w:val="24"/>
          <w:highlight w:val="none"/>
          <w:u w:val="single"/>
          <w:lang w:val="en-US" w:eastAsia="zh-CN" w:bidi="ar-SA"/>
        </w:rPr>
        <w:t xml:space="preserve">  3  </w:t>
      </w:r>
      <w:r>
        <w:rPr>
          <w:rFonts w:hint="eastAsia" w:asciiTheme="minorEastAsia" w:hAnsiTheme="minorEastAsia" w:eastAsiaTheme="minorEastAsia" w:cstheme="minorEastAsia"/>
          <w:snapToGrid w:val="0"/>
          <w:color w:val="auto"/>
          <w:spacing w:val="2"/>
          <w:kern w:val="0"/>
          <w:position w:val="17"/>
          <w:sz w:val="24"/>
          <w:szCs w:val="24"/>
          <w:highlight w:val="none"/>
          <w:lang w:val="en-US" w:eastAsia="en-US" w:bidi="ar-SA"/>
        </w:rPr>
        <w:t>名中标</w:t>
      </w: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en-US" w:bidi="ar-SA"/>
        </w:rPr>
        <w:t>候选人。</w:t>
      </w:r>
    </w:p>
    <w:p w14:paraId="765EFEB1">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报告违法行为</w:t>
      </w:r>
    </w:p>
    <w:p w14:paraId="073DCC8E">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评标委员会在评标过程中发现投标人有行贿、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供虚假材料或者串通等违法行为时，有向采购人、采购代理机构或者有关部门报告的职责。</w:t>
      </w:r>
    </w:p>
    <w:p w14:paraId="3CB38E52">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6.确定中标人</w:t>
      </w:r>
    </w:p>
    <w:p w14:paraId="3433117B">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□根据采购人授权，评委会根据排名顺序直接确定排名第一的中标候选人为中标人。</w:t>
      </w:r>
    </w:p>
    <w:p w14:paraId="6D40D3D2">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☑采购人应当在收到评标报告之日起5个工作日内，在评标报告确定的中标候选人名单中按顺序确定中标人。</w:t>
      </w:r>
    </w:p>
    <w:p w14:paraId="4F9E1553">
      <w:pPr>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7.投标人存在下列情况之一的，投标无效：</w:t>
      </w:r>
    </w:p>
    <w:p w14:paraId="7E5B8ECE">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（1）投标文件未按招标文件要求签署、盖章的；</w:t>
      </w:r>
    </w:p>
    <w:p w14:paraId="0F7A791B">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（2）不具备招标文件中规定的资格要求的；</w:t>
      </w:r>
    </w:p>
    <w:p w14:paraId="142B5807">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（3）报价超过招标文件中规定的预算金额或者最高限价的；</w:t>
      </w:r>
    </w:p>
    <w:p w14:paraId="374447F3">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（4）投标文件含有采购人不能接受的附加条件的；</w:t>
      </w:r>
    </w:p>
    <w:p w14:paraId="2C7557B3">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（5）不符合应提交投标文件资料数量要求的；</w:t>
      </w:r>
    </w:p>
    <w:p w14:paraId="37EEDFA9">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（6）开标解密时未在规定时间（30分钟）内进行解密成功的视为撤销其投标文件（因电子开标系统原因除外）；</w:t>
      </w:r>
    </w:p>
    <w:p w14:paraId="4E7A60CE">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（7）电子投标文件未使用CA</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认证并加密的</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p>
    <w:p w14:paraId="3AFDA4B3">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（8）未在投标截止时间前完成上传的；</w:t>
      </w:r>
    </w:p>
    <w:p w14:paraId="50EA25D5">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（9）法律、法规和招标文件规定的其他无效情形。</w:t>
      </w:r>
    </w:p>
    <w:p w14:paraId="231F4673">
      <w:pPr>
        <w:pStyle w:val="14"/>
        <w:ind w:firstLine="490" w:firstLineChars="200"/>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（10）</w:t>
      </w:r>
      <w:r>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t>未按</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r>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t>暗标</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r>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t>要求编写技术或方案部分的</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p>
    <w:p w14:paraId="3E5E6825">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8.在招标采购中，出现下列情形之一的，应予废标：</w:t>
      </w:r>
    </w:p>
    <w:p w14:paraId="172811A3">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（1）符合专业条件的供应商或者对招标文件作实质性响应的供应商不足三家的；</w:t>
      </w:r>
    </w:p>
    <w:p w14:paraId="18C6D5AF">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（2）出现影响采购公正的违法、违规行为的；</w:t>
      </w:r>
    </w:p>
    <w:p w14:paraId="6BE08962">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（3）投标人的报价均超过了预算金额，采购人不能支付的；</w:t>
      </w:r>
    </w:p>
    <w:p w14:paraId="1209281F">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（4）因重大变故，采购任务取消的。</w:t>
      </w:r>
    </w:p>
    <w:p w14:paraId="7528AD8E">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废标后，应当在指定媒体发布公告，将废标理由通知所有投标人。</w:t>
      </w:r>
    </w:p>
    <w:p w14:paraId="20E78B9F">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2E122BD3">
      <w:pPr>
        <w:rPr>
          <w:rFonts w:hint="eastAsia" w:asciiTheme="minorEastAsia" w:hAnsiTheme="minorEastAsia" w:eastAsiaTheme="minorEastAsia" w:cstheme="minorEastAsia"/>
          <w:spacing w:val="-2"/>
          <w:sz w:val="24"/>
          <w:szCs w:val="24"/>
          <w:highlight w:val="none"/>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
          <w:sz w:val="24"/>
          <w:szCs w:val="24"/>
          <w:highlight w:val="none"/>
          <w14:textOutline w14:w="1537" w14:cap="flat" w14:cmpd="sng">
            <w14:solidFill>
              <w14:srgbClr w14:val="000000"/>
            </w14:solidFill>
            <w14:prstDash w14:val="solid"/>
            <w14:miter w14:val="0"/>
          </w14:textOutline>
        </w:rPr>
        <w:br w:type="page"/>
      </w:r>
    </w:p>
    <w:p w14:paraId="412EE24D">
      <w:pPr>
        <w:pStyle w:val="6"/>
        <w:keepNext w:val="0"/>
        <w:keepLines w:val="0"/>
        <w:pageBreakBefore w:val="0"/>
        <w:kinsoku/>
        <w:wordWrap w:val="0"/>
        <w:overflowPunct/>
        <w:topLinePunct w:val="0"/>
        <w:bidi w:val="0"/>
        <w:spacing w:before="78" w:line="221" w:lineRule="auto"/>
        <w:jc w:val="center"/>
        <w:outlineLvl w:val="2"/>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t>评</w:t>
      </w:r>
      <w:r>
        <w:rPr>
          <w:rFonts w:hint="eastAsia" w:asciiTheme="minorEastAsia" w:hAnsiTheme="minorEastAsia" w:eastAsiaTheme="minorEastAsia" w:cstheme="minorEastAsia"/>
          <w:spacing w:val="-2"/>
          <w:sz w:val="36"/>
          <w:szCs w:val="36"/>
          <w:highlight w:val="none"/>
          <w:lang w:val="en-US" w:eastAsia="zh-CN"/>
          <w14:textOutline w14:w="1537" w14:cap="flat" w14:cmpd="sng">
            <w14:solidFill>
              <w14:srgbClr w14:val="000000"/>
            </w14:solidFill>
            <w14:prstDash w14:val="solid"/>
            <w14:miter w14:val="0"/>
          </w14:textOutline>
        </w:rPr>
        <w:t>分</w:t>
      </w:r>
      <w:r>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t>标准</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2"/>
        <w:gridCol w:w="1356"/>
        <w:gridCol w:w="1576"/>
        <w:gridCol w:w="4638"/>
      </w:tblGrid>
      <w:tr w14:paraId="1DFE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952" w:type="dxa"/>
            <w:vAlign w:val="center"/>
          </w:tcPr>
          <w:p w14:paraId="723045D7">
            <w:pPr>
              <w:widowControl w:val="0"/>
              <w:jc w:val="center"/>
              <w:rPr>
                <w:rFonts w:ascii="宋体" w:hAnsi="宋体" w:cs="宋体"/>
              </w:rPr>
            </w:pPr>
            <w:r>
              <w:rPr>
                <w:rFonts w:hint="eastAsia" w:ascii="宋体" w:hAnsi="宋体" w:cs="宋体"/>
                <w:b/>
                <w:bCs/>
                <w:sz w:val="28"/>
                <w:szCs w:val="28"/>
              </w:rPr>
              <w:t>序号</w:t>
            </w:r>
          </w:p>
        </w:tc>
        <w:tc>
          <w:tcPr>
            <w:tcW w:w="1356" w:type="dxa"/>
            <w:vAlign w:val="center"/>
          </w:tcPr>
          <w:p w14:paraId="3978217B">
            <w:pPr>
              <w:widowControl w:val="0"/>
              <w:jc w:val="center"/>
              <w:rPr>
                <w:rFonts w:ascii="宋体" w:hAnsi="宋体" w:cs="宋体"/>
              </w:rPr>
            </w:pPr>
            <w:r>
              <w:rPr>
                <w:rFonts w:hint="eastAsia" w:ascii="宋体" w:hAnsi="宋体" w:cs="宋体"/>
                <w:b/>
                <w:bCs/>
                <w:sz w:val="28"/>
                <w:szCs w:val="28"/>
              </w:rPr>
              <w:t>评分因素</w:t>
            </w:r>
          </w:p>
        </w:tc>
        <w:tc>
          <w:tcPr>
            <w:tcW w:w="1576" w:type="dxa"/>
            <w:vAlign w:val="center"/>
          </w:tcPr>
          <w:p w14:paraId="48DF9096">
            <w:pPr>
              <w:widowControl w:val="0"/>
              <w:jc w:val="center"/>
              <w:rPr>
                <w:rFonts w:ascii="宋体" w:hAnsi="宋体" w:cs="宋体"/>
              </w:rPr>
            </w:pPr>
            <w:r>
              <w:rPr>
                <w:rFonts w:hint="eastAsia" w:ascii="宋体" w:hAnsi="宋体" w:cs="宋体"/>
                <w:b/>
                <w:bCs/>
                <w:sz w:val="28"/>
                <w:szCs w:val="28"/>
              </w:rPr>
              <w:t>分值</w:t>
            </w:r>
          </w:p>
        </w:tc>
        <w:tc>
          <w:tcPr>
            <w:tcW w:w="4638" w:type="dxa"/>
            <w:vAlign w:val="center"/>
          </w:tcPr>
          <w:p w14:paraId="1A03FE38">
            <w:pPr>
              <w:widowControl w:val="0"/>
              <w:jc w:val="center"/>
              <w:rPr>
                <w:rFonts w:ascii="宋体" w:hAnsi="宋体" w:cs="宋体"/>
              </w:rPr>
            </w:pPr>
            <w:r>
              <w:rPr>
                <w:rFonts w:hint="eastAsia" w:ascii="宋体" w:hAnsi="宋体" w:cs="宋体"/>
                <w:b/>
                <w:bCs/>
                <w:sz w:val="28"/>
                <w:szCs w:val="28"/>
              </w:rPr>
              <w:t>评分标准说明</w:t>
            </w:r>
          </w:p>
        </w:tc>
      </w:tr>
      <w:tr w14:paraId="4A24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2" w:type="dxa"/>
            <w:vAlign w:val="center"/>
          </w:tcPr>
          <w:p w14:paraId="0592F884">
            <w:pPr>
              <w:widowControl w:val="0"/>
              <w:jc w:val="center"/>
              <w:rPr>
                <w:rFonts w:ascii="宋体" w:hAnsi="宋体" w:cs="宋体"/>
              </w:rPr>
            </w:pPr>
            <w:r>
              <w:rPr>
                <w:rFonts w:hint="eastAsia" w:ascii="宋体" w:hAnsi="宋体" w:cs="宋体"/>
              </w:rPr>
              <w:t>1</w:t>
            </w:r>
          </w:p>
        </w:tc>
        <w:tc>
          <w:tcPr>
            <w:tcW w:w="1356" w:type="dxa"/>
            <w:vAlign w:val="center"/>
          </w:tcPr>
          <w:p w14:paraId="7B9764C3">
            <w:pPr>
              <w:widowControl w:val="0"/>
              <w:jc w:val="center"/>
              <w:rPr>
                <w:rFonts w:ascii="宋体" w:hAnsi="宋体" w:cs="宋体"/>
              </w:rPr>
            </w:pPr>
            <w:r>
              <w:rPr>
                <w:rFonts w:hint="eastAsia" w:ascii="宋体" w:hAnsi="宋体" w:cs="宋体"/>
              </w:rPr>
              <w:t>价格部分</w:t>
            </w:r>
          </w:p>
          <w:p w14:paraId="17F71C3E">
            <w:pPr>
              <w:widowControl w:val="0"/>
              <w:jc w:val="center"/>
              <w:rPr>
                <w:rFonts w:ascii="宋体" w:hAnsi="宋体" w:cs="宋体"/>
              </w:rPr>
            </w:pPr>
            <w:r>
              <w:rPr>
                <w:rFonts w:hint="eastAsia" w:ascii="宋体" w:hAnsi="宋体" w:cs="宋体"/>
              </w:rPr>
              <w:t>30分</w:t>
            </w:r>
          </w:p>
        </w:tc>
        <w:tc>
          <w:tcPr>
            <w:tcW w:w="1576" w:type="dxa"/>
            <w:vAlign w:val="center"/>
          </w:tcPr>
          <w:p w14:paraId="7AB86A98">
            <w:pPr>
              <w:widowControl w:val="0"/>
              <w:jc w:val="center"/>
              <w:rPr>
                <w:rFonts w:ascii="宋体" w:hAnsi="宋体" w:cs="宋体"/>
              </w:rPr>
            </w:pPr>
            <w:r>
              <w:rPr>
                <w:rFonts w:hint="eastAsia" w:ascii="宋体" w:hAnsi="宋体" w:cs="宋体"/>
              </w:rPr>
              <w:t>投标报价</w:t>
            </w:r>
          </w:p>
          <w:p w14:paraId="4DC856B8">
            <w:pPr>
              <w:widowControl w:val="0"/>
              <w:jc w:val="center"/>
              <w:rPr>
                <w:rFonts w:ascii="宋体" w:hAnsi="宋体" w:cs="宋体"/>
              </w:rPr>
            </w:pPr>
            <w:r>
              <w:rPr>
                <w:rFonts w:hint="eastAsia" w:ascii="宋体" w:hAnsi="宋体" w:cs="宋体"/>
              </w:rPr>
              <w:t>（30分）</w:t>
            </w:r>
          </w:p>
        </w:tc>
        <w:tc>
          <w:tcPr>
            <w:tcW w:w="4638" w:type="dxa"/>
          </w:tcPr>
          <w:p w14:paraId="2CC3683F">
            <w:pPr>
              <w:widowControl w:val="0"/>
              <w:rPr>
                <w:rFonts w:ascii="宋体" w:hAnsi="宋体" w:cs="宋体"/>
              </w:rPr>
            </w:pPr>
            <w:r>
              <w:rPr>
                <w:rFonts w:hint="eastAsia" w:ascii="宋体" w:hAnsi="宋体" w:cs="宋体"/>
              </w:rPr>
              <w:t>满足招标文件要求且投标价格最低的投标报价为评标基准价，其价格分为满分。其他投标人的价格分统一按照下列公式计算：投标报价得分＝（评标基准价/投标报价）×30。</w:t>
            </w:r>
          </w:p>
          <w:p w14:paraId="51D84E3F">
            <w:pPr>
              <w:widowControl w:val="0"/>
              <w:wordWrap w:val="0"/>
              <w:spacing w:before="191" w:line="232" w:lineRule="auto"/>
              <w:ind w:right="103"/>
              <w:rPr>
                <w:rFonts w:ascii="宋体" w:hAnsi="宋体" w:cs="宋体"/>
              </w:rPr>
            </w:pPr>
            <w:r>
              <w:rPr>
                <w:rFonts w:hint="eastAsia" w:ascii="宋体" w:hAnsi="宋体" w:cs="宋体"/>
                <w:b w:val="0"/>
                <w:bCs w:val="0"/>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投标文件中提交了《投标人企业类型声明函》或《残疾人福利性单位声明函》或省级以上监狱管理局、戒毒管理局（含新疆生产建设兵团）出具的属于监狱企业的证明文件的投标人，其投标报价扣除1</w:t>
            </w:r>
            <w:r>
              <w:rPr>
                <w:rFonts w:hint="eastAsia" w:ascii="宋体" w:hAnsi="宋体" w:eastAsia="宋体" w:cs="宋体"/>
                <w:b w:val="0"/>
                <w:bCs w:val="0"/>
                <w:lang w:val="en-US" w:eastAsia="zh-CN"/>
              </w:rPr>
              <w:t>5</w:t>
            </w:r>
            <w:r>
              <w:rPr>
                <w:rFonts w:hint="eastAsia" w:ascii="宋体" w:hAnsi="宋体" w:cs="宋体"/>
                <w:b w:val="0"/>
                <w:bCs w:val="0"/>
              </w:rPr>
              <w:t>%后参与评审，参与优惠企业的报价=投标报价*（1</w:t>
            </w:r>
            <w:r>
              <w:rPr>
                <w:rFonts w:hint="eastAsia" w:ascii="宋体" w:hAnsi="宋体" w:eastAsia="宋体" w:cs="宋体"/>
                <w:b w:val="0"/>
                <w:bCs w:val="0"/>
                <w:lang w:val="en-US" w:eastAsia="zh-CN"/>
              </w:rPr>
              <w:t>5</w:t>
            </w:r>
            <w:r>
              <w:rPr>
                <w:rFonts w:hint="eastAsia" w:ascii="宋体" w:hAnsi="宋体" w:cs="宋体"/>
                <w:b w:val="0"/>
                <w:bCs w:val="0"/>
              </w:rPr>
              <w:t>%）。对于兼具小微、监狱企业、残疾人福利单位多重资质，仅单次折价，不叠加扣除；专门面向中小企业采购项目不执行本优惠。</w:t>
            </w:r>
          </w:p>
        </w:tc>
      </w:tr>
      <w:tr w14:paraId="27DCA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2" w:hRule="atLeast"/>
        </w:trPr>
        <w:tc>
          <w:tcPr>
            <w:tcW w:w="952" w:type="dxa"/>
            <w:vMerge w:val="restart"/>
            <w:vAlign w:val="center"/>
          </w:tcPr>
          <w:p w14:paraId="53C85FB7">
            <w:pPr>
              <w:widowControl w:val="0"/>
              <w:jc w:val="center"/>
              <w:rPr>
                <w:rFonts w:ascii="宋体" w:hAnsi="宋体" w:cs="宋体"/>
              </w:rPr>
            </w:pPr>
            <w:r>
              <w:rPr>
                <w:rFonts w:hint="eastAsia" w:ascii="宋体" w:hAnsi="宋体" w:cs="宋体"/>
              </w:rPr>
              <w:t>2</w:t>
            </w:r>
          </w:p>
        </w:tc>
        <w:tc>
          <w:tcPr>
            <w:tcW w:w="1356" w:type="dxa"/>
            <w:vMerge w:val="restart"/>
            <w:vAlign w:val="center"/>
          </w:tcPr>
          <w:p w14:paraId="547C8C4C">
            <w:pPr>
              <w:widowControl w:val="0"/>
              <w:jc w:val="center"/>
              <w:rPr>
                <w:rFonts w:ascii="宋体" w:hAnsi="宋体" w:cs="宋体"/>
              </w:rPr>
            </w:pPr>
            <w:r>
              <w:rPr>
                <w:rFonts w:hint="eastAsia" w:asciiTheme="minorEastAsia" w:hAnsiTheme="minorEastAsia" w:eastAsiaTheme="minorEastAsia" w:cstheme="minorEastAsia"/>
                <w:b/>
                <w:bCs/>
                <w:sz w:val="24"/>
                <w:szCs w:val="24"/>
                <w:lang w:val="zh-CN" w:eastAsia="zh-CN"/>
              </w:rPr>
              <w:t>（</w:t>
            </w:r>
            <w:r>
              <w:rPr>
                <w:rFonts w:hint="eastAsia" w:asciiTheme="minorEastAsia" w:hAnsiTheme="minorEastAsia" w:eastAsiaTheme="minorEastAsia" w:cstheme="minorEastAsia"/>
                <w:b/>
                <w:bCs/>
                <w:sz w:val="24"/>
                <w:szCs w:val="24"/>
                <w:lang w:val="en-US" w:eastAsia="zh-CN"/>
              </w:rPr>
              <w:t>暗标</w:t>
            </w:r>
            <w:r>
              <w:rPr>
                <w:rFonts w:hint="eastAsia" w:asciiTheme="minorEastAsia" w:hAnsiTheme="minorEastAsia" w:eastAsiaTheme="minorEastAsia" w:cstheme="minorEastAsia"/>
                <w:b/>
                <w:bCs/>
                <w:sz w:val="24"/>
                <w:szCs w:val="24"/>
                <w:lang w:val="zh-CN" w:eastAsia="zh-CN"/>
              </w:rPr>
              <w:t>）</w:t>
            </w:r>
            <w:r>
              <w:rPr>
                <w:rFonts w:hint="eastAsia" w:ascii="宋体" w:hAnsi="宋体" w:cs="宋体"/>
              </w:rPr>
              <w:t>技术部分</w:t>
            </w:r>
          </w:p>
          <w:p w14:paraId="639575D8">
            <w:pPr>
              <w:widowControl w:val="0"/>
              <w:jc w:val="center"/>
              <w:rPr>
                <w:rFonts w:ascii="宋体" w:hAnsi="宋体" w:cs="宋体"/>
              </w:rPr>
            </w:pPr>
            <w:r>
              <w:rPr>
                <w:rFonts w:hint="eastAsia" w:ascii="宋体" w:hAnsi="宋体" w:cs="宋体"/>
              </w:rPr>
              <w:t>30分</w:t>
            </w:r>
          </w:p>
        </w:tc>
        <w:tc>
          <w:tcPr>
            <w:tcW w:w="1576" w:type="dxa"/>
            <w:vAlign w:val="center"/>
          </w:tcPr>
          <w:p w14:paraId="34FDFB71">
            <w:pPr>
              <w:pStyle w:val="36"/>
              <w:widowControl w:val="0"/>
              <w:wordWrap w:val="0"/>
              <w:jc w:val="center"/>
              <w:rPr>
                <w:rFonts w:ascii="宋体" w:hAnsi="宋体" w:eastAsia="宋体" w:cs="宋体"/>
                <w:szCs w:val="24"/>
                <w:lang w:eastAsia="zh-CN"/>
              </w:rPr>
            </w:pPr>
            <w:r>
              <w:rPr>
                <w:rFonts w:hint="eastAsia" w:ascii="宋体" w:hAnsi="宋体" w:eastAsia="宋体" w:cs="宋体"/>
                <w:szCs w:val="24"/>
                <w:lang w:eastAsia="zh-CN"/>
              </w:rPr>
              <w:t>供货方案</w:t>
            </w:r>
          </w:p>
          <w:p w14:paraId="17ADE56F">
            <w:pPr>
              <w:pStyle w:val="36"/>
              <w:widowControl w:val="0"/>
              <w:wordWrap w:val="0"/>
              <w:jc w:val="center"/>
              <w:rPr>
                <w:rFonts w:ascii="宋体" w:hAnsi="宋体" w:eastAsia="宋体" w:cs="宋体"/>
                <w:szCs w:val="24"/>
                <w:lang w:eastAsia="zh-CN"/>
              </w:rPr>
            </w:pPr>
            <w:r>
              <w:rPr>
                <w:rFonts w:hint="eastAsia" w:ascii="宋体" w:hAnsi="宋体" w:eastAsia="宋体" w:cs="宋体"/>
                <w:szCs w:val="24"/>
                <w:lang w:eastAsia="zh-CN"/>
              </w:rPr>
              <w:t>（10分）</w:t>
            </w:r>
          </w:p>
        </w:tc>
        <w:tc>
          <w:tcPr>
            <w:tcW w:w="4638" w:type="dxa"/>
          </w:tcPr>
          <w:p w14:paraId="5311957A">
            <w:pPr>
              <w:widowControl w:val="0"/>
              <w:rPr>
                <w:rFonts w:ascii="宋体" w:hAnsi="宋体" w:cs="宋体"/>
              </w:rPr>
            </w:pPr>
            <w:r>
              <w:rPr>
                <w:rFonts w:hint="eastAsia" w:ascii="宋体" w:hAnsi="宋体" w:cs="宋体"/>
              </w:rPr>
              <w:t xml:space="preserve">方案包含但不限于实施计划、进度控制、项目团队岗位构成等。 </w:t>
            </w:r>
          </w:p>
          <w:p w14:paraId="6D44A518">
            <w:pPr>
              <w:widowControl w:val="0"/>
              <w:rPr>
                <w:rFonts w:ascii="宋体" w:hAnsi="宋体" w:cs="宋体"/>
              </w:rPr>
            </w:pPr>
            <w:r>
              <w:rPr>
                <w:rFonts w:hint="eastAsia" w:ascii="宋体" w:hAnsi="宋体" w:cs="宋体"/>
              </w:rPr>
              <w:t xml:space="preserve">第一档：实施阶段划分清晰，关键流程明确；时间节点精确，任务分解至具体责任人；团队岗位角色齐全，项目组织架构完整，项目组成员岗位职责明确，具备项目管理能力；质量管控体系完整，质量保证方案详尽。内容全面、逻辑严谨、措施具体，具备创新性和可落地性，显著优于招标要求得10分。 </w:t>
            </w:r>
          </w:p>
          <w:p w14:paraId="661A2429">
            <w:pPr>
              <w:widowControl w:val="0"/>
              <w:rPr>
                <w:rFonts w:ascii="宋体" w:hAnsi="宋体" w:cs="宋体"/>
              </w:rPr>
            </w:pPr>
            <w:r>
              <w:rPr>
                <w:rFonts w:hint="eastAsia" w:ascii="宋体" w:hAnsi="宋体" w:cs="宋体"/>
              </w:rPr>
              <w:t xml:space="preserve">第二档：阶段完整但时间规划较粗，任务分工模糊；团队岗位结构完整，但部分岗位资质未明确，数据管理能力未明确；有质量管控计划但无第三方验证。基本满足招标要求，但部分环节存在不足（如细节缺失、方法常规）得7分。 </w:t>
            </w:r>
          </w:p>
          <w:p w14:paraId="60283DA9">
            <w:pPr>
              <w:widowControl w:val="0"/>
              <w:rPr>
                <w:rFonts w:ascii="宋体" w:hAnsi="宋体" w:cs="宋体"/>
              </w:rPr>
            </w:pPr>
            <w:r>
              <w:rPr>
                <w:rFonts w:hint="eastAsia" w:ascii="宋体" w:hAnsi="宋体" w:cs="宋体"/>
              </w:rPr>
              <w:t xml:space="preserve">第三档：仅列出阶段名称，无时间、岗位或任务分配；无具体进度控制措施；无具体质量保障措施。关键内容缺失或明显不合理，无法保障项目顺利实施得4分。 </w:t>
            </w:r>
          </w:p>
          <w:p w14:paraId="7BEB35E3">
            <w:pPr>
              <w:widowControl w:val="0"/>
              <w:rPr>
                <w:rFonts w:ascii="宋体" w:hAnsi="宋体" w:cs="宋体"/>
              </w:rPr>
            </w:pPr>
            <w:r>
              <w:rPr>
                <w:rFonts w:hint="eastAsia" w:ascii="宋体" w:hAnsi="宋体" w:cs="宋体"/>
              </w:rPr>
              <w:t>第四档：有供货方案，但内容与本项目实际不符（或部分内容缺项），得1分；</w:t>
            </w:r>
          </w:p>
          <w:p w14:paraId="31D370E1">
            <w:pPr>
              <w:widowControl w:val="0"/>
              <w:rPr>
                <w:rFonts w:ascii="宋体" w:hAnsi="宋体" w:cs="宋体"/>
              </w:rPr>
            </w:pPr>
            <w:r>
              <w:rPr>
                <w:rFonts w:hint="eastAsia" w:ascii="宋体" w:hAnsi="宋体" w:cs="宋体"/>
              </w:rPr>
              <w:t>第五档：没有不得分。</w:t>
            </w:r>
          </w:p>
        </w:tc>
      </w:tr>
      <w:tr w14:paraId="6F0E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4" w:hRule="atLeast"/>
        </w:trPr>
        <w:tc>
          <w:tcPr>
            <w:tcW w:w="952" w:type="dxa"/>
            <w:vMerge w:val="continue"/>
          </w:tcPr>
          <w:p w14:paraId="1DE415DC">
            <w:pPr>
              <w:widowControl w:val="0"/>
              <w:rPr>
                <w:rFonts w:ascii="宋体" w:hAnsi="宋体" w:cs="宋体"/>
              </w:rPr>
            </w:pPr>
          </w:p>
        </w:tc>
        <w:tc>
          <w:tcPr>
            <w:tcW w:w="1356" w:type="dxa"/>
            <w:vMerge w:val="continue"/>
          </w:tcPr>
          <w:p w14:paraId="490FCE5F">
            <w:pPr>
              <w:widowControl w:val="0"/>
              <w:rPr>
                <w:rFonts w:ascii="宋体" w:hAnsi="宋体" w:cs="宋体"/>
              </w:rPr>
            </w:pPr>
          </w:p>
        </w:tc>
        <w:tc>
          <w:tcPr>
            <w:tcW w:w="1576" w:type="dxa"/>
            <w:vAlign w:val="center"/>
          </w:tcPr>
          <w:p w14:paraId="5CD7DF6A">
            <w:pPr>
              <w:widowControl w:val="0"/>
              <w:jc w:val="center"/>
              <w:rPr>
                <w:rFonts w:ascii="宋体" w:hAnsi="宋体" w:cs="宋体"/>
              </w:rPr>
            </w:pPr>
            <w:r>
              <w:rPr>
                <w:rFonts w:hint="eastAsia" w:ascii="宋体" w:hAnsi="宋体" w:cs="宋体"/>
              </w:rPr>
              <w:t>安全实施方案</w:t>
            </w:r>
          </w:p>
          <w:p w14:paraId="2B6545C8">
            <w:pPr>
              <w:widowControl w:val="0"/>
              <w:jc w:val="center"/>
              <w:rPr>
                <w:rFonts w:ascii="宋体" w:hAnsi="宋体" w:cs="宋体"/>
              </w:rPr>
            </w:pPr>
            <w:r>
              <w:rPr>
                <w:rFonts w:hint="eastAsia" w:ascii="宋体" w:hAnsi="宋体" w:cs="宋体"/>
              </w:rPr>
              <w:t>(10分)</w:t>
            </w:r>
          </w:p>
        </w:tc>
        <w:tc>
          <w:tcPr>
            <w:tcW w:w="4638" w:type="dxa"/>
          </w:tcPr>
          <w:p w14:paraId="63D9B9EC">
            <w:pPr>
              <w:widowControl w:val="0"/>
              <w:rPr>
                <w:rFonts w:ascii="宋体" w:hAnsi="宋体" w:cs="宋体"/>
              </w:rPr>
            </w:pPr>
            <w:r>
              <w:rPr>
                <w:rFonts w:hint="eastAsia" w:ascii="宋体" w:hAnsi="宋体" w:cs="宋体"/>
              </w:rPr>
              <w:t xml:space="preserve">对本项目建立安全管理体系、健全规章制度，落实安全生产责任制、保障安全生产投入、加强安全教育培训、建设风险分级管控及隐患排查治理体系、安全生产标准化建设、强化应急管理、安全考核与激励等措施，安全管理机构健全,各岗位职责明确。 </w:t>
            </w:r>
          </w:p>
          <w:p w14:paraId="0F7DC295">
            <w:pPr>
              <w:widowControl w:val="0"/>
              <w:rPr>
                <w:rFonts w:ascii="宋体" w:hAnsi="宋体" w:cs="宋体"/>
              </w:rPr>
            </w:pPr>
            <w:r>
              <w:rPr>
                <w:rFonts w:hint="eastAsia" w:ascii="宋体" w:hAnsi="宋体" w:cs="宋体"/>
              </w:rPr>
              <w:t xml:space="preserve">第一档：能够结合实际情况，设置不同的安全应急标准，多场景覆盖，设置安全指挥体系，有安全预案和安全演案练指导流程，内容全面、逻辑严谨、措施具体，得10分。 </w:t>
            </w:r>
          </w:p>
          <w:p w14:paraId="23463B6D">
            <w:pPr>
              <w:widowControl w:val="0"/>
              <w:rPr>
                <w:rFonts w:ascii="宋体" w:hAnsi="宋体" w:cs="宋体"/>
              </w:rPr>
            </w:pPr>
            <w:r>
              <w:rPr>
                <w:rFonts w:hint="eastAsia" w:ascii="宋体" w:hAnsi="宋体" w:cs="宋体"/>
              </w:rPr>
              <w:t xml:space="preserve">第二档：能够基本结合实际情况，无实质性描述，仅有简单组织分工，能提出较为全面的方案、措施，有一定针对性得7分。 </w:t>
            </w:r>
          </w:p>
          <w:p w14:paraId="1CFBB420">
            <w:pPr>
              <w:widowControl w:val="0"/>
              <w:rPr>
                <w:rFonts w:ascii="宋体" w:hAnsi="宋体" w:cs="宋体"/>
              </w:rPr>
            </w:pPr>
            <w:r>
              <w:rPr>
                <w:rFonts w:hint="eastAsia" w:ascii="宋体" w:hAnsi="宋体" w:cs="宋体"/>
              </w:rPr>
              <w:t xml:space="preserve">第三档：能够结合部分实际情况，但是未明确安全要求，使用模糊表述，未体现管理职责或流程，得4分； </w:t>
            </w:r>
          </w:p>
          <w:p w14:paraId="5EC57B9D">
            <w:pPr>
              <w:widowControl w:val="0"/>
              <w:rPr>
                <w:rFonts w:ascii="宋体" w:hAnsi="宋体" w:cs="宋体"/>
              </w:rPr>
            </w:pPr>
            <w:r>
              <w:rPr>
                <w:rFonts w:hint="eastAsia" w:ascii="宋体" w:hAnsi="宋体" w:cs="宋体"/>
              </w:rPr>
              <w:t>第四档：有安全实施方案，但内容与本项目实际不符（或部分内容缺项），得1分；</w:t>
            </w:r>
          </w:p>
          <w:p w14:paraId="054AC97A">
            <w:pPr>
              <w:widowControl w:val="0"/>
              <w:rPr>
                <w:rFonts w:ascii="宋体" w:hAnsi="宋体" w:cs="宋体"/>
              </w:rPr>
            </w:pPr>
            <w:r>
              <w:rPr>
                <w:rFonts w:hint="eastAsia" w:ascii="宋体" w:hAnsi="宋体" w:cs="宋体"/>
              </w:rPr>
              <w:t>第五档：没有不得分。</w:t>
            </w:r>
          </w:p>
        </w:tc>
      </w:tr>
      <w:tr w14:paraId="10B42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52" w:type="dxa"/>
            <w:vMerge w:val="continue"/>
          </w:tcPr>
          <w:p w14:paraId="0FA19E09">
            <w:pPr>
              <w:widowControl w:val="0"/>
              <w:rPr>
                <w:rFonts w:ascii="宋体" w:hAnsi="宋体" w:cs="宋体"/>
              </w:rPr>
            </w:pPr>
          </w:p>
        </w:tc>
        <w:tc>
          <w:tcPr>
            <w:tcW w:w="1356" w:type="dxa"/>
            <w:vMerge w:val="continue"/>
          </w:tcPr>
          <w:p w14:paraId="2AB37518">
            <w:pPr>
              <w:widowControl w:val="0"/>
              <w:rPr>
                <w:rFonts w:ascii="宋体" w:hAnsi="宋体" w:cs="宋体"/>
              </w:rPr>
            </w:pPr>
          </w:p>
        </w:tc>
        <w:tc>
          <w:tcPr>
            <w:tcW w:w="1576" w:type="dxa"/>
            <w:vAlign w:val="center"/>
          </w:tcPr>
          <w:p w14:paraId="1ABF610F">
            <w:pPr>
              <w:widowControl w:val="0"/>
              <w:jc w:val="center"/>
              <w:rPr>
                <w:rFonts w:ascii="宋体" w:hAnsi="宋体" w:cs="宋体"/>
              </w:rPr>
            </w:pPr>
            <w:r>
              <w:rPr>
                <w:rFonts w:hint="eastAsia" w:ascii="宋体" w:hAnsi="宋体" w:cs="宋体"/>
              </w:rPr>
              <w:t>质量保证措施</w:t>
            </w:r>
          </w:p>
          <w:p w14:paraId="704AB3A0">
            <w:pPr>
              <w:widowControl w:val="0"/>
              <w:jc w:val="center"/>
              <w:rPr>
                <w:rFonts w:ascii="宋体" w:hAnsi="宋体" w:cs="宋体"/>
              </w:rPr>
            </w:pPr>
            <w:r>
              <w:rPr>
                <w:rFonts w:hint="eastAsia" w:ascii="宋体" w:hAnsi="宋体" w:cs="宋体"/>
              </w:rPr>
              <w:t>(10分)</w:t>
            </w:r>
          </w:p>
        </w:tc>
        <w:tc>
          <w:tcPr>
            <w:tcW w:w="4638" w:type="dxa"/>
          </w:tcPr>
          <w:p w14:paraId="3F36E81E">
            <w:pPr>
              <w:widowControl w:val="0"/>
              <w:rPr>
                <w:rFonts w:ascii="宋体" w:hAnsi="宋体" w:cs="宋体"/>
              </w:rPr>
            </w:pPr>
            <w:r>
              <w:rPr>
                <w:rFonts w:hint="eastAsia" w:ascii="宋体" w:hAnsi="宋体" w:cs="宋体"/>
              </w:rPr>
              <w:t xml:space="preserve"> 针对本项目的产品质量提出先进、可行、具体的产品质量保证措施，包括但不限于以下内容：建立质量管理体系、全寿命周期控制、质量问题防控体系、闭环改进机制、客户价值管理等方面制定质量保证方案。 </w:t>
            </w:r>
          </w:p>
          <w:p w14:paraId="1E8BD4E1">
            <w:pPr>
              <w:widowControl w:val="0"/>
              <w:rPr>
                <w:rFonts w:ascii="宋体" w:hAnsi="宋体" w:cs="宋体"/>
              </w:rPr>
            </w:pPr>
            <w:r>
              <w:rPr>
                <w:rFonts w:hint="eastAsia" w:ascii="宋体" w:hAnsi="宋体" w:cs="宋体"/>
              </w:rPr>
              <w:t xml:space="preserve">第一档：质量保证措施内容完整详细，质量管理体系完备，全寿命周期控制突出生产、供应交付等过程，质量问题防控机制健全，质量管理突出闭环控制等充分保证产品质量的，得10分； </w:t>
            </w:r>
          </w:p>
          <w:p w14:paraId="05D97F82">
            <w:pPr>
              <w:widowControl w:val="0"/>
              <w:rPr>
                <w:rFonts w:ascii="宋体" w:hAnsi="宋体" w:cs="宋体"/>
              </w:rPr>
            </w:pPr>
            <w:r>
              <w:rPr>
                <w:rFonts w:hint="eastAsia" w:ascii="宋体" w:hAnsi="宋体" w:cs="宋体"/>
              </w:rPr>
              <w:t xml:space="preserve">第二档：有质量保证措施，但没有完全涵盖本项前述要求的全部内容，且不能完全保证本项目的产品质量的，得7分； </w:t>
            </w:r>
          </w:p>
          <w:p w14:paraId="020FA39B">
            <w:pPr>
              <w:widowControl w:val="0"/>
              <w:rPr>
                <w:rFonts w:ascii="宋体" w:hAnsi="宋体" w:cs="宋体"/>
              </w:rPr>
            </w:pPr>
            <w:r>
              <w:rPr>
                <w:rFonts w:hint="eastAsia" w:ascii="宋体" w:hAnsi="宋体" w:cs="宋体"/>
              </w:rPr>
              <w:t xml:space="preserve">第三档：质量保证措施内容不完整，对本项前述要求的内容错漏较多且缺乏针对性的，得4分； </w:t>
            </w:r>
          </w:p>
          <w:p w14:paraId="2E93E683">
            <w:pPr>
              <w:widowControl w:val="0"/>
              <w:rPr>
                <w:rFonts w:ascii="宋体" w:hAnsi="宋体" w:cs="宋体"/>
              </w:rPr>
            </w:pPr>
            <w:r>
              <w:rPr>
                <w:rFonts w:hint="eastAsia" w:ascii="宋体" w:hAnsi="宋体" w:cs="宋体"/>
              </w:rPr>
              <w:t>第四档：有质量保证措施，但内容与本项目实际不符（或部分内容缺项），得1分；</w:t>
            </w:r>
          </w:p>
          <w:p w14:paraId="0362C385">
            <w:pPr>
              <w:widowControl w:val="0"/>
              <w:rPr>
                <w:rFonts w:ascii="宋体" w:hAnsi="宋体" w:cs="宋体"/>
              </w:rPr>
            </w:pPr>
            <w:r>
              <w:rPr>
                <w:rFonts w:hint="eastAsia" w:ascii="宋体" w:hAnsi="宋体" w:cs="宋体"/>
              </w:rPr>
              <w:t>第五档：没有不得分。</w:t>
            </w:r>
          </w:p>
        </w:tc>
      </w:tr>
      <w:tr w14:paraId="1EAE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2" w:type="dxa"/>
            <w:vMerge w:val="restart"/>
            <w:vAlign w:val="center"/>
          </w:tcPr>
          <w:p w14:paraId="45824DC5">
            <w:pPr>
              <w:widowControl w:val="0"/>
              <w:jc w:val="center"/>
              <w:rPr>
                <w:rFonts w:ascii="宋体" w:hAnsi="宋体" w:cs="宋体"/>
              </w:rPr>
            </w:pPr>
            <w:r>
              <w:rPr>
                <w:rFonts w:hint="eastAsia" w:ascii="宋体" w:hAnsi="宋体" w:cs="宋体"/>
              </w:rPr>
              <w:t>3</w:t>
            </w:r>
          </w:p>
        </w:tc>
        <w:tc>
          <w:tcPr>
            <w:tcW w:w="1356" w:type="dxa"/>
            <w:vMerge w:val="restart"/>
            <w:vAlign w:val="center"/>
          </w:tcPr>
          <w:p w14:paraId="370ADFED">
            <w:pPr>
              <w:widowControl w:val="0"/>
              <w:jc w:val="center"/>
              <w:rPr>
                <w:rFonts w:ascii="宋体" w:hAnsi="宋体" w:cs="宋体"/>
              </w:rPr>
            </w:pPr>
            <w:r>
              <w:rPr>
                <w:rFonts w:hint="eastAsia" w:ascii="宋体" w:hAnsi="宋体" w:cs="宋体"/>
              </w:rPr>
              <w:t>综合部分</w:t>
            </w:r>
          </w:p>
          <w:p w14:paraId="0732C762">
            <w:pPr>
              <w:widowControl w:val="0"/>
              <w:jc w:val="center"/>
              <w:rPr>
                <w:rFonts w:ascii="宋体" w:hAnsi="宋体" w:cs="宋体"/>
              </w:rPr>
            </w:pPr>
            <w:r>
              <w:rPr>
                <w:rFonts w:hint="eastAsia" w:ascii="宋体" w:hAnsi="宋体" w:cs="宋体"/>
              </w:rPr>
              <w:t>40分</w:t>
            </w:r>
          </w:p>
        </w:tc>
        <w:tc>
          <w:tcPr>
            <w:tcW w:w="1576" w:type="dxa"/>
            <w:vAlign w:val="center"/>
          </w:tcPr>
          <w:p w14:paraId="1534F4AB">
            <w:pPr>
              <w:widowControl w:val="0"/>
              <w:jc w:val="center"/>
              <w:rPr>
                <w:rFonts w:ascii="宋体" w:hAnsi="宋体" w:cs="宋体"/>
              </w:rPr>
            </w:pPr>
            <w:r>
              <w:rPr>
                <w:rFonts w:hint="eastAsia" w:ascii="宋体" w:hAnsi="宋体" w:cs="宋体"/>
              </w:rPr>
              <w:t>技术参数响应程度（20分）</w:t>
            </w:r>
          </w:p>
        </w:tc>
        <w:tc>
          <w:tcPr>
            <w:tcW w:w="4638" w:type="dxa"/>
          </w:tcPr>
          <w:p w14:paraId="07D4B5B6">
            <w:pPr>
              <w:widowControl w:val="0"/>
              <w:rPr>
                <w:rFonts w:ascii="宋体" w:hAnsi="宋体"/>
                <w:highlight w:val="none"/>
              </w:rPr>
            </w:pPr>
            <w:r>
              <w:rPr>
                <w:rFonts w:hint="eastAsia" w:ascii="宋体" w:hAnsi="宋体"/>
                <w:highlight w:val="none"/>
              </w:rPr>
              <w:t>所投产品各项技术指标要求均满足招标文件要求的得 20分；</w:t>
            </w:r>
          </w:p>
          <w:p w14:paraId="07C66695">
            <w:pPr>
              <w:widowControl w:val="0"/>
              <w:rPr>
                <w:rFonts w:ascii="宋体" w:hAnsi="宋体"/>
                <w:highlight w:val="none"/>
              </w:rPr>
            </w:pPr>
            <w:r>
              <w:rPr>
                <w:rFonts w:hint="eastAsia" w:ascii="宋体" w:hAnsi="宋体"/>
                <w:highlight w:val="none"/>
              </w:rPr>
              <w:t>需要提供证明材料的指标为重要指标项，投标人所投产品参数中每有一项不满足，扣2分，扣完为止；</w:t>
            </w:r>
          </w:p>
          <w:p w14:paraId="6E8A0EAD">
            <w:pPr>
              <w:widowControl w:val="0"/>
              <w:rPr>
                <w:rFonts w:ascii="宋体" w:hAnsi="宋体"/>
                <w:highlight w:val="none"/>
              </w:rPr>
            </w:pPr>
            <w:r>
              <w:rPr>
                <w:rFonts w:hint="eastAsia" w:ascii="宋体" w:hAnsi="宋体"/>
                <w:highlight w:val="none"/>
              </w:rPr>
              <w:t>投标人需按照招标文件产品技术参数中的要求为准，以提供的对应技术证明文件判断所投产品是否满足招标要求，且提供有效证明文件（投标人自证无效）；未按要求提供证明文件的，视为该台设备技术参数为无效响应。</w:t>
            </w:r>
          </w:p>
          <w:p w14:paraId="56323EDB">
            <w:pPr>
              <w:widowControl w:val="0"/>
              <w:rPr>
                <w:rFonts w:ascii="宋体" w:hAnsi="宋体" w:cs="宋体"/>
                <w:highlight w:val="yellow"/>
              </w:rPr>
            </w:pPr>
            <w:r>
              <w:rPr>
                <w:rFonts w:hint="eastAsia" w:ascii="宋体" w:hAnsi="宋体"/>
                <w:highlight w:val="none"/>
              </w:rPr>
              <w:t>备注：评标委员会将根据招标文件要求，按照投标人提供的产品技术证明文件，判断所投设备是否满足招标文件要求，若提供的产品技术证明文件与招标文件要求不一致时，且未提供制造生产厂商对所投产品参数给予确认说明的，则该条技术指标视为响应无效，按照不满足进行扣分处理。</w:t>
            </w:r>
          </w:p>
        </w:tc>
      </w:tr>
      <w:tr w14:paraId="12835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4" w:hRule="atLeast"/>
        </w:trPr>
        <w:tc>
          <w:tcPr>
            <w:tcW w:w="952" w:type="dxa"/>
            <w:vMerge w:val="continue"/>
          </w:tcPr>
          <w:p w14:paraId="47A37933">
            <w:pPr>
              <w:widowControl w:val="0"/>
              <w:rPr>
                <w:rFonts w:ascii="宋体" w:hAnsi="宋体" w:cs="宋体"/>
              </w:rPr>
            </w:pPr>
          </w:p>
        </w:tc>
        <w:tc>
          <w:tcPr>
            <w:tcW w:w="1356" w:type="dxa"/>
            <w:vMerge w:val="continue"/>
          </w:tcPr>
          <w:p w14:paraId="580932C3">
            <w:pPr>
              <w:widowControl w:val="0"/>
              <w:rPr>
                <w:rFonts w:ascii="宋体" w:hAnsi="宋体" w:cs="宋体"/>
              </w:rPr>
            </w:pPr>
          </w:p>
        </w:tc>
        <w:tc>
          <w:tcPr>
            <w:tcW w:w="1576" w:type="dxa"/>
            <w:vAlign w:val="center"/>
          </w:tcPr>
          <w:p w14:paraId="592B268C">
            <w:pPr>
              <w:widowControl w:val="0"/>
              <w:jc w:val="center"/>
              <w:rPr>
                <w:rFonts w:ascii="宋体" w:hAnsi="宋体" w:cs="宋体"/>
              </w:rPr>
            </w:pPr>
            <w:r>
              <w:rPr>
                <w:rFonts w:hint="eastAsia" w:ascii="宋体" w:hAnsi="宋体" w:cs="宋体"/>
              </w:rPr>
              <w:t>信用评价</w:t>
            </w:r>
          </w:p>
          <w:p w14:paraId="6596FB65">
            <w:pPr>
              <w:widowControl w:val="0"/>
              <w:jc w:val="center"/>
              <w:rPr>
                <w:rFonts w:ascii="宋体" w:hAnsi="宋体" w:cs="宋体"/>
              </w:rPr>
            </w:pPr>
            <w:r>
              <w:rPr>
                <w:rFonts w:hint="eastAsia" w:ascii="宋体" w:hAnsi="宋体" w:cs="宋体"/>
              </w:rPr>
              <w:t>（2分）</w:t>
            </w:r>
          </w:p>
        </w:tc>
        <w:tc>
          <w:tcPr>
            <w:tcW w:w="4638" w:type="dxa"/>
          </w:tcPr>
          <w:p w14:paraId="5BBCED2F">
            <w:pPr>
              <w:widowControl w:val="0"/>
              <w:rPr>
                <w:rFonts w:ascii="宋体" w:hAnsi="宋体" w:cs="宋体"/>
              </w:rPr>
            </w:pPr>
            <w:r>
              <w:rPr>
                <w:rFonts w:hint="eastAsia" w:ascii="宋体" w:hAnsi="宋体" w:cs="宋体"/>
              </w:rPr>
              <w:t>投标人在参加南阳市本级的政府采购活动时，享受政策支持，在采用综合评分法的项目中，诚信评价为满分的得2分，90-99分（不含90分）之间得1分，90分以下的不得分；在采用最低评标价法的项目中，诚信评价为满分的给予报价2%的价格扣除，90-99分（不含90 分）之间的给予报价1%的价格扣除，90分以下的不得享受价格扣除。投标人可在公告发布之日到投标截止期间，登录“南阳市政府采购信用管理系统”在线打印《南阳市政府采购供应商信用记录表》，作为投标文件的组成部分提交，评审时作为享受政策支持的依据。</w:t>
            </w:r>
          </w:p>
        </w:tc>
      </w:tr>
      <w:tr w14:paraId="6DD3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trPr>
        <w:tc>
          <w:tcPr>
            <w:tcW w:w="952" w:type="dxa"/>
            <w:vMerge w:val="continue"/>
          </w:tcPr>
          <w:p w14:paraId="13440AE0">
            <w:pPr>
              <w:widowControl w:val="0"/>
              <w:rPr>
                <w:rFonts w:ascii="宋体" w:hAnsi="宋体" w:cs="宋体"/>
              </w:rPr>
            </w:pPr>
          </w:p>
        </w:tc>
        <w:tc>
          <w:tcPr>
            <w:tcW w:w="1356" w:type="dxa"/>
            <w:vMerge w:val="continue"/>
          </w:tcPr>
          <w:p w14:paraId="275909F2">
            <w:pPr>
              <w:widowControl w:val="0"/>
              <w:rPr>
                <w:rFonts w:ascii="宋体" w:hAnsi="宋体" w:cs="宋体"/>
              </w:rPr>
            </w:pPr>
          </w:p>
        </w:tc>
        <w:tc>
          <w:tcPr>
            <w:tcW w:w="1576" w:type="dxa"/>
            <w:vAlign w:val="center"/>
          </w:tcPr>
          <w:p w14:paraId="24D08C32">
            <w:pPr>
              <w:widowControl w:val="0"/>
              <w:jc w:val="center"/>
              <w:rPr>
                <w:rFonts w:ascii="宋体" w:hAnsi="宋体" w:cs="宋体"/>
              </w:rPr>
            </w:pPr>
            <w:r>
              <w:rPr>
                <w:rFonts w:hint="eastAsia" w:ascii="宋体" w:hAnsi="宋体" w:cs="宋体"/>
              </w:rPr>
              <w:t>项目业绩</w:t>
            </w:r>
          </w:p>
          <w:p w14:paraId="168219DA">
            <w:pPr>
              <w:widowControl w:val="0"/>
              <w:jc w:val="center"/>
              <w:rPr>
                <w:rFonts w:ascii="宋体" w:hAnsi="宋体" w:cs="宋体"/>
              </w:rPr>
            </w:pPr>
            <w:r>
              <w:rPr>
                <w:rFonts w:hint="eastAsia" w:ascii="宋体" w:hAnsi="宋体" w:cs="宋体"/>
              </w:rPr>
              <w:t>（3分）</w:t>
            </w:r>
          </w:p>
        </w:tc>
        <w:tc>
          <w:tcPr>
            <w:tcW w:w="4638" w:type="dxa"/>
          </w:tcPr>
          <w:p w14:paraId="6CCDE9B5">
            <w:pPr>
              <w:widowControl w:val="0"/>
              <w:rPr>
                <w:rFonts w:ascii="宋体" w:hAnsi="宋体" w:cs="宋体"/>
              </w:rPr>
            </w:pPr>
            <w:r>
              <w:rPr>
                <w:rFonts w:hint="eastAsia" w:ascii="宋体" w:hAnsi="宋体" w:cs="宋体"/>
              </w:rPr>
              <w:t xml:space="preserve">投标人自 2023 年 </w:t>
            </w:r>
            <w:r>
              <w:rPr>
                <w:rFonts w:hint="eastAsia" w:ascii="宋体" w:hAnsi="宋体" w:eastAsia="宋体" w:cs="宋体"/>
                <w:lang w:val="en-US" w:eastAsia="zh-CN"/>
              </w:rPr>
              <w:t>8</w:t>
            </w:r>
            <w:r>
              <w:rPr>
                <w:rFonts w:hint="eastAsia" w:ascii="宋体" w:hAnsi="宋体" w:cs="宋体"/>
              </w:rPr>
              <w:t xml:space="preserve"> 月 1 日（含当日）起签订的同类设备供货项目业绩，每提交 1 份有效业绩材料得 1 分，该项累计最高得分3分。 </w:t>
            </w:r>
          </w:p>
          <w:p w14:paraId="0DEA0F0C">
            <w:pPr>
              <w:widowControl w:val="0"/>
              <w:rPr>
                <w:rFonts w:ascii="宋体" w:hAnsi="宋体" w:cs="宋体"/>
              </w:rPr>
            </w:pPr>
            <w:r>
              <w:rPr>
                <w:rFonts w:hint="eastAsia" w:ascii="宋体" w:hAnsi="宋体" w:cs="宋体"/>
                <w:b w:val="0"/>
                <w:bCs w:val="0"/>
              </w:rPr>
              <w:t>备注：每份业绩须同时提供项目正式合同，业绩有效时间以合同签订日期为准。资料关键信息遮挡模糊、主体名称不一致、合同签订时间不在要求区间内、项目不属于设备供货类业绩的，该份业绩不予计分；全部资料齐全方可认定为有效业绩。</w:t>
            </w:r>
          </w:p>
        </w:tc>
      </w:tr>
      <w:tr w14:paraId="4F5A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52" w:type="dxa"/>
            <w:vMerge w:val="continue"/>
          </w:tcPr>
          <w:p w14:paraId="195E4585">
            <w:pPr>
              <w:widowControl w:val="0"/>
              <w:rPr>
                <w:rFonts w:ascii="宋体" w:hAnsi="宋体" w:cs="宋体"/>
              </w:rPr>
            </w:pPr>
          </w:p>
        </w:tc>
        <w:tc>
          <w:tcPr>
            <w:tcW w:w="1356" w:type="dxa"/>
            <w:vMerge w:val="continue"/>
          </w:tcPr>
          <w:p w14:paraId="0BE9C137">
            <w:pPr>
              <w:widowControl w:val="0"/>
              <w:rPr>
                <w:rFonts w:ascii="宋体" w:hAnsi="宋体" w:cs="宋体"/>
              </w:rPr>
            </w:pPr>
          </w:p>
        </w:tc>
        <w:tc>
          <w:tcPr>
            <w:tcW w:w="1576" w:type="dxa"/>
            <w:vAlign w:val="center"/>
          </w:tcPr>
          <w:p w14:paraId="19102820">
            <w:pPr>
              <w:widowControl w:val="0"/>
              <w:jc w:val="center"/>
              <w:rPr>
                <w:rFonts w:ascii="宋体" w:hAnsi="宋体" w:cs="宋体"/>
              </w:rPr>
            </w:pPr>
            <w:r>
              <w:rPr>
                <w:rFonts w:hint="eastAsia" w:ascii="宋体" w:hAnsi="宋体" w:cs="宋体"/>
              </w:rPr>
              <w:t>培训计划</w:t>
            </w:r>
          </w:p>
          <w:p w14:paraId="2A45A9D2">
            <w:pPr>
              <w:widowControl w:val="0"/>
              <w:jc w:val="center"/>
              <w:rPr>
                <w:rFonts w:ascii="宋体" w:hAnsi="宋体" w:cs="宋体"/>
              </w:rPr>
            </w:pPr>
            <w:r>
              <w:rPr>
                <w:rFonts w:hint="eastAsia" w:ascii="宋体" w:hAnsi="宋体" w:cs="宋体"/>
              </w:rPr>
              <w:t>（5分）</w:t>
            </w:r>
          </w:p>
        </w:tc>
        <w:tc>
          <w:tcPr>
            <w:tcW w:w="4638" w:type="dxa"/>
          </w:tcPr>
          <w:p w14:paraId="3FDD32BA">
            <w:pPr>
              <w:widowControl w:val="0"/>
              <w:rPr>
                <w:rFonts w:ascii="宋体" w:hAnsi="宋体" w:cs="宋体"/>
              </w:rPr>
            </w:pPr>
            <w:r>
              <w:rPr>
                <w:rFonts w:hint="eastAsia" w:ascii="宋体" w:hAnsi="宋体" w:cs="宋体"/>
              </w:rPr>
              <w:t>根据投标人提供的培训方案，方案内容包含但不限于培训目标、培训计划、培训方式、培训内容、培训时间、培训团队配置、对设备操作及维修人员进行操作及维修管理等内容进行打分：</w:t>
            </w:r>
          </w:p>
          <w:p w14:paraId="0C2F7000">
            <w:pPr>
              <w:widowControl w:val="0"/>
              <w:rPr>
                <w:rFonts w:ascii="宋体" w:hAnsi="宋体" w:cs="宋体"/>
              </w:rPr>
            </w:pPr>
            <w:r>
              <w:rPr>
                <w:rFonts w:hint="eastAsia" w:ascii="宋体" w:hAnsi="宋体" w:cs="宋体"/>
              </w:rPr>
              <w:t>第一档：培训计划方案内容非常完整，培训课目设置与设备使用结合紧密、针对性强，培训方式多样充分体现线上线下多手段、培训方法紧贴使用对象体现分层次教培特点，培训骨干技术实力较强，体现多专业配备，充分满足项目需要的，得5分；</w:t>
            </w:r>
          </w:p>
          <w:p w14:paraId="68F3EA31">
            <w:pPr>
              <w:widowControl w:val="0"/>
              <w:rPr>
                <w:rFonts w:ascii="宋体" w:hAnsi="宋体" w:cs="宋体"/>
              </w:rPr>
            </w:pPr>
            <w:r>
              <w:rPr>
                <w:rFonts w:hint="eastAsia" w:ascii="宋体" w:hAnsi="宋体" w:cs="宋体"/>
              </w:rPr>
              <w:t>第二档：培训计划方案内容较为完整，培训课目设置符合设备使用要求，培训组织及方法安排基本可行，能满足项目需要，但在培训形式、分层次教培等方面还够科学灵活的，得3分；</w:t>
            </w:r>
          </w:p>
          <w:p w14:paraId="48F7E733">
            <w:pPr>
              <w:widowControl w:val="0"/>
              <w:rPr>
                <w:rFonts w:ascii="宋体" w:hAnsi="宋体" w:cs="宋体"/>
              </w:rPr>
            </w:pPr>
            <w:r>
              <w:rPr>
                <w:rFonts w:hint="eastAsia" w:ascii="宋体" w:hAnsi="宋体" w:cs="宋体"/>
              </w:rPr>
              <w:t>第三档：培训计划方案内容有缺失，培训课目设置有所欠缺或培训安排不够周密的，不能达到良好的培训效果的，得2分；</w:t>
            </w:r>
          </w:p>
          <w:p w14:paraId="2783FAA3">
            <w:pPr>
              <w:widowControl w:val="0"/>
              <w:rPr>
                <w:rFonts w:ascii="宋体" w:hAnsi="宋体" w:cs="宋体"/>
              </w:rPr>
            </w:pPr>
            <w:r>
              <w:rPr>
                <w:rFonts w:hint="eastAsia" w:ascii="宋体" w:hAnsi="宋体" w:cs="宋体"/>
              </w:rPr>
              <w:t>第四档：虽有培训方案，但实操性很差，不能达到培训效果的，得1分；</w:t>
            </w:r>
          </w:p>
          <w:p w14:paraId="79B40D1D">
            <w:pPr>
              <w:widowControl w:val="0"/>
              <w:rPr>
                <w:rFonts w:ascii="宋体" w:hAnsi="宋体"/>
              </w:rPr>
            </w:pPr>
            <w:r>
              <w:rPr>
                <w:rFonts w:hint="eastAsia" w:ascii="宋体" w:hAnsi="宋体" w:cs="宋体"/>
              </w:rPr>
              <w:t>第五档：没有或完全不满足不得分。</w:t>
            </w:r>
          </w:p>
        </w:tc>
      </w:tr>
      <w:tr w14:paraId="1658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952" w:type="dxa"/>
            <w:vMerge w:val="continue"/>
          </w:tcPr>
          <w:p w14:paraId="671AF478">
            <w:pPr>
              <w:widowControl w:val="0"/>
              <w:rPr>
                <w:rFonts w:ascii="宋体" w:hAnsi="宋体" w:cs="宋体"/>
              </w:rPr>
            </w:pPr>
          </w:p>
        </w:tc>
        <w:tc>
          <w:tcPr>
            <w:tcW w:w="1356" w:type="dxa"/>
            <w:vMerge w:val="continue"/>
          </w:tcPr>
          <w:p w14:paraId="0217EF66">
            <w:pPr>
              <w:widowControl w:val="0"/>
              <w:rPr>
                <w:rFonts w:ascii="宋体" w:hAnsi="宋体" w:cs="宋体"/>
              </w:rPr>
            </w:pPr>
          </w:p>
        </w:tc>
        <w:tc>
          <w:tcPr>
            <w:tcW w:w="1576" w:type="dxa"/>
            <w:vAlign w:val="center"/>
          </w:tcPr>
          <w:p w14:paraId="05E81F54">
            <w:pPr>
              <w:widowControl w:val="0"/>
              <w:jc w:val="center"/>
              <w:rPr>
                <w:rFonts w:ascii="宋体" w:hAnsi="宋体" w:cs="宋体"/>
              </w:rPr>
            </w:pPr>
            <w:r>
              <w:rPr>
                <w:rFonts w:hint="eastAsia" w:ascii="宋体" w:hAnsi="宋体" w:cs="宋体"/>
              </w:rPr>
              <w:t>售后服务方案</w:t>
            </w:r>
          </w:p>
          <w:p w14:paraId="137F7A93">
            <w:pPr>
              <w:widowControl w:val="0"/>
              <w:jc w:val="center"/>
              <w:rPr>
                <w:rFonts w:ascii="宋体" w:hAnsi="宋体" w:cs="宋体"/>
              </w:rPr>
            </w:pPr>
            <w:r>
              <w:rPr>
                <w:rFonts w:hint="eastAsia" w:ascii="宋体" w:hAnsi="宋体" w:cs="宋体"/>
              </w:rPr>
              <w:t>（10分）</w:t>
            </w:r>
          </w:p>
        </w:tc>
        <w:tc>
          <w:tcPr>
            <w:tcW w:w="4638" w:type="dxa"/>
          </w:tcPr>
          <w:p w14:paraId="731F5429">
            <w:pPr>
              <w:widowControl w:val="0"/>
              <w:rPr>
                <w:rFonts w:ascii="宋体" w:hAnsi="宋体" w:cs="宋体"/>
                <w:szCs w:val="21"/>
              </w:rPr>
            </w:pPr>
            <w:r>
              <w:rPr>
                <w:rFonts w:hint="eastAsia" w:ascii="宋体" w:hAnsi="宋体" w:cs="宋体"/>
              </w:rPr>
              <w:t>售后服务内容</w:t>
            </w:r>
            <w:r>
              <w:rPr>
                <w:rFonts w:hint="eastAsia" w:ascii="宋体" w:hAnsi="宋体" w:cs="宋体"/>
                <w:szCs w:val="21"/>
              </w:rPr>
              <w:t>包括服务体系、服务标准、服务内容，常见故障提供解决方案，应急处理方案、响应时间及故障排除时间，质保期内、质保期外服务标准，售后服务响应时间、主要设备原厂售后服务承诺函等。</w:t>
            </w:r>
          </w:p>
          <w:p w14:paraId="7E290085">
            <w:pPr>
              <w:widowControl w:val="0"/>
              <w:rPr>
                <w:rFonts w:ascii="宋体" w:hAnsi="宋体" w:cs="宋体"/>
                <w:szCs w:val="21"/>
              </w:rPr>
            </w:pPr>
            <w:r>
              <w:rPr>
                <w:rFonts w:hint="eastAsia" w:ascii="宋体" w:hAnsi="宋体" w:cs="宋体"/>
                <w:szCs w:val="21"/>
              </w:rPr>
              <w:t>第一档：售后服务方案、措施及承诺特别全面、可行，可实施性强，完全满足且优于招标文件中售后服务要求的，得10分。</w:t>
            </w:r>
          </w:p>
          <w:p w14:paraId="4D498DA8">
            <w:pPr>
              <w:widowControl w:val="0"/>
              <w:rPr>
                <w:rFonts w:ascii="宋体" w:hAnsi="宋体" w:cs="宋体"/>
                <w:szCs w:val="21"/>
              </w:rPr>
            </w:pPr>
            <w:r>
              <w:rPr>
                <w:rFonts w:hint="eastAsia" w:ascii="宋体" w:hAnsi="宋体" w:cs="宋体"/>
                <w:szCs w:val="21"/>
              </w:rPr>
              <w:t>第二档：服务方案、措施及承诺内容全面，且基本合理可行，能满足招标文件中售后服务要求的得6分；</w:t>
            </w:r>
          </w:p>
          <w:p w14:paraId="6C2E8848">
            <w:pPr>
              <w:widowControl w:val="0"/>
              <w:rPr>
                <w:rFonts w:ascii="宋体" w:hAnsi="宋体" w:cs="宋体"/>
                <w:szCs w:val="21"/>
              </w:rPr>
            </w:pPr>
            <w:r>
              <w:rPr>
                <w:rFonts w:hint="eastAsia" w:ascii="宋体" w:hAnsi="宋体" w:cs="宋体"/>
                <w:szCs w:val="21"/>
              </w:rPr>
              <w:t>第三档：提供服务方案，但缺乏实践实施性方案或内容不能完全满足采购人实际需求的，得2分；</w:t>
            </w:r>
          </w:p>
          <w:p w14:paraId="0D4986C2">
            <w:pPr>
              <w:widowControl w:val="0"/>
              <w:rPr>
                <w:rFonts w:ascii="宋体" w:hAnsi="宋体" w:cs="宋体"/>
              </w:rPr>
            </w:pPr>
            <w:r>
              <w:rPr>
                <w:rFonts w:hint="eastAsia" w:ascii="宋体" w:hAnsi="宋体" w:cs="宋体"/>
                <w:szCs w:val="21"/>
              </w:rPr>
              <w:t>第四档：未提供售后服务方案的，不得分。</w:t>
            </w:r>
          </w:p>
        </w:tc>
      </w:tr>
    </w:tbl>
    <w:p w14:paraId="76685DE7">
      <w:pPr>
        <w:pStyle w:val="15"/>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pPr>
    </w:p>
    <w:p w14:paraId="5A398DA1">
      <w:pPr>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pPr>
    </w:p>
    <w:p w14:paraId="70D8498D">
      <w:pPr>
        <w:pStyle w:val="6"/>
        <w:rPr>
          <w:rFonts w:hint="eastAsia"/>
        </w:rPr>
      </w:pPr>
    </w:p>
    <w:p w14:paraId="7C466E5E">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六.中标通知及签订合同</w:t>
      </w:r>
    </w:p>
    <w:p w14:paraId="1BC0F6D7">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1.中标通知</w:t>
      </w:r>
    </w:p>
    <w:p w14:paraId="1F83B147">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1.1 中标人被正式确定后，将在“河南省政府采购网”和“全国公共资源交易平台（河南省</w:t>
      </w:r>
      <w:r>
        <w:rPr>
          <w:rFonts w:hint="eastAsia" w:ascii="微软雅黑" w:hAnsi="微软雅黑" w:eastAsia="微软雅黑" w:cs="微软雅黑"/>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南阳市）”上公告中标结果，同时向中标人发出《中标通知书》。</w:t>
      </w:r>
    </w:p>
    <w:p w14:paraId="31E00957">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1.2 《中标通知书》将作为签订合同的依据之一。</w:t>
      </w:r>
    </w:p>
    <w:p w14:paraId="62896F5B">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1.3 《中标通知书》发放办法：政府采购项目通过“南阳市公共资源交易中心公共服务平台”向中标人发出电子《中标通知书》后，中标供应商可登录南阳市公共资源交易平台会员系统，自行打印加盖电子签章的《中标通知书》。</w:t>
      </w:r>
    </w:p>
    <w:p w14:paraId="623121C8">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2.签订合同</w:t>
      </w:r>
    </w:p>
    <w:p w14:paraId="6AB22016">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2.1中标供应商打印《中标通知书》后及时与采购人签订政府采购合同。合同签订后，采购人应通过“河南省电子化政府采购系统”(www.hngp.gov.cn)合同管理栏目上传合同原件扫描件完成备案。</w:t>
      </w:r>
    </w:p>
    <w:p w14:paraId="6FC76543">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2.2招标文件、投标文件、答疑及澄清文件，均为签订合同的依据。</w:t>
      </w:r>
    </w:p>
    <w:p w14:paraId="29F7C5B5">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14:paraId="2411404F">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七.质疑与答复</w:t>
      </w:r>
    </w:p>
    <w:p w14:paraId="5A0CEB5F">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633186D6">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14:paraId="71D81924">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14:paraId="45A84894">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在线接收，请质疑人上传质疑函原件扫描件到南阳市公共资源交易系统并电话通知到项目负责人。</w:t>
      </w:r>
    </w:p>
    <w:p w14:paraId="4E907896">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14:paraId="106C0731">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14:paraId="3BA6D98D">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14:paraId="1E98B917">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八、相关注意事项</w:t>
      </w:r>
    </w:p>
    <w:p w14:paraId="7A94F001">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1.开标及询标时，投标人法定代表人（负责人）或授权代表务必携带有效的身份证明，否则产生的不利后果由投标人自行承担。</w:t>
      </w:r>
    </w:p>
    <w:p w14:paraId="3DAAFF6D">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2.各投标人应保证：投标文件中涉及到的所有内容，不会出现因第三方提出侵权而引发法律及经济纠纷，不论何种情况下若发生此类情况，其相应责任由投标人自行承担。</w:t>
      </w:r>
    </w:p>
    <w:p w14:paraId="0E9542E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3.3开标、评标期间，投标人不得向评委询问评标情况，不得进行旨在影响评标结果的活动。</w:t>
      </w:r>
    </w:p>
    <w:p w14:paraId="7714652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4.为了保证评标的公正性，除询标外，评委不得与投标人交换意见。无论评标工作结束与否，参与评标的任何人均不得私下向外透露评标中的任何情况。</w:t>
      </w:r>
    </w:p>
    <w:p w14:paraId="4A649088">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5.投标人应本着公平竞争的原则参与投标，不得用任何方式对其它投标人恶意攻击。</w:t>
      </w:r>
    </w:p>
    <w:p w14:paraId="1CF97965">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6.投标人如有违反上述要求或违反国家法律、法规的行为，无论评标结果如何，其投标资格将被取消。</w:t>
      </w:r>
    </w:p>
    <w:p w14:paraId="02271BA7">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0AB44BF8">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2EB24587">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33D5DFE7">
      <w:pPr>
        <w:ind w:firstLine="1301" w:firstLineChars="400"/>
        <w:rPr>
          <w:rFonts w:hint="eastAsia" w:asciiTheme="minorEastAsia" w:hAnsiTheme="minorEastAsia" w:eastAsiaTheme="minorEastAsia" w:cstheme="minorEastAsia"/>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河南省政府采购合同融资政策告知函</w:t>
      </w:r>
    </w:p>
    <w:p w14:paraId="06A92B4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14:paraId="5D8D443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14:paraId="779A513C">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14:paraId="238771EE">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6017CBFB">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14:paraId="6EA8AE0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30" w:firstLineChars="200"/>
        <w:jc w:val="both"/>
        <w:textAlignment w:val="baseline"/>
        <w:rPr>
          <w:rFonts w:hint="eastAsia" w:asciiTheme="minorEastAsia" w:hAnsiTheme="minorEastAsia" w:eastAsiaTheme="minorEastAsia" w:cstheme="minorEastAsia"/>
          <w:b/>
          <w:bCs/>
          <w:spacing w:val="-13"/>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14:paraId="5194860E">
      <w:pPr>
        <w:pStyle w:val="34"/>
        <w:keepNext w:val="0"/>
        <w:keepLines w:val="0"/>
        <w:pageBreakBefore w:val="0"/>
        <w:kinsoku/>
        <w:wordWrap w:val="0"/>
        <w:overflowPunct/>
        <w:topLinePunct w:val="0"/>
        <w:bidi w:val="0"/>
        <w:jc w:val="both"/>
        <w:rPr>
          <w:rFonts w:hint="eastAsia"/>
          <w:lang w:val="en-US" w:eastAsia="zh-CN"/>
        </w:rPr>
        <w:sectPr>
          <w:headerReference r:id="rId5" w:type="default"/>
          <w:footerReference r:id="rId6" w:type="default"/>
          <w:pgSz w:w="11907" w:h="16840"/>
          <w:pgMar w:top="1440" w:right="1800" w:bottom="1440" w:left="1800" w:header="878" w:footer="886" w:gutter="0"/>
          <w:pgNumType w:fmt="decimal" w:start="1"/>
          <w:cols w:space="720" w:num="1"/>
        </w:sectPr>
      </w:pPr>
    </w:p>
    <w:p w14:paraId="0008495E">
      <w:pPr>
        <w:pStyle w:val="6"/>
        <w:jc w:val="center"/>
        <w:rPr>
          <w:b/>
          <w:bCs/>
          <w:spacing w:val="-20"/>
          <w:kern w:val="44"/>
          <w:sz w:val="48"/>
          <w:szCs w:val="48"/>
        </w:rPr>
      </w:pPr>
      <w:r>
        <w:rPr>
          <w:rFonts w:hint="eastAsia"/>
          <w:b/>
          <w:bCs/>
          <w:spacing w:val="-20"/>
          <w:kern w:val="44"/>
          <w:sz w:val="48"/>
          <w:szCs w:val="48"/>
        </w:rPr>
        <w:t>政府采购货物买卖合同</w:t>
      </w:r>
    </w:p>
    <w:p w14:paraId="33F30CE1">
      <w:pPr>
        <w:pStyle w:val="6"/>
        <w:jc w:val="center"/>
        <w:rPr>
          <w:b/>
          <w:bCs/>
          <w:spacing w:val="-20"/>
          <w:kern w:val="44"/>
          <w:sz w:val="48"/>
          <w:szCs w:val="48"/>
        </w:rPr>
      </w:pPr>
      <w:r>
        <w:rPr>
          <w:rFonts w:hint="eastAsia"/>
          <w:b/>
          <w:bCs/>
          <w:spacing w:val="-20"/>
          <w:kern w:val="44"/>
          <w:sz w:val="48"/>
          <w:szCs w:val="48"/>
        </w:rPr>
        <w:t>（试行）</w:t>
      </w:r>
    </w:p>
    <w:p w14:paraId="1CB6359E">
      <w:pPr>
        <w:rPr>
          <w:rFonts w:ascii="宋体" w:hAnsi="宋体" w:cs="宋体"/>
          <w:b/>
          <w:bCs/>
          <w:spacing w:val="-20"/>
          <w:kern w:val="44"/>
          <w:sz w:val="40"/>
          <w:szCs w:val="40"/>
        </w:rPr>
      </w:pPr>
    </w:p>
    <w:p w14:paraId="2EC835DA">
      <w:pPr>
        <w:rPr>
          <w:rFonts w:ascii="宋体" w:hAnsi="宋体" w:cs="宋体"/>
          <w:b/>
          <w:bCs/>
          <w:spacing w:val="-20"/>
          <w:kern w:val="44"/>
          <w:sz w:val="40"/>
          <w:szCs w:val="40"/>
        </w:rPr>
      </w:pPr>
    </w:p>
    <w:p w14:paraId="55F05326">
      <w:pPr>
        <w:pStyle w:val="30"/>
      </w:pPr>
    </w:p>
    <w:p w14:paraId="7F7C3087">
      <w:pPr>
        <w:pStyle w:val="30"/>
      </w:pPr>
    </w:p>
    <w:p w14:paraId="75273315">
      <w:pPr>
        <w:pStyle w:val="30"/>
      </w:pPr>
    </w:p>
    <w:p w14:paraId="0629CB6E">
      <w:pPr>
        <w:pStyle w:val="30"/>
      </w:pPr>
    </w:p>
    <w:p w14:paraId="23C84ECD">
      <w:pPr>
        <w:pStyle w:val="30"/>
      </w:pPr>
    </w:p>
    <w:p w14:paraId="36AD328C">
      <w:pPr>
        <w:pStyle w:val="30"/>
      </w:pPr>
    </w:p>
    <w:p w14:paraId="4BB29228">
      <w:pPr>
        <w:pStyle w:val="30"/>
      </w:pPr>
    </w:p>
    <w:p w14:paraId="05E6FB62">
      <w:pPr>
        <w:pStyle w:val="30"/>
      </w:pPr>
    </w:p>
    <w:p w14:paraId="7CAA3A63">
      <w:pPr>
        <w:rPr>
          <w:rFonts w:ascii="宋体" w:hAnsi="宋体" w:cs="宋体"/>
          <w:b/>
          <w:bCs/>
          <w:spacing w:val="-20"/>
          <w:kern w:val="44"/>
          <w:sz w:val="40"/>
          <w:szCs w:val="40"/>
        </w:rPr>
      </w:pPr>
    </w:p>
    <w:p w14:paraId="26418B72">
      <w:pPr>
        <w:rPr>
          <w:rFonts w:ascii="宋体" w:hAnsi="宋体" w:cs="宋体"/>
          <w:b/>
          <w:bCs/>
          <w:spacing w:val="-20"/>
          <w:kern w:val="44"/>
          <w:sz w:val="40"/>
          <w:szCs w:val="40"/>
        </w:rPr>
      </w:pPr>
    </w:p>
    <w:p w14:paraId="2EE6750B">
      <w:pPr>
        <w:rPr>
          <w:rFonts w:ascii="宋体" w:hAnsi="宋体" w:cs="宋体"/>
          <w:b/>
          <w:bCs/>
          <w:spacing w:val="-20"/>
          <w:kern w:val="44"/>
          <w:sz w:val="40"/>
          <w:szCs w:val="40"/>
        </w:rPr>
      </w:pPr>
    </w:p>
    <w:p w14:paraId="566A0AE9">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14:paraId="455D0504">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14:paraId="0958650A">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14:paraId="271689D4">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14:paraId="7D3D6A07">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0E7C6528"/>
    <w:p w14:paraId="33B4A36F">
      <w:pPr>
        <w:rPr>
          <w:rFonts w:eastAsia="黑体"/>
          <w:sz w:val="44"/>
          <w:szCs w:val="44"/>
        </w:rPr>
      </w:pPr>
      <w:r>
        <w:rPr>
          <w:rFonts w:eastAsia="黑体"/>
          <w:sz w:val="44"/>
          <w:szCs w:val="44"/>
        </w:rPr>
        <w:br w:type="page"/>
      </w:r>
    </w:p>
    <w:p w14:paraId="7E263C47">
      <w:pPr>
        <w:jc w:val="center"/>
        <w:rPr>
          <w:rFonts w:eastAsia="黑体"/>
          <w:sz w:val="44"/>
          <w:szCs w:val="44"/>
        </w:rPr>
      </w:pPr>
      <w:r>
        <w:rPr>
          <w:rFonts w:hint="eastAsia" w:eastAsia="黑体"/>
          <w:sz w:val="44"/>
          <w:szCs w:val="44"/>
        </w:rPr>
        <w:t>使 用 说 明</w:t>
      </w:r>
    </w:p>
    <w:p w14:paraId="2089A5C8">
      <w:pPr>
        <w:ind w:firstLine="640" w:firstLineChars="200"/>
        <w:rPr>
          <w:rFonts w:ascii="仿宋_GB2312" w:hAnsi="仿宋_GB2312" w:eastAsia="仿宋_GB2312" w:cs="仿宋_GB2312"/>
          <w:sz w:val="32"/>
          <w:szCs w:val="32"/>
        </w:rPr>
      </w:pPr>
    </w:p>
    <w:p w14:paraId="5251F80B">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14:paraId="33BD411A">
      <w:pPr>
        <w:rPr>
          <w:rFonts w:eastAsia="黑体"/>
          <w:sz w:val="44"/>
          <w:szCs w:val="44"/>
        </w:rPr>
      </w:pPr>
      <w:r>
        <w:rPr>
          <w:rFonts w:hint="eastAsia" w:eastAsia="黑体"/>
          <w:sz w:val="44"/>
          <w:szCs w:val="44"/>
        </w:rPr>
        <w:t xml:space="preserve">   </w:t>
      </w:r>
      <w:r>
        <w:rPr>
          <w:rFonts w:hint="eastAsia" w:ascii="仿宋_GB2312" w:hAnsi="仿宋_GB2312" w:eastAsia="仿宋_GB2312" w:cs="仿宋_GB2312"/>
          <w:sz w:val="32"/>
          <w:szCs w:val="32"/>
        </w:rPr>
        <w:t>2.本合同标准文本为政府采购货物买卖合同编制提供参考，可以结合采购项目具体情况，对文本作必要的调整修订后使用。</w:t>
      </w:r>
    </w:p>
    <w:p w14:paraId="589C80A9">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14:paraId="6D5B2E62">
      <w:pPr>
        <w:ind w:firstLine="880" w:firstLineChars="200"/>
        <w:rPr>
          <w:rFonts w:eastAsia="黑体"/>
          <w:sz w:val="44"/>
          <w:szCs w:val="44"/>
        </w:rPr>
        <w:sectPr>
          <w:pgSz w:w="11906" w:h="16838"/>
          <w:pgMar w:top="1440" w:right="1800" w:bottom="1440" w:left="1800" w:header="851" w:footer="992" w:gutter="0"/>
          <w:cols w:space="425" w:num="1"/>
          <w:docGrid w:type="lines" w:linePitch="312" w:charSpace="0"/>
        </w:sectPr>
      </w:pPr>
    </w:p>
    <w:p w14:paraId="0B348720">
      <w:pPr>
        <w:pStyle w:val="3"/>
        <w:adjustRightInd w:val="0"/>
        <w:snapToGrid w:val="0"/>
        <w:spacing w:line="400" w:lineRule="exact"/>
        <w:rPr>
          <w:rFonts w:ascii="黑体" w:hAnsi="黑体" w:eastAsia="黑体"/>
          <w:sz w:val="28"/>
          <w:szCs w:val="28"/>
        </w:rPr>
      </w:pPr>
      <w:bookmarkStart w:id="0" w:name="_Toc22209"/>
    </w:p>
    <w:p w14:paraId="05C5F99F">
      <w:pPr>
        <w:pStyle w:val="3"/>
        <w:adjustRightInd w:val="0"/>
        <w:snapToGrid w:val="0"/>
        <w:spacing w:line="400" w:lineRule="exact"/>
        <w:jc w:val="center"/>
        <w:rPr>
          <w:rFonts w:ascii="宋体" w:hAnsi="宋体" w:eastAsia="宋体" w:cs="宋体"/>
          <w:b w:val="0"/>
          <w:bCs w:val="0"/>
          <w:sz w:val="28"/>
          <w:szCs w:val="28"/>
        </w:rPr>
      </w:pPr>
      <w:r>
        <w:rPr>
          <w:rFonts w:hint="eastAsia" w:ascii="宋体" w:hAnsi="宋体" w:eastAsia="宋体" w:cs="宋体"/>
          <w:b w:val="0"/>
          <w:bCs w:val="0"/>
          <w:sz w:val="28"/>
          <w:szCs w:val="28"/>
        </w:rPr>
        <w:t>第一节 政府采购合同协议书</w:t>
      </w:r>
      <w:bookmarkEnd w:id="0"/>
    </w:p>
    <w:p w14:paraId="4BFCE4F4">
      <w:pPr>
        <w:pStyle w:val="3"/>
        <w:adjustRightInd w:val="0"/>
        <w:snapToGrid w:val="0"/>
        <w:spacing w:line="400" w:lineRule="exact"/>
        <w:rPr>
          <w:rFonts w:ascii="宋体" w:hAnsi="宋体" w:eastAsia="宋体" w:cs="宋体"/>
          <w:b w:val="0"/>
          <w:bCs w:val="0"/>
          <w:sz w:val="28"/>
          <w:szCs w:val="28"/>
        </w:rPr>
      </w:pPr>
    </w:p>
    <w:p w14:paraId="6E2164A8">
      <w:pPr>
        <w:adjustRightInd w:val="0"/>
        <w:snapToGrid w:val="0"/>
        <w:spacing w:line="400" w:lineRule="exact"/>
        <w:rPr>
          <w:rFonts w:ascii="宋体" w:hAnsi="宋体" w:eastAsia="宋体" w:cs="宋体"/>
          <w:szCs w:val="21"/>
          <w:u w:val="single"/>
        </w:rPr>
      </w:pPr>
      <w:r>
        <w:rPr>
          <w:rFonts w:hint="eastAsia" w:ascii="宋体" w:hAnsi="宋体" w:eastAsia="宋体" w:cs="宋体"/>
          <w:szCs w:val="21"/>
        </w:rPr>
        <w:t>甲方（全称）：</w:t>
      </w:r>
      <w:r>
        <w:rPr>
          <w:rFonts w:hint="eastAsia" w:ascii="宋体" w:hAnsi="宋体" w:eastAsia="宋体" w:cs="宋体"/>
          <w:szCs w:val="21"/>
          <w:u w:val="single"/>
        </w:rPr>
        <w:t xml:space="preserve">                        </w:t>
      </w:r>
    </w:p>
    <w:p w14:paraId="1683C8D5">
      <w:pPr>
        <w:adjustRightInd w:val="0"/>
        <w:snapToGrid w:val="0"/>
        <w:spacing w:line="400" w:lineRule="exact"/>
        <w:rPr>
          <w:rFonts w:ascii="宋体" w:hAnsi="宋体" w:eastAsia="宋体" w:cs="宋体"/>
          <w:szCs w:val="21"/>
        </w:rPr>
      </w:pPr>
      <w:r>
        <w:rPr>
          <w:rFonts w:hint="eastAsia" w:ascii="宋体" w:hAnsi="宋体" w:eastAsia="宋体" w:cs="宋体"/>
          <w:szCs w:val="21"/>
        </w:rPr>
        <w:t>乙方1（全称）：</w:t>
      </w:r>
      <w:r>
        <w:rPr>
          <w:rFonts w:hint="eastAsia" w:ascii="宋体" w:hAnsi="宋体" w:eastAsia="宋体" w:cs="宋体"/>
          <w:szCs w:val="21"/>
          <w:u w:val="single"/>
        </w:rPr>
        <w:t xml:space="preserve">                       </w:t>
      </w:r>
      <w:r>
        <w:rPr>
          <w:rFonts w:hint="eastAsia" w:ascii="宋体" w:hAnsi="宋体" w:eastAsia="宋体" w:cs="宋体"/>
          <w:szCs w:val="21"/>
        </w:rPr>
        <w:t>（供应商）</w:t>
      </w:r>
    </w:p>
    <w:p w14:paraId="12E78312">
      <w:pPr>
        <w:adjustRightInd w:val="0"/>
        <w:snapToGrid w:val="0"/>
        <w:spacing w:line="400" w:lineRule="exact"/>
        <w:rPr>
          <w:rFonts w:ascii="宋体" w:hAnsi="宋体" w:eastAsia="宋体" w:cs="宋体"/>
          <w:szCs w:val="21"/>
        </w:rPr>
      </w:pPr>
      <w:r>
        <w:rPr>
          <w:rFonts w:hint="eastAsia" w:ascii="宋体" w:hAnsi="宋体" w:eastAsia="宋体" w:cs="宋体"/>
          <w:szCs w:val="21"/>
        </w:rPr>
        <w:t>乙方2（全称）：</w:t>
      </w:r>
      <w:r>
        <w:rPr>
          <w:rFonts w:hint="eastAsia" w:ascii="宋体" w:hAnsi="宋体" w:eastAsia="宋体" w:cs="宋体"/>
          <w:szCs w:val="21"/>
          <w:u w:val="single"/>
        </w:rPr>
        <w:t xml:space="preserve">                        </w:t>
      </w:r>
      <w:r>
        <w:rPr>
          <w:rFonts w:hint="eastAsia" w:ascii="宋体" w:hAnsi="宋体" w:eastAsia="宋体" w:cs="宋体"/>
          <w:szCs w:val="21"/>
        </w:rPr>
        <w:t>（联合体成员供应商或其他合同主体）（如有）</w:t>
      </w:r>
    </w:p>
    <w:p w14:paraId="6D0B7EFA">
      <w:pPr>
        <w:adjustRightInd w:val="0"/>
        <w:snapToGrid w:val="0"/>
        <w:spacing w:line="400" w:lineRule="exact"/>
        <w:rPr>
          <w:rFonts w:ascii="宋体" w:hAnsi="宋体" w:eastAsia="宋体" w:cs="宋体"/>
          <w:szCs w:val="21"/>
        </w:rPr>
      </w:pPr>
      <w:r>
        <w:rPr>
          <w:rFonts w:hint="eastAsia" w:ascii="宋体" w:hAnsi="宋体" w:eastAsia="宋体" w:cs="宋体"/>
        </w:rPr>
        <w:t>乙方</w:t>
      </w:r>
      <w:r>
        <w:rPr>
          <w:rFonts w:hint="eastAsia" w:ascii="宋体" w:hAnsi="宋体" w:eastAsia="宋体" w:cs="宋体"/>
          <w:szCs w:val="21"/>
        </w:rPr>
        <w:t>3</w:t>
      </w:r>
      <w:r>
        <w:rPr>
          <w:rFonts w:hint="eastAsia" w:ascii="宋体" w:hAnsi="宋体" w:eastAsia="宋体" w:cs="宋体"/>
        </w:rPr>
        <w:t>（全称）</w:t>
      </w:r>
      <w:r>
        <w:rPr>
          <w:rFonts w:hint="eastAsia" w:ascii="宋体" w:hAnsi="宋体" w:eastAsia="宋体" w:cs="宋体"/>
          <w:szCs w:val="21"/>
          <w:u w:val="single"/>
        </w:rPr>
        <w:t xml:space="preserve">                          </w:t>
      </w:r>
      <w:r>
        <w:rPr>
          <w:rFonts w:hint="eastAsia" w:ascii="宋体" w:hAnsi="宋体" w:eastAsia="宋体" w:cs="宋体"/>
          <w:szCs w:val="21"/>
        </w:rPr>
        <w:t>（联合体成员供应商或其他合同主体）（如有）</w:t>
      </w:r>
    </w:p>
    <w:p w14:paraId="032E3E56">
      <w:pPr>
        <w:spacing w:line="400" w:lineRule="exact"/>
        <w:rPr>
          <w:rFonts w:ascii="宋体" w:hAnsi="宋体" w:eastAsia="宋体" w:cs="宋体"/>
        </w:rPr>
      </w:pPr>
    </w:p>
    <w:p w14:paraId="3ECC6EF1">
      <w:pPr>
        <w:pStyle w:val="7"/>
        <w:adjustRightInd w:val="0"/>
        <w:snapToGrid w:val="0"/>
        <w:spacing w:line="400" w:lineRule="exact"/>
        <w:ind w:firstLineChars="200"/>
        <w:rPr>
          <w:rFonts w:ascii="宋体" w:eastAsia="宋体" w:cs="宋体"/>
          <w:szCs w:val="21"/>
        </w:rPr>
      </w:pPr>
      <w:r>
        <w:rPr>
          <w:rFonts w:hint="eastAsia" w:ascii="宋体" w:eastAsia="宋体" w:cs="宋体"/>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460FA3C4">
      <w:pPr>
        <w:numPr>
          <w:ilvl w:val="0"/>
          <w:numId w:val="8"/>
        </w:num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项目信息</w:t>
      </w:r>
    </w:p>
    <w:p w14:paraId="3AE53FF1">
      <w:pPr>
        <w:pStyle w:val="7"/>
        <w:numPr>
          <w:ilvl w:val="0"/>
          <w:numId w:val="9"/>
        </w:numPr>
        <w:adjustRightInd w:val="0"/>
        <w:snapToGrid w:val="0"/>
        <w:spacing w:line="400" w:lineRule="exact"/>
        <w:ind w:firstLineChars="200"/>
        <w:rPr>
          <w:rFonts w:ascii="宋体" w:eastAsia="宋体" w:cs="宋体"/>
          <w:szCs w:val="21"/>
          <w:u w:val="single"/>
        </w:rPr>
      </w:pPr>
      <w:r>
        <w:rPr>
          <w:rFonts w:hint="eastAsia" w:ascii="宋体" w:eastAsia="宋体" w:cs="宋体"/>
          <w:szCs w:val="21"/>
        </w:rPr>
        <w:t>采购项目名称：</w:t>
      </w:r>
      <w:r>
        <w:rPr>
          <w:rFonts w:hint="eastAsia" w:ascii="宋体" w:eastAsia="宋体" w:cs="宋体"/>
          <w:szCs w:val="21"/>
          <w:u w:val="single"/>
        </w:rPr>
        <w:t xml:space="preserve">                                          </w:t>
      </w:r>
    </w:p>
    <w:p w14:paraId="0E0519A4">
      <w:pPr>
        <w:pStyle w:val="7"/>
        <w:numPr>
          <w:ilvl w:val="255"/>
          <w:numId w:val="0"/>
        </w:numPr>
        <w:tabs>
          <w:tab w:val="left" w:pos="999"/>
        </w:tabs>
        <w:adjustRightInd w:val="0"/>
        <w:snapToGrid w:val="0"/>
        <w:spacing w:line="400" w:lineRule="exact"/>
        <w:rPr>
          <w:rFonts w:ascii="宋体" w:eastAsia="宋体" w:cs="宋体"/>
          <w:szCs w:val="21"/>
        </w:rPr>
      </w:pPr>
      <w:r>
        <w:rPr>
          <w:rFonts w:hint="eastAsia" w:ascii="宋体" w:eastAsia="宋体" w:cs="宋体"/>
          <w:szCs w:val="21"/>
        </w:rPr>
        <w:t xml:space="preserve">         采购项目编号：</w:t>
      </w:r>
      <w:r>
        <w:rPr>
          <w:rFonts w:hint="eastAsia" w:ascii="宋体" w:eastAsia="宋体" w:cs="宋体"/>
          <w:szCs w:val="21"/>
          <w:u w:val="single"/>
        </w:rPr>
        <w:t xml:space="preserve">                                          </w:t>
      </w:r>
    </w:p>
    <w:p w14:paraId="25D6379D">
      <w:pPr>
        <w:pStyle w:val="7"/>
        <w:adjustRightInd w:val="0"/>
        <w:snapToGrid w:val="0"/>
        <w:spacing w:line="400" w:lineRule="exact"/>
        <w:ind w:firstLineChars="200"/>
        <w:rPr>
          <w:rFonts w:ascii="宋体" w:eastAsia="宋体" w:cs="宋体"/>
          <w:szCs w:val="21"/>
        </w:rPr>
      </w:pPr>
      <w:r>
        <w:rPr>
          <w:rFonts w:hint="eastAsia" w:ascii="宋体" w:eastAsia="宋体" w:cs="宋体"/>
          <w:szCs w:val="21"/>
        </w:rPr>
        <w:t>（2）采购计划编号：</w:t>
      </w:r>
      <w:r>
        <w:rPr>
          <w:rFonts w:hint="eastAsia" w:ascii="宋体" w:eastAsia="宋体" w:cs="宋体"/>
          <w:szCs w:val="21"/>
          <w:u w:val="single"/>
        </w:rPr>
        <w:t xml:space="preserve">                                          </w:t>
      </w:r>
      <w:r>
        <w:rPr>
          <w:rFonts w:hint="eastAsia" w:ascii="宋体" w:eastAsia="宋体" w:cs="宋体"/>
          <w:szCs w:val="21"/>
        </w:rPr>
        <w:t xml:space="preserve"> </w:t>
      </w:r>
    </w:p>
    <w:p w14:paraId="6B94BFA6">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（3）项目内容：</w:t>
      </w:r>
    </w:p>
    <w:p w14:paraId="0591F9E6">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 xml:space="preserve">     采购标的及数量（台/套/个/架/组等）：</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17EC4D8A">
      <w:pPr>
        <w:numPr>
          <w:ilvl w:val="255"/>
          <w:numId w:val="0"/>
        </w:num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规格型号：</w:t>
      </w:r>
      <w:r>
        <w:rPr>
          <w:rFonts w:hint="eastAsia" w:ascii="宋体" w:hAnsi="宋体" w:eastAsia="宋体" w:cs="宋体"/>
          <w:szCs w:val="21"/>
          <w:u w:val="single"/>
        </w:rPr>
        <w:t xml:space="preserve">               </w:t>
      </w:r>
    </w:p>
    <w:p w14:paraId="7890AADA">
      <w:pPr>
        <w:adjustRightInd w:val="0"/>
        <w:snapToGrid w:val="0"/>
        <w:spacing w:line="400" w:lineRule="exact"/>
        <w:ind w:firstLine="945" w:firstLineChars="450"/>
        <w:rPr>
          <w:rFonts w:ascii="宋体" w:hAnsi="宋体" w:eastAsia="宋体" w:cs="宋体"/>
          <w:szCs w:val="21"/>
          <w:u w:val="single"/>
        </w:rPr>
      </w:pPr>
      <w:r>
        <w:rPr>
          <w:rFonts w:hint="eastAsia" w:ascii="宋体" w:hAnsi="宋体" w:eastAsia="宋体" w:cs="宋体"/>
          <w:szCs w:val="21"/>
        </w:rPr>
        <w:t>采购标的的技术要求、商务要求具体见附件。</w:t>
      </w:r>
    </w:p>
    <w:p w14:paraId="69C68B70">
      <w:pPr>
        <w:numPr>
          <w:ilvl w:val="255"/>
          <w:numId w:val="0"/>
        </w:numPr>
        <w:adjustRightInd w:val="0"/>
        <w:snapToGrid w:val="0"/>
        <w:spacing w:line="400" w:lineRule="exact"/>
        <w:ind w:firstLine="945" w:firstLineChars="450"/>
        <w:rPr>
          <w:rFonts w:ascii="宋体" w:hAnsi="宋体" w:eastAsia="宋体" w:cs="宋体"/>
          <w:szCs w:val="21"/>
        </w:rPr>
      </w:pPr>
      <w:r>
        <w:rPr>
          <w:rFonts w:hint="eastAsia" w:ascii="宋体" w:hAnsi="宋体" w:eastAsia="宋体" w:cs="宋体"/>
          <w:szCs w:val="21"/>
        </w:rPr>
        <w:t>①涉及信息类产品，请填写该产品关键部件的品牌、型号：</w:t>
      </w:r>
    </w:p>
    <w:p w14:paraId="00F9647C">
      <w:pPr>
        <w:numPr>
          <w:ilvl w:val="255"/>
          <w:numId w:val="0"/>
        </w:numPr>
        <w:adjustRightInd w:val="0"/>
        <w:snapToGrid w:val="0"/>
        <w:spacing w:line="400" w:lineRule="exact"/>
        <w:ind w:firstLine="420" w:firstLineChars="200"/>
        <w:rPr>
          <w:rFonts w:ascii="宋体" w:hAnsi="宋体" w:eastAsia="宋体" w:cs="宋体"/>
          <w:kern w:val="0"/>
          <w:szCs w:val="21"/>
          <w:u w:val="single"/>
        </w:rPr>
      </w:pPr>
      <w:r>
        <w:rPr>
          <w:rFonts w:hint="eastAsia" w:ascii="宋体" w:hAnsi="宋体" w:eastAsia="宋体" w:cs="宋体"/>
          <w:szCs w:val="21"/>
        </w:rPr>
        <w:t xml:space="preserve">     标的名称：</w:t>
      </w:r>
      <w:r>
        <w:rPr>
          <w:rFonts w:hint="eastAsia" w:ascii="宋体" w:hAnsi="宋体" w:eastAsia="宋体" w:cs="宋体"/>
          <w:kern w:val="0"/>
          <w:szCs w:val="21"/>
          <w:u w:val="single"/>
        </w:rPr>
        <w:t xml:space="preserve">                         </w:t>
      </w:r>
    </w:p>
    <w:p w14:paraId="6AEFA903">
      <w:pPr>
        <w:numPr>
          <w:ilvl w:val="255"/>
          <w:numId w:val="0"/>
        </w:num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r>
        <w:rPr>
          <w:rFonts w:hint="eastAsia" w:ascii="宋体" w:hAnsi="宋体" w:eastAsia="宋体" w:cs="宋体"/>
          <w:szCs w:val="21"/>
        </w:rPr>
        <w:t>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55029B7A">
      <w:pPr>
        <w:pStyle w:val="30"/>
        <w:ind w:firstLine="420"/>
        <w:rPr>
          <w:rFonts w:ascii="宋体" w:hAnsi="宋体" w:eastAsia="宋体" w:cs="宋体"/>
          <w:sz w:val="21"/>
        </w:rPr>
      </w:pPr>
      <w:r>
        <w:rPr>
          <w:rFonts w:hint="eastAsia" w:ascii="宋体" w:hAnsi="宋体" w:eastAsia="宋体" w:cs="宋体"/>
          <w:sz w:val="21"/>
        </w:rPr>
        <w:t xml:space="preserve">     </w:t>
      </w:r>
      <w:r>
        <w:rPr>
          <w:rFonts w:hint="eastAsia" w:ascii="宋体" w:hAnsi="宋体" w:eastAsia="宋体" w:cs="宋体"/>
          <w:kern w:val="2"/>
          <w:sz w:val="21"/>
        </w:rPr>
        <w:t>关键部件</w:t>
      </w:r>
      <w:r>
        <w:rPr>
          <w:rFonts w:hint="eastAsia" w:ascii="宋体" w:hAnsi="宋体" w:eastAsia="宋体" w:cs="宋体"/>
          <w:sz w:val="21"/>
        </w:rPr>
        <w:t>：</w:t>
      </w:r>
      <w:r>
        <w:rPr>
          <w:rFonts w:hint="eastAsia" w:ascii="宋体" w:hAnsi="宋体" w:eastAsia="宋体" w:cs="宋体"/>
          <w:sz w:val="21"/>
          <w:u w:val="single"/>
        </w:rPr>
        <w:t xml:space="preserve">          </w:t>
      </w:r>
      <w:r>
        <w:rPr>
          <w:rFonts w:hint="eastAsia" w:ascii="宋体" w:hAnsi="宋体" w:eastAsia="宋体" w:cs="宋体"/>
          <w:sz w:val="21"/>
        </w:rPr>
        <w:t xml:space="preserve"> 品牌：</w:t>
      </w:r>
      <w:r>
        <w:rPr>
          <w:rFonts w:hint="eastAsia" w:ascii="宋体" w:hAnsi="宋体" w:eastAsia="宋体" w:cs="宋体"/>
          <w:sz w:val="21"/>
          <w:u w:val="single"/>
        </w:rPr>
        <w:t xml:space="preserve">        </w:t>
      </w:r>
      <w:r>
        <w:rPr>
          <w:rFonts w:hint="eastAsia" w:ascii="宋体" w:hAnsi="宋体" w:eastAsia="宋体" w:cs="宋体"/>
          <w:sz w:val="21"/>
        </w:rPr>
        <w:t xml:space="preserve"> 型号：</w:t>
      </w:r>
      <w:r>
        <w:rPr>
          <w:rFonts w:hint="eastAsia" w:ascii="宋体" w:hAnsi="宋体" w:eastAsia="宋体" w:cs="宋体"/>
          <w:sz w:val="21"/>
          <w:u w:val="single"/>
        </w:rPr>
        <w:t xml:space="preserve">       </w:t>
      </w:r>
      <w:r>
        <w:rPr>
          <w:rFonts w:hint="eastAsia" w:ascii="宋体" w:hAnsi="宋体" w:eastAsia="宋体" w:cs="宋体"/>
          <w:sz w:val="21"/>
        </w:rPr>
        <w:t xml:space="preserve"> </w:t>
      </w:r>
    </w:p>
    <w:p w14:paraId="6D1FAFE8">
      <w:pPr>
        <w:pStyle w:val="30"/>
        <w:ind w:firstLine="420"/>
        <w:rPr>
          <w:rFonts w:ascii="宋体" w:hAnsi="宋体" w:eastAsia="宋体" w:cs="宋体"/>
          <w:sz w:val="21"/>
        </w:rPr>
      </w:pPr>
      <w:r>
        <w:rPr>
          <w:rFonts w:hint="eastAsia" w:ascii="宋体" w:hAnsi="宋体" w:eastAsia="宋体" w:cs="宋体"/>
          <w:sz w:val="21"/>
        </w:rPr>
        <w:t xml:space="preserve">     关键部件：</w:t>
      </w:r>
      <w:r>
        <w:rPr>
          <w:rFonts w:hint="eastAsia" w:ascii="宋体" w:hAnsi="宋体" w:eastAsia="宋体" w:cs="宋体"/>
          <w:sz w:val="21"/>
          <w:u w:val="single"/>
        </w:rPr>
        <w:t xml:space="preserve">          </w:t>
      </w:r>
      <w:r>
        <w:rPr>
          <w:rFonts w:hint="eastAsia" w:ascii="宋体" w:hAnsi="宋体" w:eastAsia="宋体" w:cs="宋体"/>
          <w:sz w:val="21"/>
        </w:rPr>
        <w:t xml:space="preserve"> 品牌：</w:t>
      </w:r>
      <w:r>
        <w:rPr>
          <w:rFonts w:hint="eastAsia" w:ascii="宋体" w:hAnsi="宋体" w:eastAsia="宋体" w:cs="宋体"/>
          <w:sz w:val="21"/>
          <w:u w:val="single"/>
        </w:rPr>
        <w:t xml:space="preserve">        </w:t>
      </w:r>
      <w:r>
        <w:rPr>
          <w:rFonts w:hint="eastAsia" w:ascii="宋体" w:hAnsi="宋体" w:eastAsia="宋体" w:cs="宋体"/>
          <w:sz w:val="21"/>
        </w:rPr>
        <w:t xml:space="preserve"> 型号：</w:t>
      </w:r>
      <w:r>
        <w:rPr>
          <w:rFonts w:hint="eastAsia" w:ascii="宋体" w:hAnsi="宋体" w:eastAsia="宋体" w:cs="宋体"/>
          <w:sz w:val="21"/>
          <w:u w:val="single"/>
        </w:rPr>
        <w:t xml:space="preserve">       </w:t>
      </w:r>
    </w:p>
    <w:p w14:paraId="6D596269">
      <w:pPr>
        <w:pStyle w:val="30"/>
        <w:numPr>
          <w:ilvl w:val="255"/>
          <w:numId w:val="0"/>
        </w:numPr>
        <w:snapToGrid w:val="0"/>
        <w:rPr>
          <w:rFonts w:ascii="宋体" w:hAnsi="宋体" w:eastAsia="宋体" w:cs="宋体"/>
          <w:sz w:val="21"/>
        </w:rPr>
      </w:pPr>
      <w:r>
        <w:rPr>
          <w:rFonts w:hint="eastAsia" w:ascii="宋体" w:hAnsi="宋体" w:eastAsia="宋体" w:cs="宋体"/>
          <w:sz w:val="21"/>
        </w:rPr>
        <w:t xml:space="preserve">   （注：关键部件是指财政部会同有关部门发布的政府采购需求标准规定的需要通过国家有关部门指定的测评机构开展的安全可靠测评的软硬件，如CPU芯片、操作系统、数据库等。）</w:t>
      </w:r>
    </w:p>
    <w:p w14:paraId="364E74A1">
      <w:pPr>
        <w:pStyle w:val="30"/>
        <w:numPr>
          <w:ilvl w:val="255"/>
          <w:numId w:val="0"/>
        </w:numPr>
        <w:snapToGrid w:val="0"/>
        <w:rPr>
          <w:rFonts w:ascii="宋体" w:hAnsi="宋体" w:eastAsia="宋体" w:cs="宋体"/>
          <w:sz w:val="21"/>
        </w:rPr>
      </w:pPr>
      <w:r>
        <w:rPr>
          <w:rFonts w:hint="eastAsia" w:ascii="宋体" w:hAnsi="宋体" w:eastAsia="宋体" w:cs="宋体"/>
          <w:sz w:val="21"/>
        </w:rPr>
        <w:t xml:space="preserve">         ②涉及车辆采购，请填写是否属于新能源汽车：</w:t>
      </w:r>
    </w:p>
    <w:p w14:paraId="0C76C17A">
      <w:pPr>
        <w:pStyle w:val="30"/>
        <w:numPr>
          <w:ilvl w:val="255"/>
          <w:numId w:val="0"/>
        </w:numPr>
        <w:snapToGrid w:val="0"/>
        <w:rPr>
          <w:rFonts w:ascii="宋体" w:hAnsi="宋体" w:eastAsia="宋体" w:cs="宋体"/>
          <w:sz w:val="21"/>
        </w:rPr>
      </w:pPr>
      <w:r>
        <w:rPr>
          <w:rFonts w:hint="eastAsia" w:ascii="宋体" w:hAnsi="宋体" w:eastAsia="宋体" w:cs="宋体"/>
          <w:sz w:val="21"/>
        </w:rPr>
        <w:t xml:space="preserve">         </w:t>
      </w:r>
      <w:r>
        <w:rPr>
          <w:rFonts w:hint="eastAsia" w:ascii="宋体" w:hAnsi="宋体" w:eastAsia="宋体" w:cs="宋体"/>
          <w:sz w:val="21"/>
        </w:rPr>
        <w:sym w:font="Wingdings" w:char="00A8"/>
      </w:r>
      <w:r>
        <w:rPr>
          <w:rFonts w:hint="eastAsia" w:ascii="宋体" w:hAnsi="宋体" w:eastAsia="宋体" w:cs="宋体"/>
          <w:sz w:val="21"/>
        </w:rPr>
        <w:t>是，《政府采购品目分类目录》底级品目名称：</w:t>
      </w:r>
      <w:r>
        <w:rPr>
          <w:rFonts w:hint="eastAsia" w:ascii="宋体" w:hAnsi="宋体" w:eastAsia="宋体" w:cs="宋体"/>
          <w:sz w:val="21"/>
          <w:u w:val="single"/>
        </w:rPr>
        <w:t xml:space="preserve">     </w:t>
      </w:r>
      <w:r>
        <w:rPr>
          <w:rFonts w:hint="eastAsia" w:ascii="宋体" w:hAnsi="宋体" w:eastAsia="宋体" w:cs="宋体"/>
          <w:sz w:val="21"/>
        </w:rPr>
        <w:t xml:space="preserve"> 数量：</w:t>
      </w:r>
      <w:r>
        <w:rPr>
          <w:rFonts w:hint="eastAsia" w:ascii="宋体" w:hAnsi="宋体" w:eastAsia="宋体" w:cs="宋体"/>
          <w:sz w:val="21"/>
          <w:u w:val="single"/>
        </w:rPr>
        <w:t xml:space="preserve">    </w:t>
      </w:r>
      <w:r>
        <w:rPr>
          <w:rFonts w:hint="eastAsia" w:ascii="宋体" w:hAnsi="宋体" w:eastAsia="宋体" w:cs="宋体"/>
          <w:sz w:val="21"/>
        </w:rPr>
        <w:t xml:space="preserve"> 金额：</w:t>
      </w:r>
      <w:r>
        <w:rPr>
          <w:rFonts w:hint="eastAsia" w:ascii="宋体" w:hAnsi="宋体" w:eastAsia="宋体" w:cs="宋体"/>
          <w:sz w:val="21"/>
          <w:u w:val="single"/>
        </w:rPr>
        <w:t xml:space="preserve">     </w:t>
      </w:r>
      <w:r>
        <w:rPr>
          <w:rFonts w:hint="eastAsia" w:ascii="宋体" w:hAnsi="宋体" w:eastAsia="宋体" w:cs="宋体"/>
          <w:sz w:val="21"/>
        </w:rPr>
        <w:t xml:space="preserve"> </w:t>
      </w:r>
    </w:p>
    <w:p w14:paraId="2E87E5BA">
      <w:pPr>
        <w:pStyle w:val="30"/>
        <w:numPr>
          <w:ilvl w:val="255"/>
          <w:numId w:val="0"/>
        </w:numPr>
        <w:snapToGrid w:val="0"/>
        <w:rPr>
          <w:rFonts w:ascii="宋体" w:hAnsi="宋体" w:eastAsia="宋体" w:cs="宋体"/>
          <w:sz w:val="21"/>
        </w:rPr>
      </w:pPr>
      <w:r>
        <w:rPr>
          <w:rFonts w:hint="eastAsia" w:ascii="宋体" w:hAnsi="宋体" w:eastAsia="宋体" w:cs="宋体"/>
          <w:sz w:val="21"/>
        </w:rPr>
        <w:t xml:space="preserve">         </w:t>
      </w:r>
      <w:r>
        <w:rPr>
          <w:rFonts w:hint="eastAsia" w:ascii="宋体" w:hAnsi="宋体" w:eastAsia="宋体" w:cs="宋体"/>
          <w:sz w:val="21"/>
        </w:rPr>
        <w:sym w:font="Wingdings" w:char="00A8"/>
      </w:r>
      <w:r>
        <w:rPr>
          <w:rFonts w:hint="eastAsia" w:ascii="宋体" w:hAnsi="宋体" w:eastAsia="宋体" w:cs="宋体"/>
          <w:sz w:val="21"/>
        </w:rPr>
        <w:t>否</w:t>
      </w:r>
    </w:p>
    <w:p w14:paraId="4C4A564C">
      <w:pPr>
        <w:pStyle w:val="30"/>
        <w:numPr>
          <w:ilvl w:val="255"/>
          <w:numId w:val="0"/>
        </w:numPr>
        <w:snapToGrid w:val="0"/>
        <w:rPr>
          <w:rFonts w:ascii="宋体" w:hAnsi="宋体" w:eastAsia="宋体" w:cs="宋体"/>
          <w:sz w:val="21"/>
        </w:rPr>
      </w:pPr>
      <w:r>
        <w:rPr>
          <w:rFonts w:hint="eastAsia" w:ascii="宋体" w:hAnsi="宋体" w:eastAsia="宋体" w:cs="宋体"/>
          <w:sz w:val="21"/>
        </w:rPr>
        <w:t xml:space="preserve">    （4）政府采购组织形式：</w:t>
      </w:r>
      <w:r>
        <w:rPr>
          <w:rFonts w:hint="eastAsia" w:ascii="宋体" w:hAnsi="宋体" w:eastAsia="宋体" w:cs="宋体"/>
          <w:sz w:val="21"/>
        </w:rPr>
        <w:sym w:font="Wingdings" w:char="00A8"/>
      </w:r>
      <w:r>
        <w:rPr>
          <w:rFonts w:hint="eastAsia" w:ascii="宋体" w:hAnsi="宋体" w:eastAsia="宋体" w:cs="宋体"/>
          <w:sz w:val="21"/>
        </w:rPr>
        <w:t xml:space="preserve">政府集中采购  </w:t>
      </w:r>
      <w:r>
        <w:rPr>
          <w:rFonts w:hint="eastAsia" w:ascii="宋体" w:hAnsi="宋体" w:eastAsia="宋体" w:cs="宋体"/>
          <w:sz w:val="21"/>
        </w:rPr>
        <w:sym w:font="Wingdings" w:char="00A8"/>
      </w:r>
      <w:r>
        <w:rPr>
          <w:rFonts w:hint="eastAsia" w:ascii="宋体" w:hAnsi="宋体" w:eastAsia="宋体" w:cs="宋体"/>
          <w:sz w:val="21"/>
        </w:rPr>
        <w:t xml:space="preserve">部门集中采购  </w:t>
      </w:r>
      <w:r>
        <w:rPr>
          <w:rFonts w:hint="eastAsia" w:ascii="宋体" w:hAnsi="宋体" w:eastAsia="宋体" w:cs="宋体"/>
          <w:sz w:val="21"/>
        </w:rPr>
        <w:sym w:font="Wingdings" w:char="00FE"/>
      </w:r>
      <w:r>
        <w:rPr>
          <w:rFonts w:hint="eastAsia" w:ascii="宋体" w:hAnsi="宋体" w:eastAsia="宋体" w:cs="宋体"/>
          <w:sz w:val="21"/>
        </w:rPr>
        <w:t>分散采购</w:t>
      </w:r>
    </w:p>
    <w:p w14:paraId="725A2B36">
      <w:pPr>
        <w:pStyle w:val="30"/>
        <w:numPr>
          <w:ilvl w:val="255"/>
          <w:numId w:val="0"/>
        </w:numPr>
        <w:snapToGrid w:val="0"/>
        <w:ind w:firstLine="420"/>
        <w:rPr>
          <w:rFonts w:ascii="宋体" w:hAnsi="宋体" w:eastAsia="宋体" w:cs="宋体"/>
          <w:sz w:val="21"/>
        </w:rPr>
      </w:pPr>
      <w:r>
        <w:rPr>
          <w:rFonts w:hint="eastAsia" w:ascii="宋体" w:hAnsi="宋体" w:eastAsia="宋体" w:cs="宋体"/>
          <w:sz w:val="21"/>
        </w:rPr>
        <w:t>（5）政府采购方式：</w:t>
      </w:r>
      <w:r>
        <w:rPr>
          <w:rFonts w:hint="eastAsia" w:ascii="宋体" w:hAnsi="宋体" w:eastAsia="宋体" w:cs="宋体"/>
          <w:sz w:val="21"/>
        </w:rPr>
        <w:sym w:font="Wingdings" w:char="00FE"/>
      </w:r>
      <w:r>
        <w:rPr>
          <w:rFonts w:hint="eastAsia" w:ascii="宋体" w:hAnsi="宋体" w:eastAsia="宋体" w:cs="宋体"/>
          <w:sz w:val="21"/>
        </w:rPr>
        <w:t xml:space="preserve">公开招标 </w:t>
      </w:r>
      <w:r>
        <w:rPr>
          <w:rFonts w:hint="eastAsia" w:ascii="宋体" w:hAnsi="宋体" w:eastAsia="宋体" w:cs="宋体"/>
          <w:sz w:val="21"/>
        </w:rPr>
        <w:sym w:font="Wingdings" w:char="00A8"/>
      </w:r>
      <w:r>
        <w:rPr>
          <w:rFonts w:hint="eastAsia" w:ascii="宋体" w:hAnsi="宋体" w:eastAsia="宋体" w:cs="宋体"/>
          <w:sz w:val="21"/>
        </w:rPr>
        <w:t xml:space="preserve">邀请招标 </w:t>
      </w:r>
      <w:r>
        <w:rPr>
          <w:rFonts w:hint="eastAsia" w:ascii="宋体" w:hAnsi="宋体" w:eastAsia="宋体" w:cs="宋体"/>
          <w:sz w:val="21"/>
        </w:rPr>
        <w:sym w:font="Wingdings" w:char="00A8"/>
      </w:r>
      <w:r>
        <w:rPr>
          <w:rFonts w:hint="eastAsia" w:ascii="宋体" w:hAnsi="宋体" w:eastAsia="宋体" w:cs="宋体"/>
          <w:sz w:val="21"/>
        </w:rPr>
        <w:t xml:space="preserve">竞争性谈判 </w:t>
      </w:r>
      <w:r>
        <w:rPr>
          <w:rFonts w:hint="eastAsia" w:ascii="宋体" w:hAnsi="宋体" w:eastAsia="宋体" w:cs="宋体"/>
          <w:sz w:val="21"/>
        </w:rPr>
        <w:sym w:font="Wingdings" w:char="00A8"/>
      </w:r>
      <w:r>
        <w:rPr>
          <w:rFonts w:hint="eastAsia" w:ascii="宋体" w:hAnsi="宋体" w:eastAsia="宋体" w:cs="宋体"/>
          <w:sz w:val="21"/>
        </w:rPr>
        <w:t>竞争性磋商</w:t>
      </w:r>
    </w:p>
    <w:p w14:paraId="4F6AE710">
      <w:pPr>
        <w:pStyle w:val="30"/>
        <w:numPr>
          <w:ilvl w:val="255"/>
          <w:numId w:val="0"/>
        </w:numPr>
        <w:snapToGrid w:val="0"/>
        <w:ind w:firstLine="420"/>
        <w:rPr>
          <w:rFonts w:ascii="宋体" w:hAnsi="宋体" w:eastAsia="宋体" w:cs="宋体"/>
          <w:sz w:val="21"/>
          <w:u w:val="single"/>
        </w:rPr>
      </w:pPr>
      <w:r>
        <w:rPr>
          <w:rFonts w:hint="eastAsia" w:ascii="宋体" w:hAnsi="宋体" w:eastAsia="宋体" w:cs="宋体"/>
        </w:rPr>
        <w:t xml:space="preserve">                  </w:t>
      </w:r>
      <w:r>
        <w:rPr>
          <w:rFonts w:hint="eastAsia" w:ascii="宋体" w:hAnsi="宋体" w:eastAsia="宋体" w:cs="宋体"/>
          <w:sz w:val="21"/>
        </w:rPr>
        <w:sym w:font="Wingdings" w:char="00A8"/>
      </w:r>
      <w:r>
        <w:rPr>
          <w:rFonts w:hint="eastAsia" w:ascii="宋体" w:hAnsi="宋体" w:eastAsia="宋体" w:cs="宋体"/>
          <w:sz w:val="21"/>
        </w:rPr>
        <w:t xml:space="preserve">询价 </w:t>
      </w:r>
      <w:r>
        <w:rPr>
          <w:rFonts w:hint="eastAsia" w:ascii="宋体" w:hAnsi="宋体" w:eastAsia="宋体" w:cs="宋体"/>
          <w:sz w:val="21"/>
        </w:rPr>
        <w:sym w:font="Wingdings" w:char="00A8"/>
      </w:r>
      <w:r>
        <w:rPr>
          <w:rFonts w:hint="eastAsia" w:ascii="宋体" w:hAnsi="宋体" w:eastAsia="宋体" w:cs="宋体"/>
          <w:sz w:val="21"/>
        </w:rPr>
        <w:t xml:space="preserve">单一来源 </w:t>
      </w:r>
      <w:r>
        <w:rPr>
          <w:rFonts w:hint="eastAsia" w:ascii="宋体" w:hAnsi="宋体" w:eastAsia="宋体" w:cs="宋体"/>
          <w:sz w:val="21"/>
        </w:rPr>
        <w:sym w:font="Wingdings" w:char="00A8"/>
      </w:r>
      <w:r>
        <w:rPr>
          <w:rFonts w:hint="eastAsia" w:ascii="宋体" w:hAnsi="宋体" w:eastAsia="宋体" w:cs="宋体"/>
          <w:sz w:val="21"/>
        </w:rPr>
        <w:t xml:space="preserve">框架协议 </w:t>
      </w:r>
      <w:r>
        <w:rPr>
          <w:rFonts w:hint="eastAsia" w:ascii="宋体" w:hAnsi="宋体" w:eastAsia="宋体" w:cs="宋体"/>
          <w:sz w:val="21"/>
        </w:rPr>
        <w:sym w:font="Wingdings" w:char="00A8"/>
      </w:r>
      <w:r>
        <w:rPr>
          <w:rFonts w:hint="eastAsia" w:ascii="宋体" w:hAnsi="宋体" w:eastAsia="宋体" w:cs="宋体"/>
          <w:sz w:val="21"/>
        </w:rPr>
        <w:t>其他：</w:t>
      </w:r>
      <w:r>
        <w:rPr>
          <w:rFonts w:hint="eastAsia" w:ascii="宋体" w:hAnsi="宋体" w:eastAsia="宋体" w:cs="宋体"/>
          <w:sz w:val="21"/>
          <w:u w:val="single"/>
        </w:rPr>
        <w:t xml:space="preserve">          </w:t>
      </w:r>
    </w:p>
    <w:p w14:paraId="03B77358">
      <w:pPr>
        <w:pStyle w:val="30"/>
        <w:numPr>
          <w:ilvl w:val="255"/>
          <w:numId w:val="0"/>
        </w:numPr>
        <w:snapToGrid w:val="0"/>
        <w:ind w:firstLine="420"/>
        <w:rPr>
          <w:rFonts w:ascii="宋体" w:hAnsi="宋体" w:eastAsia="宋体" w:cs="宋体"/>
          <w:sz w:val="21"/>
        </w:rPr>
      </w:pPr>
      <w:r>
        <w:rPr>
          <w:rFonts w:hint="eastAsia" w:ascii="宋体" w:hAnsi="宋体" w:eastAsia="宋体" w:cs="宋体"/>
          <w:sz w:val="21"/>
        </w:rPr>
        <w:t>（注：在框架协议采购的第二阶段，可选择使用该合同文本）</w:t>
      </w:r>
    </w:p>
    <w:p w14:paraId="1735232A">
      <w:pPr>
        <w:pStyle w:val="30"/>
        <w:numPr>
          <w:ilvl w:val="255"/>
          <w:numId w:val="0"/>
        </w:numPr>
        <w:snapToGrid w:val="0"/>
        <w:ind w:firstLine="220" w:firstLineChars="100"/>
        <w:rPr>
          <w:rFonts w:ascii="宋体" w:hAnsi="宋体" w:eastAsia="宋体" w:cs="宋体"/>
          <w:kern w:val="2"/>
          <w:sz w:val="21"/>
        </w:rPr>
      </w:pPr>
      <w:r>
        <w:rPr>
          <w:rFonts w:hint="eastAsia" w:ascii="宋体" w:hAnsi="宋体" w:eastAsia="宋体" w:cs="宋体"/>
        </w:rPr>
        <w:t xml:space="preserve"> （6）</w:t>
      </w:r>
      <w:r>
        <w:rPr>
          <w:rFonts w:hint="eastAsia" w:ascii="宋体" w:hAnsi="宋体" w:eastAsia="宋体" w:cs="宋体"/>
          <w:kern w:val="2"/>
          <w:sz w:val="21"/>
        </w:rPr>
        <w:t>中标（成交）采购标的制造商是否为中小企业：</w:t>
      </w:r>
      <w:r>
        <w:rPr>
          <w:rFonts w:hint="eastAsia" w:ascii="宋体" w:hAnsi="宋体" w:eastAsia="宋体" w:cs="宋体"/>
          <w:kern w:val="2"/>
          <w:sz w:val="21"/>
        </w:rPr>
        <w:sym w:font="Wingdings" w:char="00A8"/>
      </w:r>
      <w:r>
        <w:rPr>
          <w:rFonts w:hint="eastAsia" w:ascii="宋体" w:hAnsi="宋体" w:eastAsia="宋体" w:cs="宋体"/>
          <w:kern w:val="2"/>
          <w:sz w:val="21"/>
        </w:rPr>
        <w:t xml:space="preserve">是      </w:t>
      </w:r>
      <w:r>
        <w:rPr>
          <w:rFonts w:hint="eastAsia" w:ascii="宋体" w:hAnsi="宋体" w:eastAsia="宋体" w:cs="宋体"/>
          <w:kern w:val="2"/>
          <w:sz w:val="21"/>
        </w:rPr>
        <w:sym w:font="Wingdings" w:char="00A8"/>
      </w:r>
      <w:r>
        <w:rPr>
          <w:rFonts w:hint="eastAsia" w:ascii="宋体" w:hAnsi="宋体" w:eastAsia="宋体" w:cs="宋体"/>
          <w:kern w:val="2"/>
          <w:sz w:val="21"/>
        </w:rPr>
        <w:t>否</w:t>
      </w:r>
    </w:p>
    <w:p w14:paraId="7A3738F7">
      <w:pPr>
        <w:numPr>
          <w:ilvl w:val="255"/>
          <w:numId w:val="0"/>
        </w:numPr>
        <w:adjustRightInd w:val="0"/>
        <w:snapToGrid w:val="0"/>
        <w:spacing w:line="400" w:lineRule="exact"/>
        <w:rPr>
          <w:rFonts w:ascii="宋体" w:hAnsi="宋体" w:eastAsia="宋体" w:cs="宋体"/>
          <w:iCs/>
          <w:szCs w:val="21"/>
        </w:rPr>
      </w:pPr>
      <w:r>
        <w:rPr>
          <w:rFonts w:hint="eastAsia" w:ascii="宋体" w:hAnsi="宋体" w:eastAsia="宋体" w:cs="宋体"/>
          <w:szCs w:val="21"/>
        </w:rPr>
        <w:t xml:space="preserve">         本合同是否为专门面向中小企业的采购合同（中小企业预留合同）：</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6B929858">
      <w:pPr>
        <w:numPr>
          <w:ilvl w:val="255"/>
          <w:numId w:val="0"/>
        </w:numPr>
        <w:adjustRightInd w:val="0"/>
        <w:snapToGrid w:val="0"/>
        <w:spacing w:line="400" w:lineRule="exact"/>
        <w:rPr>
          <w:rFonts w:ascii="宋体" w:hAnsi="宋体" w:eastAsia="宋体" w:cs="宋体"/>
          <w:iCs/>
          <w:szCs w:val="21"/>
        </w:rPr>
      </w:pPr>
      <w:r>
        <w:rPr>
          <w:rFonts w:hint="eastAsia" w:ascii="宋体" w:hAnsi="宋体" w:eastAsia="宋体" w:cs="宋体"/>
        </w:rPr>
        <w:t xml:space="preserve">         若本项目不专门面向中小企业采购，是否给予小微企业评审优惠：</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4E072595">
      <w:pPr>
        <w:numPr>
          <w:ilvl w:val="255"/>
          <w:numId w:val="0"/>
        </w:numPr>
        <w:adjustRightInd w:val="0"/>
        <w:snapToGrid w:val="0"/>
        <w:spacing w:line="400" w:lineRule="exact"/>
        <w:rPr>
          <w:rFonts w:ascii="宋体" w:hAnsi="宋体" w:eastAsia="宋体" w:cs="宋体"/>
          <w:iCs/>
          <w:szCs w:val="21"/>
        </w:rPr>
      </w:pPr>
      <w:r>
        <w:rPr>
          <w:rFonts w:hint="eastAsia" w:ascii="宋体" w:hAnsi="宋体" w:eastAsia="宋体" w:cs="宋体"/>
        </w:rPr>
        <w:t xml:space="preserve">         中标（成交）采购标的制造商是否为残疾人福利性单位：</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354BAC8C">
      <w:pPr>
        <w:snapToGrid w:val="0"/>
        <w:spacing w:line="400" w:lineRule="exact"/>
        <w:rPr>
          <w:rFonts w:ascii="宋体" w:hAnsi="宋体" w:eastAsia="宋体" w:cs="宋体"/>
        </w:rPr>
      </w:pPr>
      <w:r>
        <w:rPr>
          <w:rFonts w:hint="eastAsia" w:ascii="宋体" w:hAnsi="宋体" w:eastAsia="宋体" w:cs="宋体"/>
        </w:rPr>
        <w:t xml:space="preserve">         中标（成交）采购标的制造商是否为监狱企业：</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69CE502E">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（7）合同是否分包：</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6E1C394B">
      <w:pPr>
        <w:adjustRightInd w:val="0"/>
        <w:snapToGrid w:val="0"/>
        <w:spacing w:line="400" w:lineRule="exact"/>
        <w:ind w:firstLine="840" w:firstLineChars="400"/>
        <w:rPr>
          <w:rFonts w:ascii="宋体" w:hAnsi="宋体" w:eastAsia="宋体" w:cs="宋体"/>
          <w:szCs w:val="21"/>
          <w:u w:val="single"/>
        </w:rPr>
      </w:pPr>
      <w:r>
        <w:rPr>
          <w:rFonts w:hint="eastAsia" w:ascii="宋体" w:hAnsi="宋体" w:eastAsia="宋体" w:cs="宋体"/>
          <w:szCs w:val="21"/>
        </w:rPr>
        <w:t xml:space="preserve"> 分包主要内容：</w:t>
      </w:r>
      <w:r>
        <w:rPr>
          <w:rFonts w:hint="eastAsia" w:ascii="宋体" w:hAnsi="宋体" w:eastAsia="宋体" w:cs="宋体"/>
          <w:szCs w:val="21"/>
          <w:u w:val="single"/>
        </w:rPr>
        <w:t xml:space="preserve">                                            </w:t>
      </w:r>
    </w:p>
    <w:p w14:paraId="6BD42FD5">
      <w:pPr>
        <w:adjustRightInd w:val="0"/>
        <w:snapToGrid w:val="0"/>
        <w:spacing w:line="400" w:lineRule="exact"/>
        <w:ind w:firstLine="840" w:firstLineChars="400"/>
        <w:rPr>
          <w:rFonts w:ascii="宋体" w:hAnsi="宋体" w:eastAsia="宋体" w:cs="宋体"/>
          <w:szCs w:val="21"/>
        </w:rPr>
      </w:pPr>
      <w:r>
        <w:rPr>
          <w:rFonts w:hint="eastAsia" w:ascii="宋体" w:hAnsi="宋体" w:eastAsia="宋体" w:cs="宋体"/>
          <w:szCs w:val="21"/>
        </w:rPr>
        <w:t xml:space="preserve"> 分包供应商/制造商名称（如供应商和制造商不同，请分别填写）：</w:t>
      </w:r>
    </w:p>
    <w:p w14:paraId="222DB8C8">
      <w:pPr>
        <w:adjustRightInd w:val="0"/>
        <w:snapToGrid w:val="0"/>
        <w:spacing w:line="400" w:lineRule="exact"/>
        <w:ind w:firstLine="840" w:firstLineChars="400"/>
        <w:rPr>
          <w:rFonts w:ascii="宋体" w:hAnsi="宋体" w:eastAsia="宋体" w:cs="宋体"/>
          <w:szCs w:val="21"/>
          <w:u w:val="single"/>
        </w:rPr>
      </w:pPr>
      <w:r>
        <w:rPr>
          <w:rFonts w:hint="eastAsia" w:ascii="宋体" w:hAnsi="宋体" w:eastAsia="宋体" w:cs="宋体"/>
          <w:szCs w:val="21"/>
        </w:rPr>
        <w:t xml:space="preserve"> </w:t>
      </w:r>
      <w:r>
        <w:rPr>
          <w:rFonts w:hint="eastAsia" w:ascii="宋体" w:hAnsi="宋体" w:eastAsia="宋体" w:cs="宋体"/>
          <w:szCs w:val="21"/>
          <w:u w:val="single"/>
        </w:rPr>
        <w:t xml:space="preserve">                                                          </w:t>
      </w:r>
    </w:p>
    <w:p w14:paraId="6A82C6EC">
      <w:pPr>
        <w:adjustRightInd w:val="0"/>
        <w:snapToGrid w:val="0"/>
        <w:spacing w:line="400" w:lineRule="exact"/>
        <w:ind w:firstLine="840" w:firstLineChars="400"/>
        <w:rPr>
          <w:rFonts w:ascii="宋体" w:hAnsi="宋体" w:eastAsia="宋体" w:cs="宋体"/>
          <w:szCs w:val="21"/>
        </w:rPr>
      </w:pPr>
      <w:r>
        <w:rPr>
          <w:rFonts w:hint="eastAsia" w:ascii="宋体" w:hAnsi="宋体" w:eastAsia="宋体" w:cs="宋体"/>
          <w:szCs w:val="21"/>
        </w:rPr>
        <w:t xml:space="preserve"> 分包供应商/制造商类型（如果供应商和制造商不同，只填写制造商类型）：</w:t>
      </w:r>
    </w:p>
    <w:p w14:paraId="7B5D7840">
      <w:pPr>
        <w:adjustRightInd w:val="0"/>
        <w:snapToGrid w:val="0"/>
        <w:spacing w:line="400" w:lineRule="exact"/>
        <w:ind w:firstLine="840" w:firstLineChars="400"/>
        <w:rPr>
          <w:rFonts w:ascii="宋体" w:hAnsi="宋体" w:eastAsia="宋体" w:cs="宋体"/>
          <w:iCs/>
          <w:szCs w:val="21"/>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大型企业  </w:t>
      </w:r>
      <w:r>
        <w:rPr>
          <w:rFonts w:hint="eastAsia" w:ascii="宋体" w:hAnsi="宋体" w:eastAsia="宋体" w:cs="宋体"/>
          <w:iCs/>
          <w:szCs w:val="21"/>
        </w:rPr>
        <w:sym w:font="Wingdings" w:char="00A8"/>
      </w:r>
      <w:r>
        <w:rPr>
          <w:rFonts w:hint="eastAsia" w:ascii="宋体" w:hAnsi="宋体" w:eastAsia="宋体" w:cs="宋体"/>
          <w:iCs/>
          <w:szCs w:val="21"/>
        </w:rPr>
        <w:t xml:space="preserve">中型企业  </w:t>
      </w:r>
      <w:r>
        <w:rPr>
          <w:rFonts w:hint="eastAsia" w:ascii="宋体" w:hAnsi="宋体" w:eastAsia="宋体" w:cs="宋体"/>
          <w:iCs/>
          <w:szCs w:val="21"/>
        </w:rPr>
        <w:sym w:font="Wingdings" w:char="00A8"/>
      </w:r>
      <w:r>
        <w:rPr>
          <w:rFonts w:hint="eastAsia" w:ascii="宋体" w:hAnsi="宋体" w:eastAsia="宋体" w:cs="宋体"/>
          <w:iCs/>
          <w:szCs w:val="21"/>
        </w:rPr>
        <w:t xml:space="preserve">小微型企业  </w:t>
      </w:r>
    </w:p>
    <w:p w14:paraId="6D193D21">
      <w:pPr>
        <w:adjustRightInd w:val="0"/>
        <w:snapToGrid w:val="0"/>
        <w:spacing w:line="400" w:lineRule="exact"/>
        <w:ind w:firstLine="840" w:firstLineChars="400"/>
        <w:rPr>
          <w:rFonts w:ascii="宋体" w:hAnsi="宋体" w:eastAsia="宋体" w:cs="宋体"/>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残疾人福利性单位 </w:t>
      </w:r>
      <w:r>
        <w:rPr>
          <w:rFonts w:hint="eastAsia" w:ascii="宋体" w:hAnsi="宋体" w:eastAsia="宋体" w:cs="宋体"/>
          <w:iCs/>
          <w:szCs w:val="21"/>
        </w:rPr>
        <w:sym w:font="Wingdings" w:char="00A8"/>
      </w:r>
      <w:r>
        <w:rPr>
          <w:rFonts w:hint="eastAsia" w:ascii="宋体" w:hAnsi="宋体" w:eastAsia="宋体" w:cs="宋体"/>
          <w:iCs/>
          <w:szCs w:val="21"/>
        </w:rPr>
        <w:t xml:space="preserve">监狱企业 </w:t>
      </w:r>
      <w:r>
        <w:rPr>
          <w:rFonts w:hint="eastAsia" w:ascii="宋体" w:hAnsi="宋体" w:eastAsia="宋体" w:cs="宋体"/>
          <w:iCs/>
          <w:szCs w:val="21"/>
        </w:rPr>
        <w:sym w:font="Wingdings" w:char="00A8"/>
      </w:r>
      <w:r>
        <w:rPr>
          <w:rFonts w:hint="eastAsia" w:ascii="宋体" w:hAnsi="宋体" w:eastAsia="宋体" w:cs="宋体"/>
          <w:iCs/>
          <w:szCs w:val="21"/>
        </w:rPr>
        <w:t>其他</w:t>
      </w:r>
    </w:p>
    <w:p w14:paraId="6140D2BA">
      <w:pPr>
        <w:numPr>
          <w:ilvl w:val="255"/>
          <w:numId w:val="0"/>
        </w:numPr>
        <w:adjustRightInd w:val="0"/>
        <w:snapToGrid w:val="0"/>
        <w:spacing w:line="400" w:lineRule="exact"/>
        <w:rPr>
          <w:rFonts w:ascii="宋体" w:hAnsi="宋体" w:eastAsia="宋体" w:cs="宋体"/>
          <w:iCs/>
          <w:szCs w:val="21"/>
        </w:rPr>
      </w:pPr>
      <w:r>
        <w:rPr>
          <w:rFonts w:hint="eastAsia" w:ascii="宋体" w:hAnsi="宋体" w:eastAsia="宋体" w:cs="宋体"/>
          <w:szCs w:val="21"/>
        </w:rPr>
        <w:t xml:space="preserve">    （8）中标（成交）供应商是否为外商投资企业：</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4839DFE1">
      <w:pPr>
        <w:pStyle w:val="30"/>
        <w:tabs>
          <w:tab w:val="left" w:pos="1340"/>
        </w:tabs>
        <w:ind w:firstLine="420"/>
        <w:rPr>
          <w:rFonts w:ascii="宋体" w:hAnsi="宋体" w:eastAsia="宋体" w:cs="宋体"/>
          <w:sz w:val="21"/>
          <w:u w:val="single"/>
        </w:rPr>
      </w:pPr>
      <w:r>
        <w:rPr>
          <w:rFonts w:hint="eastAsia" w:ascii="宋体" w:hAnsi="宋体" w:eastAsia="宋体" w:cs="宋体"/>
          <w:sz w:val="21"/>
        </w:rPr>
        <w:t xml:space="preserve">     外商投资企业类型：</w:t>
      </w:r>
      <w:r>
        <w:rPr>
          <w:rFonts w:hint="eastAsia" w:ascii="宋体" w:hAnsi="宋体" w:eastAsia="宋体" w:cs="宋体"/>
          <w:iCs/>
          <w:sz w:val="21"/>
        </w:rPr>
        <w:sym w:font="Wingdings" w:char="00A8"/>
      </w:r>
      <w:r>
        <w:rPr>
          <w:rFonts w:hint="eastAsia" w:ascii="宋体" w:hAnsi="宋体" w:eastAsia="宋体" w:cs="宋体"/>
          <w:sz w:val="21"/>
        </w:rPr>
        <w:t xml:space="preserve">全部由外国投资者投资  </w:t>
      </w:r>
      <w:r>
        <w:rPr>
          <w:rFonts w:hint="eastAsia" w:ascii="宋体" w:hAnsi="宋体" w:eastAsia="宋体" w:cs="宋体"/>
          <w:iCs/>
          <w:sz w:val="21"/>
        </w:rPr>
        <w:sym w:font="Wingdings" w:char="00A8"/>
      </w:r>
      <w:r>
        <w:rPr>
          <w:rFonts w:hint="eastAsia" w:ascii="宋体" w:hAnsi="宋体" w:eastAsia="宋体" w:cs="宋体"/>
          <w:iCs/>
          <w:sz w:val="21"/>
        </w:rPr>
        <w:t>部分由外国投资者投资</w:t>
      </w:r>
    </w:p>
    <w:p w14:paraId="7AB3268C">
      <w:pPr>
        <w:numPr>
          <w:ilvl w:val="255"/>
          <w:numId w:val="0"/>
        </w:num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（9）是否涉及进口产品：</w:t>
      </w:r>
    </w:p>
    <w:p w14:paraId="06D38C96">
      <w:pPr>
        <w:numPr>
          <w:ilvl w:val="255"/>
          <w:numId w:val="0"/>
        </w:numPr>
        <w:adjustRightInd w:val="0"/>
        <w:snapToGrid w:val="0"/>
        <w:spacing w:line="400" w:lineRule="exact"/>
        <w:ind w:firstLine="840" w:firstLineChars="400"/>
        <w:rPr>
          <w:rFonts w:ascii="宋体" w:hAnsi="宋体" w:eastAsia="宋体" w:cs="宋体"/>
          <w:szCs w:val="21"/>
          <w:u w:val="single"/>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是，《政府采购品目分类目录》底级品目名称：</w:t>
      </w:r>
      <w:r>
        <w:rPr>
          <w:rFonts w:hint="eastAsia" w:ascii="宋体" w:hAnsi="宋体" w:eastAsia="宋体" w:cs="宋体"/>
          <w:szCs w:val="21"/>
          <w:u w:val="single"/>
        </w:rPr>
        <w:t xml:space="preserve">         </w:t>
      </w:r>
      <w:r>
        <w:rPr>
          <w:rFonts w:hint="eastAsia" w:ascii="宋体" w:hAnsi="宋体" w:eastAsia="宋体" w:cs="宋体"/>
          <w:szCs w:val="21"/>
        </w:rPr>
        <w:t xml:space="preserve"> 金额：</w:t>
      </w:r>
      <w:r>
        <w:rPr>
          <w:rFonts w:hint="eastAsia" w:ascii="宋体" w:hAnsi="宋体" w:eastAsia="宋体" w:cs="宋体"/>
          <w:szCs w:val="21"/>
          <w:u w:val="single"/>
        </w:rPr>
        <w:t xml:space="preserve">        </w:t>
      </w:r>
    </w:p>
    <w:p w14:paraId="71CD9621">
      <w:pPr>
        <w:numPr>
          <w:ilvl w:val="255"/>
          <w:numId w:val="0"/>
        </w:numPr>
        <w:adjustRightInd w:val="0"/>
        <w:snapToGrid w:val="0"/>
        <w:spacing w:line="400" w:lineRule="exact"/>
        <w:ind w:firstLine="840" w:firstLineChars="400"/>
        <w:rPr>
          <w:rFonts w:ascii="宋体" w:hAnsi="宋体" w:eastAsia="宋体" w:cs="宋体"/>
          <w:szCs w:val="21"/>
        </w:rPr>
      </w:pPr>
      <w:r>
        <w:rPr>
          <w:rFonts w:hint="eastAsia" w:ascii="宋体" w:hAnsi="宋体" w:eastAsia="宋体" w:cs="宋体"/>
          <w:szCs w:val="21"/>
        </w:rPr>
        <w:t xml:space="preserve">        国别：</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规格型号：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4C66EB10">
      <w:pPr>
        <w:adjustRightInd w:val="0"/>
        <w:snapToGrid w:val="0"/>
        <w:spacing w:line="400" w:lineRule="exact"/>
        <w:ind w:firstLine="840" w:firstLineChars="400"/>
        <w:rPr>
          <w:rFonts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否</w:t>
      </w:r>
    </w:p>
    <w:p w14:paraId="48346D1A">
      <w:pPr>
        <w:numPr>
          <w:ilvl w:val="255"/>
          <w:numId w:val="0"/>
        </w:numPr>
        <w:tabs>
          <w:tab w:val="left" w:pos="740"/>
        </w:tabs>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（10）是否涉及节能产品：</w:t>
      </w:r>
    </w:p>
    <w:p w14:paraId="1A4E5A6D">
      <w:pPr>
        <w:numPr>
          <w:ilvl w:val="255"/>
          <w:numId w:val="0"/>
        </w:numPr>
        <w:tabs>
          <w:tab w:val="left" w:pos="740"/>
        </w:tabs>
        <w:adjustRightInd w:val="0"/>
        <w:snapToGrid w:val="0"/>
        <w:spacing w:line="400" w:lineRule="exact"/>
        <w:rPr>
          <w:rFonts w:ascii="宋体" w:hAnsi="宋体" w:eastAsia="宋体" w:cs="宋体"/>
          <w:iCs/>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是，《节能产品政府采购品目清单》的底级品目名称：</w:t>
      </w:r>
      <w:r>
        <w:rPr>
          <w:rFonts w:hint="eastAsia" w:ascii="宋体" w:hAnsi="宋体" w:eastAsia="宋体" w:cs="宋体"/>
          <w:szCs w:val="21"/>
          <w:u w:val="single"/>
        </w:rPr>
        <w:t xml:space="preserve">         </w:t>
      </w:r>
      <w:r>
        <w:rPr>
          <w:rFonts w:hint="eastAsia" w:ascii="宋体" w:hAnsi="宋体" w:eastAsia="宋体" w:cs="宋体"/>
          <w:iCs/>
          <w:szCs w:val="21"/>
        </w:rPr>
        <w:t xml:space="preserve">     </w:t>
      </w:r>
    </w:p>
    <w:p w14:paraId="20934108">
      <w:pPr>
        <w:numPr>
          <w:ilvl w:val="255"/>
          <w:numId w:val="0"/>
        </w:numPr>
        <w:tabs>
          <w:tab w:val="left" w:pos="740"/>
        </w:tabs>
        <w:adjustRightInd w:val="0"/>
        <w:snapToGrid w:val="0"/>
        <w:spacing w:line="400" w:lineRule="exact"/>
        <w:rPr>
          <w:rFonts w:ascii="宋体" w:hAnsi="宋体" w:eastAsia="宋体" w:cs="宋体"/>
          <w:iCs/>
          <w:szCs w:val="21"/>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强制采购       </w:t>
      </w:r>
      <w:r>
        <w:rPr>
          <w:rFonts w:hint="eastAsia" w:ascii="宋体" w:hAnsi="宋体" w:eastAsia="宋体" w:cs="宋体"/>
          <w:iCs/>
          <w:szCs w:val="21"/>
        </w:rPr>
        <w:sym w:font="Wingdings" w:char="00A8"/>
      </w:r>
      <w:r>
        <w:rPr>
          <w:rFonts w:hint="eastAsia" w:ascii="宋体" w:hAnsi="宋体" w:eastAsia="宋体" w:cs="宋体"/>
          <w:iCs/>
          <w:szCs w:val="21"/>
        </w:rPr>
        <w:t xml:space="preserve">优先采购    </w:t>
      </w:r>
    </w:p>
    <w:p w14:paraId="42B64341">
      <w:pPr>
        <w:numPr>
          <w:ilvl w:val="255"/>
          <w:numId w:val="0"/>
        </w:numPr>
        <w:tabs>
          <w:tab w:val="left" w:pos="740"/>
        </w:tabs>
        <w:adjustRightInd w:val="0"/>
        <w:snapToGrid w:val="0"/>
        <w:spacing w:line="400" w:lineRule="exact"/>
        <w:rPr>
          <w:rFonts w:ascii="宋体" w:hAnsi="宋体" w:eastAsia="宋体" w:cs="宋体"/>
          <w:szCs w:val="21"/>
        </w:rPr>
      </w:pPr>
      <w:r>
        <w:rPr>
          <w:rFonts w:hint="eastAsia" w:ascii="宋体" w:hAnsi="宋体" w:eastAsia="宋体" w:cs="宋体"/>
          <w:iCs/>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否</w:t>
      </w:r>
    </w:p>
    <w:p w14:paraId="4729E4B1">
      <w:pPr>
        <w:numPr>
          <w:ilvl w:val="255"/>
          <w:numId w:val="0"/>
        </w:numPr>
        <w:tabs>
          <w:tab w:val="left" w:pos="740"/>
        </w:tabs>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是否涉及环境标志产品：</w:t>
      </w:r>
    </w:p>
    <w:p w14:paraId="0E476CA8">
      <w:pPr>
        <w:numPr>
          <w:ilvl w:val="255"/>
          <w:numId w:val="0"/>
        </w:numPr>
        <w:tabs>
          <w:tab w:val="left" w:pos="740"/>
        </w:tabs>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是，《环境标志产品政府采购品目清单》的底级品目名称：</w:t>
      </w:r>
      <w:r>
        <w:rPr>
          <w:rFonts w:hint="eastAsia" w:ascii="宋体" w:hAnsi="宋体" w:eastAsia="宋体" w:cs="宋体"/>
          <w:szCs w:val="21"/>
          <w:u w:val="single"/>
        </w:rPr>
        <w:t xml:space="preserve">         </w:t>
      </w:r>
      <w:r>
        <w:rPr>
          <w:rFonts w:hint="eastAsia" w:ascii="宋体" w:hAnsi="宋体" w:eastAsia="宋体" w:cs="宋体"/>
          <w:iCs/>
          <w:szCs w:val="21"/>
        </w:rPr>
        <w:t xml:space="preserve"> </w:t>
      </w:r>
    </w:p>
    <w:p w14:paraId="688B2B5F">
      <w:pPr>
        <w:numPr>
          <w:ilvl w:val="255"/>
          <w:numId w:val="0"/>
        </w:numPr>
        <w:tabs>
          <w:tab w:val="left" w:pos="740"/>
        </w:tabs>
        <w:adjustRightInd w:val="0"/>
        <w:snapToGrid w:val="0"/>
        <w:spacing w:line="400" w:lineRule="exact"/>
        <w:rPr>
          <w:rFonts w:ascii="宋体" w:hAnsi="宋体" w:eastAsia="宋体" w:cs="宋体"/>
          <w:iCs/>
          <w:szCs w:val="21"/>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强制采购       </w:t>
      </w:r>
      <w:r>
        <w:rPr>
          <w:rFonts w:hint="eastAsia" w:ascii="宋体" w:hAnsi="宋体" w:eastAsia="宋体" w:cs="宋体"/>
          <w:iCs/>
          <w:szCs w:val="21"/>
        </w:rPr>
        <w:sym w:font="Wingdings" w:char="00A8"/>
      </w:r>
      <w:r>
        <w:rPr>
          <w:rFonts w:hint="eastAsia" w:ascii="宋体" w:hAnsi="宋体" w:eastAsia="宋体" w:cs="宋体"/>
          <w:iCs/>
          <w:szCs w:val="21"/>
        </w:rPr>
        <w:t xml:space="preserve">优先采购    </w:t>
      </w:r>
    </w:p>
    <w:p w14:paraId="439D2321">
      <w:pPr>
        <w:numPr>
          <w:ilvl w:val="255"/>
          <w:numId w:val="0"/>
        </w:numPr>
        <w:tabs>
          <w:tab w:val="left" w:pos="740"/>
        </w:tabs>
        <w:adjustRightInd w:val="0"/>
        <w:snapToGrid w:val="0"/>
        <w:spacing w:line="400" w:lineRule="exact"/>
        <w:rPr>
          <w:rFonts w:ascii="宋体" w:hAnsi="宋体" w:eastAsia="宋体" w:cs="宋体"/>
          <w:szCs w:val="21"/>
        </w:rPr>
      </w:pPr>
      <w:r>
        <w:rPr>
          <w:rFonts w:hint="eastAsia" w:ascii="宋体" w:hAnsi="宋体" w:eastAsia="宋体" w:cs="宋体"/>
          <w:iCs/>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否</w:t>
      </w:r>
    </w:p>
    <w:p w14:paraId="03BAF13D">
      <w:pPr>
        <w:pStyle w:val="30"/>
        <w:numPr>
          <w:ilvl w:val="255"/>
          <w:numId w:val="0"/>
        </w:numPr>
        <w:snapToGrid w:val="0"/>
        <w:rPr>
          <w:rFonts w:ascii="宋体" w:hAnsi="宋体" w:eastAsia="宋体" w:cs="宋体"/>
          <w:kern w:val="2"/>
          <w:sz w:val="21"/>
        </w:rPr>
      </w:pPr>
      <w:r>
        <w:rPr>
          <w:rFonts w:hint="eastAsia" w:ascii="宋体" w:hAnsi="宋体" w:eastAsia="宋体" w:cs="宋体"/>
          <w:sz w:val="21"/>
        </w:rPr>
        <w:t xml:space="preserve">          </w:t>
      </w:r>
      <w:r>
        <w:rPr>
          <w:rFonts w:hint="eastAsia" w:ascii="宋体" w:hAnsi="宋体" w:eastAsia="宋体" w:cs="宋体"/>
          <w:kern w:val="2"/>
          <w:sz w:val="21"/>
        </w:rPr>
        <w:t xml:space="preserve">是否涉及绿色产品： </w:t>
      </w:r>
    </w:p>
    <w:p w14:paraId="021A6BFD">
      <w:pPr>
        <w:pStyle w:val="30"/>
        <w:ind w:firstLine="420" w:firstLineChars="0"/>
        <w:rPr>
          <w:rFonts w:ascii="宋体" w:hAnsi="宋体" w:eastAsia="宋体" w:cs="宋体"/>
          <w:u w:val="single"/>
        </w:rPr>
      </w:pPr>
      <w:r>
        <w:rPr>
          <w:rFonts w:hint="eastAsia" w:ascii="宋体" w:hAnsi="宋体" w:eastAsia="宋体" w:cs="宋体"/>
          <w:kern w:val="2"/>
          <w:sz w:val="21"/>
        </w:rPr>
        <w:t xml:space="preserve">     </w:t>
      </w:r>
      <w:r>
        <w:rPr>
          <w:rFonts w:hint="eastAsia" w:ascii="宋体" w:hAnsi="宋体" w:eastAsia="宋体" w:cs="宋体"/>
          <w:kern w:val="2"/>
          <w:sz w:val="21"/>
        </w:rPr>
        <w:sym w:font="Wingdings" w:char="00A8"/>
      </w:r>
      <w:r>
        <w:rPr>
          <w:rFonts w:hint="eastAsia" w:ascii="宋体" w:hAnsi="宋体" w:eastAsia="宋体" w:cs="宋体"/>
          <w:kern w:val="2"/>
          <w:sz w:val="21"/>
        </w:rPr>
        <w:t>是，绿色产品政府采购相关政策确定的底级品目名称：</w:t>
      </w:r>
      <w:r>
        <w:rPr>
          <w:rFonts w:hint="eastAsia" w:ascii="宋体" w:hAnsi="宋体" w:eastAsia="宋体" w:cs="宋体"/>
          <w:u w:val="single"/>
        </w:rPr>
        <w:t xml:space="preserve">         </w:t>
      </w:r>
    </w:p>
    <w:p w14:paraId="7DD6EC4F">
      <w:pPr>
        <w:numPr>
          <w:ilvl w:val="255"/>
          <w:numId w:val="0"/>
        </w:numPr>
        <w:tabs>
          <w:tab w:val="left" w:pos="740"/>
        </w:tabs>
        <w:adjustRightInd w:val="0"/>
        <w:snapToGrid w:val="0"/>
        <w:spacing w:line="400" w:lineRule="exact"/>
        <w:rPr>
          <w:rFonts w:ascii="宋体" w:hAnsi="宋体" w:eastAsia="宋体" w:cs="宋体"/>
          <w:iCs/>
          <w:szCs w:val="21"/>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强制采购       </w:t>
      </w:r>
      <w:r>
        <w:rPr>
          <w:rFonts w:hint="eastAsia" w:ascii="宋体" w:hAnsi="宋体" w:eastAsia="宋体" w:cs="宋体"/>
          <w:iCs/>
          <w:szCs w:val="21"/>
        </w:rPr>
        <w:sym w:font="Wingdings" w:char="00A8"/>
      </w:r>
      <w:r>
        <w:rPr>
          <w:rFonts w:hint="eastAsia" w:ascii="宋体" w:hAnsi="宋体" w:eastAsia="宋体" w:cs="宋体"/>
          <w:iCs/>
          <w:szCs w:val="21"/>
        </w:rPr>
        <w:t xml:space="preserve">优先采购    </w:t>
      </w:r>
    </w:p>
    <w:p w14:paraId="25D5FB99">
      <w:pPr>
        <w:pStyle w:val="30"/>
        <w:ind w:firstLine="420" w:firstLineChars="0"/>
        <w:rPr>
          <w:rFonts w:ascii="宋体" w:hAnsi="宋体" w:eastAsia="宋体" w:cs="宋体"/>
          <w:sz w:val="21"/>
        </w:rPr>
      </w:pPr>
      <w:r>
        <w:rPr>
          <w:rFonts w:hint="eastAsia" w:ascii="宋体" w:hAnsi="宋体" w:eastAsia="宋体" w:cs="宋体"/>
          <w:kern w:val="2"/>
          <w:sz w:val="21"/>
        </w:rPr>
        <w:t xml:space="preserve">     </w:t>
      </w:r>
      <w:r>
        <w:rPr>
          <w:rFonts w:hint="eastAsia" w:ascii="宋体" w:hAnsi="宋体" w:eastAsia="宋体" w:cs="宋体"/>
          <w:kern w:val="2"/>
          <w:sz w:val="21"/>
        </w:rPr>
        <w:sym w:font="Wingdings" w:char="00A8"/>
      </w:r>
      <w:r>
        <w:rPr>
          <w:rFonts w:hint="eastAsia" w:ascii="宋体" w:hAnsi="宋体" w:eastAsia="宋体" w:cs="宋体"/>
          <w:kern w:val="2"/>
          <w:sz w:val="21"/>
        </w:rPr>
        <w:t>否</w:t>
      </w:r>
    </w:p>
    <w:p w14:paraId="4F5C0269">
      <w:pPr>
        <w:numPr>
          <w:ilvl w:val="255"/>
          <w:numId w:val="0"/>
        </w:numPr>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（11）涉及商品包装和快递包装的，是否参考《商品包装政府采购需求标准（试行）》、《快递包装政府采购需求标准（试行）》明确产品及相关快递服务的具体包装要求：</w:t>
      </w:r>
    </w:p>
    <w:p w14:paraId="33434F2D">
      <w:pPr>
        <w:numPr>
          <w:ilvl w:val="255"/>
          <w:numId w:val="0"/>
        </w:numPr>
        <w:adjustRightInd w:val="0"/>
        <w:snapToGrid w:val="0"/>
        <w:spacing w:line="400" w:lineRule="exact"/>
        <w:ind w:firstLine="840" w:firstLineChars="400"/>
        <w:rPr>
          <w:rFonts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 xml:space="preserve">是       </w:t>
      </w:r>
      <w:r>
        <w:rPr>
          <w:rFonts w:hint="eastAsia" w:ascii="宋体" w:hAnsi="宋体" w:eastAsia="宋体" w:cs="宋体"/>
          <w:szCs w:val="21"/>
        </w:rPr>
        <w:sym w:font="Wingdings" w:char="00A8"/>
      </w:r>
      <w:r>
        <w:rPr>
          <w:rFonts w:hint="eastAsia" w:ascii="宋体" w:hAnsi="宋体" w:eastAsia="宋体" w:cs="宋体"/>
          <w:szCs w:val="21"/>
        </w:rPr>
        <w:t xml:space="preserve">否      </w:t>
      </w:r>
      <w:r>
        <w:rPr>
          <w:rFonts w:hint="eastAsia" w:ascii="宋体" w:hAnsi="宋体" w:eastAsia="宋体" w:cs="宋体"/>
          <w:szCs w:val="21"/>
        </w:rPr>
        <w:sym w:font="Wingdings" w:char="00A8"/>
      </w:r>
      <w:r>
        <w:rPr>
          <w:rFonts w:hint="eastAsia" w:ascii="宋体" w:hAnsi="宋体" w:eastAsia="宋体" w:cs="宋体"/>
          <w:szCs w:val="21"/>
        </w:rPr>
        <w:t>不涉及</w:t>
      </w:r>
    </w:p>
    <w:p w14:paraId="5C076170">
      <w:pPr>
        <w:numPr>
          <w:ilvl w:val="0"/>
          <w:numId w:val="8"/>
        </w:num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合同金额</w:t>
      </w:r>
    </w:p>
    <w:p w14:paraId="2C6CAA29">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（1）合同金额小写：</w:t>
      </w:r>
      <w:r>
        <w:rPr>
          <w:rFonts w:hint="eastAsia" w:ascii="宋体" w:hAnsi="宋体" w:eastAsia="宋体" w:cs="宋体"/>
          <w:szCs w:val="21"/>
          <w:u w:val="single"/>
        </w:rPr>
        <w:t xml:space="preserve">                           </w:t>
      </w:r>
    </w:p>
    <w:p w14:paraId="0AA31FCA">
      <w:pPr>
        <w:adjustRightInd w:val="0"/>
        <w:snapToGrid w:val="0"/>
        <w:spacing w:line="400" w:lineRule="exact"/>
        <w:rPr>
          <w:rFonts w:ascii="宋体" w:hAnsi="宋体" w:eastAsia="宋体" w:cs="宋体"/>
          <w:szCs w:val="21"/>
          <w:u w:val="single"/>
        </w:rPr>
      </w:pPr>
      <w:r>
        <w:rPr>
          <w:rFonts w:hint="eastAsia" w:ascii="宋体" w:hAnsi="宋体" w:eastAsia="宋体" w:cs="宋体"/>
          <w:szCs w:val="21"/>
        </w:rPr>
        <w:t xml:space="preserve">                 大写：</w:t>
      </w:r>
      <w:r>
        <w:rPr>
          <w:rFonts w:hint="eastAsia" w:ascii="宋体" w:hAnsi="宋体" w:eastAsia="宋体" w:cs="宋体"/>
          <w:szCs w:val="21"/>
          <w:u w:val="single"/>
        </w:rPr>
        <w:t xml:space="preserve">                           </w:t>
      </w:r>
    </w:p>
    <w:p w14:paraId="324F2F1C">
      <w:pPr>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分包金额（如有）小写：</w:t>
      </w:r>
      <w:r>
        <w:rPr>
          <w:rFonts w:hint="eastAsia" w:ascii="宋体" w:hAnsi="宋体" w:eastAsia="宋体" w:cs="宋体"/>
          <w:szCs w:val="21"/>
          <w:u w:val="single"/>
        </w:rPr>
        <w:t xml:space="preserve">                   </w:t>
      </w:r>
    </w:p>
    <w:p w14:paraId="78C8B7C6">
      <w:pPr>
        <w:adjustRightInd w:val="0"/>
        <w:snapToGrid w:val="0"/>
        <w:spacing w:line="400" w:lineRule="exact"/>
        <w:rPr>
          <w:rFonts w:ascii="宋体" w:hAnsi="宋体" w:eastAsia="宋体" w:cs="宋体"/>
          <w:szCs w:val="21"/>
          <w:u w:val="single"/>
        </w:rPr>
      </w:pPr>
      <w:r>
        <w:rPr>
          <w:rFonts w:hint="eastAsia" w:ascii="宋体" w:hAnsi="宋体" w:eastAsia="宋体" w:cs="宋体"/>
          <w:szCs w:val="21"/>
        </w:rPr>
        <w:t xml:space="preserve">                     大写：</w:t>
      </w:r>
      <w:r>
        <w:rPr>
          <w:rFonts w:hint="eastAsia" w:ascii="宋体" w:hAnsi="宋体" w:eastAsia="宋体" w:cs="宋体"/>
          <w:szCs w:val="21"/>
          <w:u w:val="single"/>
        </w:rPr>
        <w:t xml:space="preserve">                       </w:t>
      </w:r>
    </w:p>
    <w:p w14:paraId="282BBE95">
      <w:pPr>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（注：固定单价合同应填写单价和最高限价）</w:t>
      </w:r>
    </w:p>
    <w:p w14:paraId="5236DC69">
      <w:pPr>
        <w:numPr>
          <w:ilvl w:val="255"/>
          <w:numId w:val="0"/>
        </w:numPr>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（2）合同定价方式（采用组合定价方式的，可以勾选多项）：</w:t>
      </w:r>
    </w:p>
    <w:p w14:paraId="1AD343DA">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固定总价 </w:t>
      </w:r>
      <w:r>
        <w:rPr>
          <w:rFonts w:hint="eastAsia" w:ascii="宋体" w:hAnsi="宋体" w:eastAsia="宋体" w:cs="宋体"/>
          <w:iCs/>
          <w:szCs w:val="21"/>
        </w:rPr>
        <w:sym w:font="Wingdings" w:char="00A8"/>
      </w:r>
      <w:r>
        <w:rPr>
          <w:rFonts w:hint="eastAsia" w:ascii="宋体" w:hAnsi="宋体" w:eastAsia="宋体" w:cs="宋体"/>
          <w:iCs/>
          <w:szCs w:val="21"/>
        </w:rPr>
        <w:t xml:space="preserve">固定单价 </w:t>
      </w:r>
      <w:r>
        <w:rPr>
          <w:rFonts w:hint="eastAsia" w:ascii="宋体" w:hAnsi="宋体" w:eastAsia="宋体" w:cs="宋体"/>
          <w:iCs/>
          <w:szCs w:val="21"/>
        </w:rPr>
        <w:sym w:font="Wingdings" w:char="00A8"/>
      </w:r>
      <w:r>
        <w:rPr>
          <w:rFonts w:hint="eastAsia" w:ascii="宋体" w:hAnsi="宋体" w:eastAsia="宋体" w:cs="宋体"/>
          <w:iCs/>
          <w:szCs w:val="21"/>
        </w:rPr>
        <w:t xml:space="preserve">固定费率 </w:t>
      </w:r>
      <w:r>
        <w:rPr>
          <w:rFonts w:hint="eastAsia" w:ascii="宋体" w:hAnsi="宋体" w:eastAsia="宋体" w:cs="宋体"/>
          <w:iCs/>
          <w:szCs w:val="21"/>
        </w:rPr>
        <w:sym w:font="Wingdings" w:char="00A8"/>
      </w:r>
      <w:r>
        <w:rPr>
          <w:rFonts w:hint="eastAsia" w:ascii="宋体" w:hAnsi="宋体" w:eastAsia="宋体" w:cs="宋体"/>
          <w:iCs/>
          <w:szCs w:val="21"/>
        </w:rPr>
        <w:t xml:space="preserve">成本补偿 </w:t>
      </w:r>
      <w:r>
        <w:rPr>
          <w:rFonts w:hint="eastAsia" w:ascii="宋体" w:hAnsi="宋体" w:eastAsia="宋体" w:cs="宋体"/>
          <w:iCs/>
          <w:szCs w:val="21"/>
        </w:rPr>
        <w:sym w:font="Wingdings" w:char="00A8"/>
      </w:r>
      <w:r>
        <w:rPr>
          <w:rFonts w:hint="eastAsia" w:ascii="宋体" w:hAnsi="宋体" w:eastAsia="宋体" w:cs="宋体"/>
          <w:iCs/>
          <w:szCs w:val="21"/>
        </w:rPr>
        <w:t xml:space="preserve">绩效激励 </w:t>
      </w:r>
      <w:r>
        <w:rPr>
          <w:rFonts w:hint="eastAsia" w:ascii="宋体" w:hAnsi="宋体" w:eastAsia="宋体" w:cs="宋体"/>
          <w:iCs/>
          <w:szCs w:val="21"/>
        </w:rPr>
        <w:sym w:font="Wingdings" w:char="00A8"/>
      </w:r>
      <w:r>
        <w:rPr>
          <w:rFonts w:hint="eastAsia" w:ascii="宋体" w:hAnsi="宋体" w:eastAsia="宋体" w:cs="宋体"/>
          <w:iCs/>
          <w:szCs w:val="21"/>
        </w:rPr>
        <w:t>其他</w:t>
      </w:r>
      <w:r>
        <w:rPr>
          <w:rFonts w:hint="eastAsia" w:ascii="宋体" w:hAnsi="宋体" w:eastAsia="宋体" w:cs="宋体"/>
          <w:szCs w:val="21"/>
          <w:u w:val="single"/>
        </w:rPr>
        <w:t xml:space="preserve">       </w:t>
      </w:r>
    </w:p>
    <w:p w14:paraId="274E9B61">
      <w:pPr>
        <w:pStyle w:val="43"/>
        <w:spacing w:line="400" w:lineRule="exact"/>
        <w:rPr>
          <w:rFonts w:ascii="宋体" w:hAnsi="宋体" w:eastAsia="宋体" w:cs="宋体"/>
        </w:rPr>
      </w:pPr>
      <w:r>
        <w:rPr>
          <w:rFonts w:hint="eastAsia" w:ascii="宋体" w:hAnsi="宋体" w:eastAsia="宋体" w:cs="宋体"/>
        </w:rPr>
        <w:t>（3）付款方式（按项目实际勾选填写）：</w:t>
      </w:r>
    </w:p>
    <w:p w14:paraId="04DB096E">
      <w:pPr>
        <w:adjustRightInd w:val="0"/>
        <w:snapToGrid w:val="0"/>
        <w:spacing w:line="400" w:lineRule="exact"/>
        <w:ind w:firstLine="630" w:firstLineChars="300"/>
        <w:rPr>
          <w:rFonts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全额付款：</w:t>
      </w:r>
      <w:r>
        <w:rPr>
          <w:rFonts w:hint="eastAsia" w:ascii="宋体" w:hAnsi="宋体" w:eastAsia="宋体" w:cs="宋体"/>
          <w:szCs w:val="21"/>
          <w:u w:val="single"/>
        </w:rPr>
        <w:t xml:space="preserve">     （应明确一次性支付合同款项的条件）                    </w:t>
      </w:r>
    </w:p>
    <w:p w14:paraId="74883419">
      <w:pPr>
        <w:snapToGrid w:val="0"/>
        <w:spacing w:line="400" w:lineRule="exact"/>
        <w:ind w:firstLine="630" w:firstLineChars="300"/>
        <w:rPr>
          <w:rFonts w:ascii="宋体" w:hAnsi="宋体" w:eastAsia="宋体" w:cs="宋体"/>
        </w:rPr>
      </w:pPr>
      <w:r>
        <w:rPr>
          <w:rFonts w:hint="eastAsia" w:ascii="宋体" w:hAnsi="宋体" w:eastAsia="宋体" w:cs="宋体"/>
          <w:szCs w:val="21"/>
        </w:rPr>
        <w:sym w:font="Wingdings" w:char="00A8"/>
      </w:r>
      <w:r>
        <w:rPr>
          <w:rFonts w:hint="eastAsia" w:ascii="宋体" w:hAnsi="宋体" w:eastAsia="宋体" w:cs="宋体"/>
          <w:szCs w:val="21"/>
        </w:rPr>
        <w:t>分期付款：</w:t>
      </w:r>
      <w:r>
        <w:rPr>
          <w:rFonts w:hint="eastAsia" w:ascii="宋体" w:hAnsi="宋体" w:eastAsia="宋体" w:cs="宋体"/>
          <w:szCs w:val="21"/>
          <w:u w:val="single"/>
        </w:rPr>
        <w:t xml:space="preserve">  （应明确分期支付合同款项的各期比例和支付条件，各期支付条件应与分期履约验收情况挂钩） </w:t>
      </w:r>
      <w:r>
        <w:rPr>
          <w:rFonts w:hint="eastAsia" w:ascii="宋体" w:hAnsi="宋体" w:eastAsia="宋体" w:cs="宋体"/>
          <w:szCs w:val="21"/>
        </w:rPr>
        <w:t>，其中涉及预付款的：</w:t>
      </w:r>
      <w:r>
        <w:rPr>
          <w:rFonts w:hint="eastAsia" w:ascii="宋体" w:hAnsi="宋体" w:eastAsia="宋体" w:cs="宋体"/>
          <w:szCs w:val="21"/>
          <w:u w:val="single"/>
        </w:rPr>
        <w:t xml:space="preserve"> （应明确预付款的支付比例和支付条件） </w:t>
      </w:r>
    </w:p>
    <w:p w14:paraId="76E78771">
      <w:pPr>
        <w:adjustRightInd w:val="0"/>
        <w:snapToGrid w:val="0"/>
        <w:spacing w:line="400" w:lineRule="exact"/>
        <w:ind w:firstLine="630" w:firstLineChars="300"/>
        <w:rPr>
          <w:rFonts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成本补偿：</w:t>
      </w:r>
      <w:r>
        <w:rPr>
          <w:rFonts w:hint="eastAsia" w:ascii="宋体" w:hAnsi="宋体" w:eastAsia="宋体" w:cs="宋体"/>
          <w:szCs w:val="21"/>
          <w:u w:val="single"/>
        </w:rPr>
        <w:t xml:space="preserve">      （应明确按照成本补偿方式的支付方式和支付条件）   </w:t>
      </w:r>
    </w:p>
    <w:p w14:paraId="63661A89">
      <w:pPr>
        <w:adjustRightInd w:val="0"/>
        <w:snapToGrid w:val="0"/>
        <w:spacing w:line="400" w:lineRule="exact"/>
        <w:ind w:firstLine="630" w:firstLineChars="300"/>
        <w:rPr>
          <w:rFonts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绩效激励：</w:t>
      </w:r>
      <w:r>
        <w:rPr>
          <w:rFonts w:hint="eastAsia" w:ascii="宋体" w:hAnsi="宋体" w:eastAsia="宋体" w:cs="宋体"/>
          <w:szCs w:val="21"/>
          <w:u w:val="single"/>
        </w:rPr>
        <w:t xml:space="preserve">      （应明确按照绩效激励方式的支付方式和支付条件）   </w:t>
      </w:r>
    </w:p>
    <w:p w14:paraId="5F7D845C">
      <w:pPr>
        <w:numPr>
          <w:ilvl w:val="0"/>
          <w:numId w:val="8"/>
        </w:numPr>
        <w:adjustRightInd w:val="0"/>
        <w:snapToGrid w:val="0"/>
        <w:spacing w:line="400" w:lineRule="exact"/>
        <w:ind w:firstLine="422" w:firstLineChars="200"/>
        <w:rPr>
          <w:rFonts w:ascii="宋体" w:hAnsi="宋体" w:eastAsia="宋体" w:cs="宋体"/>
          <w:b/>
          <w:szCs w:val="21"/>
          <w:u w:val="single"/>
        </w:rPr>
      </w:pPr>
      <w:r>
        <w:rPr>
          <w:rFonts w:hint="eastAsia" w:ascii="宋体" w:hAnsi="宋体" w:eastAsia="宋体" w:cs="宋体"/>
          <w:b/>
          <w:szCs w:val="21"/>
        </w:rPr>
        <w:t>合同履行</w:t>
      </w:r>
    </w:p>
    <w:p w14:paraId="2FC52DBF">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06E54059">
      <w:pPr>
        <w:adjustRightInd w:val="0"/>
        <w:snapToGrid w:val="0"/>
        <w:spacing w:line="400" w:lineRule="exact"/>
        <w:ind w:firstLine="420" w:firstLineChars="200"/>
        <w:rPr>
          <w:rFonts w:ascii="宋体" w:hAnsi="宋体" w:eastAsia="宋体" w:cs="宋体"/>
          <w:szCs w:val="21"/>
          <w:u w:val="single"/>
        </w:rPr>
      </w:pPr>
      <w:r>
        <w:rPr>
          <w:rFonts w:hint="eastAsia" w:ascii="宋体" w:hAnsi="宋体" w:eastAsia="宋体" w:cs="宋体"/>
          <w:szCs w:val="21"/>
        </w:rPr>
        <w:t>（2）履约地点</w:t>
      </w:r>
      <w:r>
        <w:rPr>
          <w:rFonts w:hint="eastAsia" w:ascii="宋体" w:hAnsi="宋体" w:eastAsia="宋体" w:cs="宋体"/>
          <w:bCs/>
          <w:szCs w:val="21"/>
        </w:rPr>
        <w:t>：</w:t>
      </w:r>
      <w:r>
        <w:rPr>
          <w:rFonts w:hint="eastAsia" w:ascii="宋体" w:hAnsi="宋体" w:eastAsia="宋体" w:cs="宋体"/>
          <w:szCs w:val="21"/>
          <w:u w:val="single"/>
        </w:rPr>
        <w:t xml:space="preserve">                             </w:t>
      </w:r>
    </w:p>
    <w:p w14:paraId="6D3115FA">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bCs/>
          <w:szCs w:val="21"/>
        </w:rPr>
        <w:t>（3）履约担保：</w:t>
      </w:r>
      <w:r>
        <w:rPr>
          <w:rFonts w:hint="eastAsia" w:ascii="宋体" w:hAnsi="宋体" w:eastAsia="宋体" w:cs="宋体"/>
        </w:rPr>
        <w:t>是否收取履约保证金：</w:t>
      </w:r>
      <w:r>
        <w:rPr>
          <w:rFonts w:hint="eastAsia" w:ascii="宋体" w:hAnsi="宋体" w:eastAsia="宋体" w:cs="宋体"/>
          <w:szCs w:val="21"/>
        </w:rPr>
        <w:sym w:font="Wingdings" w:char="00A8"/>
      </w:r>
      <w:r>
        <w:rPr>
          <w:rFonts w:hint="eastAsia" w:ascii="宋体" w:hAnsi="宋体" w:eastAsia="宋体" w:cs="宋体"/>
          <w:szCs w:val="21"/>
        </w:rPr>
        <w:t xml:space="preserve">是    </w:t>
      </w:r>
      <w:r>
        <w:rPr>
          <w:rFonts w:hint="eastAsia" w:ascii="宋体" w:hAnsi="宋体" w:eastAsia="宋体" w:cs="宋体"/>
          <w:szCs w:val="21"/>
        </w:rPr>
        <w:sym w:font="Wingdings" w:char="00A8"/>
      </w:r>
      <w:r>
        <w:rPr>
          <w:rFonts w:hint="eastAsia" w:ascii="宋体" w:hAnsi="宋体" w:eastAsia="宋体" w:cs="宋体"/>
          <w:szCs w:val="21"/>
        </w:rPr>
        <w:t>否</w:t>
      </w:r>
    </w:p>
    <w:p w14:paraId="67E84395">
      <w:pPr>
        <w:pStyle w:val="30"/>
        <w:rPr>
          <w:rFonts w:ascii="宋体" w:hAnsi="宋体" w:eastAsia="宋体" w:cs="宋体"/>
          <w:sz w:val="21"/>
        </w:rPr>
      </w:pPr>
      <w:r>
        <w:rPr>
          <w:rFonts w:hint="eastAsia" w:ascii="宋体" w:hAnsi="宋体" w:eastAsia="宋体" w:cs="宋体"/>
          <w:bCs/>
        </w:rPr>
        <w:t xml:space="preserve">  </w:t>
      </w:r>
      <w:r>
        <w:rPr>
          <w:rFonts w:hint="eastAsia" w:ascii="宋体" w:hAnsi="宋体" w:eastAsia="宋体" w:cs="宋体"/>
          <w:sz w:val="21"/>
        </w:rPr>
        <w:t xml:space="preserve">  收取履约保证金形式：</w:t>
      </w:r>
      <w:r>
        <w:rPr>
          <w:rFonts w:hint="eastAsia" w:ascii="宋体" w:hAnsi="宋体" w:eastAsia="宋体" w:cs="宋体"/>
          <w:bCs/>
          <w:sz w:val="21"/>
          <w:u w:val="single"/>
        </w:rPr>
        <w:t xml:space="preserve">                            </w:t>
      </w:r>
    </w:p>
    <w:p w14:paraId="7B6A0095">
      <w:pPr>
        <w:pStyle w:val="30"/>
        <w:ind w:firstLine="420"/>
        <w:rPr>
          <w:rFonts w:ascii="宋体" w:hAnsi="宋体" w:eastAsia="宋体" w:cs="宋体"/>
          <w:sz w:val="21"/>
        </w:rPr>
      </w:pPr>
      <w:r>
        <w:rPr>
          <w:rFonts w:hint="eastAsia" w:ascii="宋体" w:hAnsi="宋体" w:eastAsia="宋体" w:cs="宋体"/>
          <w:sz w:val="21"/>
        </w:rPr>
        <w:t xml:space="preserve">    收取履约保证金金额：</w:t>
      </w:r>
      <w:r>
        <w:rPr>
          <w:rFonts w:hint="eastAsia" w:ascii="宋体" w:hAnsi="宋体" w:eastAsia="宋体" w:cs="宋体"/>
          <w:bCs/>
          <w:sz w:val="21"/>
          <w:u w:val="single"/>
        </w:rPr>
        <w:t xml:space="preserve">                            </w:t>
      </w:r>
    </w:p>
    <w:p w14:paraId="1E3ED6CB">
      <w:pPr>
        <w:snapToGrid w:val="0"/>
        <w:spacing w:line="400" w:lineRule="exact"/>
        <w:ind w:firstLine="420" w:firstLineChars="200"/>
        <w:rPr>
          <w:rFonts w:ascii="宋体" w:hAnsi="宋体" w:eastAsia="宋体" w:cs="宋体"/>
        </w:rPr>
      </w:pPr>
      <w:r>
        <w:rPr>
          <w:rFonts w:hint="eastAsia" w:ascii="宋体" w:hAnsi="宋体" w:eastAsia="宋体" w:cs="宋体"/>
          <w:bCs/>
          <w:szCs w:val="21"/>
        </w:rPr>
        <w:t xml:space="preserve">    履约担保期限：</w:t>
      </w:r>
      <w:r>
        <w:rPr>
          <w:rFonts w:hint="eastAsia" w:ascii="宋体" w:hAnsi="宋体" w:eastAsia="宋体" w:cs="宋体"/>
          <w:bCs/>
          <w:szCs w:val="21"/>
          <w:u w:val="single"/>
        </w:rPr>
        <w:t xml:space="preserve">                                  </w:t>
      </w:r>
    </w:p>
    <w:p w14:paraId="27349DCF">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（4）分期履行要求：</w:t>
      </w:r>
      <w:r>
        <w:rPr>
          <w:rFonts w:hint="eastAsia" w:ascii="宋体" w:hAnsi="宋体" w:eastAsia="宋体" w:cs="宋体"/>
          <w:bCs/>
          <w:szCs w:val="21"/>
          <w:u w:val="single"/>
        </w:rPr>
        <w:t xml:space="preserve">                                                        </w:t>
      </w:r>
    </w:p>
    <w:p w14:paraId="7B037A3B">
      <w:pPr>
        <w:adjustRightInd w:val="0"/>
        <w:snapToGrid w:val="0"/>
        <w:spacing w:line="400" w:lineRule="exact"/>
        <w:ind w:firstLine="420" w:firstLineChars="200"/>
        <w:rPr>
          <w:rFonts w:ascii="宋体" w:hAnsi="宋体" w:eastAsia="宋体" w:cs="宋体"/>
          <w:szCs w:val="21"/>
          <w:u w:val="single"/>
        </w:rPr>
      </w:pPr>
      <w:r>
        <w:rPr>
          <w:rFonts w:hint="eastAsia" w:ascii="宋体" w:hAnsi="宋体" w:eastAsia="宋体" w:cs="宋体"/>
          <w:bCs/>
          <w:szCs w:val="21"/>
        </w:rPr>
        <w:t>（5）风险处置措施和替代方案：</w:t>
      </w:r>
      <w:r>
        <w:rPr>
          <w:rFonts w:hint="eastAsia" w:ascii="宋体" w:hAnsi="宋体" w:eastAsia="宋体" w:cs="宋体"/>
          <w:color w:val="0000FF"/>
          <w:szCs w:val="21"/>
          <w:u w:val="single"/>
        </w:rPr>
        <w:t xml:space="preserve"> </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szCs w:val="21"/>
          <w:u w:val="single"/>
        </w:rPr>
        <w:t xml:space="preserve">                                                </w:t>
      </w:r>
    </w:p>
    <w:p w14:paraId="6C5D591D">
      <w:pPr>
        <w:numPr>
          <w:ilvl w:val="0"/>
          <w:numId w:val="8"/>
        </w:num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合同验收</w:t>
      </w:r>
    </w:p>
    <w:p w14:paraId="02B84C58">
      <w:pPr>
        <w:numPr>
          <w:ilvl w:val="0"/>
          <w:numId w:val="10"/>
        </w:num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验收组织方式：</w:t>
      </w:r>
      <w:r>
        <w:rPr>
          <w:rFonts w:hint="eastAsia" w:ascii="宋体" w:hAnsi="宋体" w:eastAsia="宋体" w:cs="宋体"/>
          <w:szCs w:val="21"/>
        </w:rPr>
        <w:sym w:font="Wingdings" w:char="00A8"/>
      </w:r>
      <w:r>
        <w:rPr>
          <w:rFonts w:hint="eastAsia" w:ascii="宋体" w:hAnsi="宋体" w:eastAsia="宋体" w:cs="宋体"/>
          <w:bCs/>
          <w:szCs w:val="21"/>
        </w:rPr>
        <w:t xml:space="preserve">自行组织 </w:t>
      </w:r>
      <w:r>
        <w:rPr>
          <w:rFonts w:hint="eastAsia" w:ascii="宋体" w:hAnsi="宋体" w:eastAsia="宋体" w:cs="宋体"/>
          <w:szCs w:val="21"/>
        </w:rPr>
        <w:sym w:font="Wingdings" w:char="00FE"/>
      </w:r>
      <w:r>
        <w:rPr>
          <w:rFonts w:hint="eastAsia" w:ascii="宋体" w:hAnsi="宋体" w:eastAsia="宋体" w:cs="宋体"/>
          <w:bCs/>
          <w:szCs w:val="21"/>
        </w:rPr>
        <w:t>委托第三方组织</w:t>
      </w:r>
    </w:p>
    <w:p w14:paraId="63B3F12C">
      <w:pPr>
        <w:adjustRightInd w:val="0"/>
        <w:snapToGrid w:val="0"/>
        <w:spacing w:line="400" w:lineRule="exact"/>
        <w:rPr>
          <w:rFonts w:ascii="宋体" w:hAnsi="宋体" w:eastAsia="宋体" w:cs="宋体"/>
          <w:bCs/>
          <w:szCs w:val="21"/>
        </w:rPr>
      </w:pPr>
      <w:r>
        <w:rPr>
          <w:rFonts w:hint="eastAsia" w:ascii="宋体" w:hAnsi="宋体" w:eastAsia="宋体" w:cs="宋体"/>
          <w:bCs/>
          <w:szCs w:val="21"/>
        </w:rPr>
        <w:t xml:space="preserve">         验收主体：</w:t>
      </w:r>
      <w:r>
        <w:rPr>
          <w:rFonts w:hint="eastAsia" w:ascii="宋体" w:hAnsi="宋体" w:eastAsia="宋体" w:cs="宋体"/>
          <w:bCs/>
          <w:szCs w:val="21"/>
          <w:u w:val="single"/>
        </w:rPr>
        <w:t xml:space="preserve">                  </w:t>
      </w:r>
    </w:p>
    <w:p w14:paraId="39C42052">
      <w:pPr>
        <w:adjustRightInd w:val="0"/>
        <w:snapToGrid w:val="0"/>
        <w:spacing w:line="400" w:lineRule="exact"/>
        <w:rPr>
          <w:rFonts w:ascii="宋体" w:hAnsi="宋体" w:eastAsia="宋体" w:cs="宋体"/>
          <w:bCs/>
          <w:szCs w:val="21"/>
        </w:rPr>
      </w:pPr>
      <w:r>
        <w:rPr>
          <w:rFonts w:hint="eastAsia" w:ascii="宋体" w:hAnsi="宋体" w:eastAsia="宋体" w:cs="宋体"/>
          <w:bCs/>
          <w:szCs w:val="21"/>
        </w:rPr>
        <w:t xml:space="preserve">        是否邀请本项目的其他供应商参加验收：</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14:paraId="053BBA1E">
      <w:pPr>
        <w:adjustRightInd w:val="0"/>
        <w:snapToGrid w:val="0"/>
        <w:spacing w:line="400" w:lineRule="exact"/>
        <w:ind w:firstLine="840" w:firstLineChars="400"/>
        <w:rPr>
          <w:rFonts w:ascii="宋体" w:hAnsi="宋体" w:eastAsia="宋体" w:cs="宋体"/>
          <w:bCs/>
          <w:szCs w:val="21"/>
        </w:rPr>
      </w:pPr>
      <w:r>
        <w:rPr>
          <w:rFonts w:hint="eastAsia" w:ascii="宋体" w:hAnsi="宋体" w:eastAsia="宋体" w:cs="宋体"/>
          <w:bCs/>
          <w:szCs w:val="21"/>
        </w:rPr>
        <w:t>是否邀请专家参加验收：</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14:paraId="2DCB3207">
      <w:pPr>
        <w:adjustRightInd w:val="0"/>
        <w:snapToGrid w:val="0"/>
        <w:spacing w:line="400" w:lineRule="exact"/>
        <w:ind w:firstLine="840" w:firstLineChars="400"/>
        <w:rPr>
          <w:rFonts w:ascii="宋体" w:hAnsi="宋体" w:eastAsia="宋体" w:cs="宋体"/>
          <w:bCs/>
          <w:szCs w:val="21"/>
        </w:rPr>
      </w:pPr>
      <w:r>
        <w:rPr>
          <w:rFonts w:hint="eastAsia" w:ascii="宋体" w:hAnsi="宋体" w:eastAsia="宋体" w:cs="宋体"/>
          <w:bCs/>
          <w:szCs w:val="21"/>
        </w:rPr>
        <w:t>是否邀请服务对象参加验收：</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14:paraId="35B16E0A">
      <w:pPr>
        <w:adjustRightInd w:val="0"/>
        <w:snapToGrid w:val="0"/>
        <w:spacing w:line="400" w:lineRule="exact"/>
        <w:ind w:firstLine="840" w:firstLineChars="400"/>
        <w:rPr>
          <w:rFonts w:ascii="宋体" w:hAnsi="宋体" w:eastAsia="宋体" w:cs="宋体"/>
          <w:bCs/>
          <w:szCs w:val="21"/>
        </w:rPr>
      </w:pPr>
      <w:r>
        <w:rPr>
          <w:rFonts w:hint="eastAsia" w:ascii="宋体" w:hAnsi="宋体" w:eastAsia="宋体" w:cs="宋体"/>
          <w:bCs/>
          <w:szCs w:val="21"/>
        </w:rPr>
        <w:t>是否邀请第三方检测机构参加验收：</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14:paraId="20B135D0">
      <w:pPr>
        <w:adjustRightInd w:val="0"/>
        <w:snapToGrid w:val="0"/>
        <w:spacing w:line="400" w:lineRule="exact"/>
        <w:ind w:firstLine="840" w:firstLineChars="400"/>
        <w:rPr>
          <w:rFonts w:ascii="宋体" w:hAnsi="宋体" w:eastAsia="宋体" w:cs="宋体"/>
          <w:bCs/>
          <w:szCs w:val="21"/>
        </w:rPr>
      </w:pPr>
      <w:r>
        <w:rPr>
          <w:rFonts w:hint="eastAsia" w:ascii="宋体" w:hAnsi="宋体" w:eastAsia="宋体" w:cs="宋体"/>
          <w:bCs/>
          <w:szCs w:val="21"/>
        </w:rPr>
        <w:t>是否进行抽查检测：</w:t>
      </w:r>
      <w:r>
        <w:rPr>
          <w:rFonts w:hint="eastAsia" w:ascii="宋体" w:hAnsi="宋体" w:eastAsia="宋体" w:cs="宋体"/>
          <w:szCs w:val="21"/>
        </w:rPr>
        <w:sym w:font="Wingdings" w:char="00A8"/>
      </w:r>
      <w:r>
        <w:rPr>
          <w:rFonts w:hint="eastAsia" w:ascii="宋体" w:hAnsi="宋体" w:eastAsia="宋体" w:cs="宋体"/>
          <w:bCs/>
          <w:szCs w:val="21"/>
        </w:rPr>
        <w:t>是，抽查比例：</w:t>
      </w:r>
      <w:r>
        <w:rPr>
          <w:rFonts w:hint="eastAsia" w:ascii="宋体" w:hAnsi="宋体" w:eastAsia="宋体" w:cs="宋体"/>
          <w:bCs/>
          <w:szCs w:val="21"/>
          <w:u w:val="single"/>
        </w:rPr>
        <w:t xml:space="preserve">        </w:t>
      </w:r>
      <w:r>
        <w:rPr>
          <w:rFonts w:hint="eastAsia" w:ascii="宋体" w:hAnsi="宋体" w:eastAsia="宋体" w:cs="宋体"/>
          <w:bCs/>
          <w:szCs w:val="21"/>
        </w:rPr>
        <w:t xml:space="preserve"> </w:t>
      </w:r>
      <w:r>
        <w:rPr>
          <w:rFonts w:hint="eastAsia" w:ascii="宋体" w:hAnsi="宋体" w:eastAsia="宋体" w:cs="宋体"/>
          <w:szCs w:val="21"/>
        </w:rPr>
        <w:sym w:font="Wingdings" w:char="00A8"/>
      </w:r>
      <w:r>
        <w:rPr>
          <w:rFonts w:hint="eastAsia" w:ascii="宋体" w:hAnsi="宋体" w:eastAsia="宋体" w:cs="宋体"/>
          <w:bCs/>
          <w:szCs w:val="21"/>
        </w:rPr>
        <w:t>否</w:t>
      </w:r>
    </w:p>
    <w:p w14:paraId="04AFB927">
      <w:pPr>
        <w:adjustRightInd w:val="0"/>
        <w:snapToGrid w:val="0"/>
        <w:spacing w:line="400" w:lineRule="exact"/>
        <w:ind w:firstLine="840" w:firstLineChars="400"/>
        <w:rPr>
          <w:rFonts w:ascii="宋体" w:hAnsi="宋体" w:eastAsia="宋体" w:cs="宋体"/>
          <w:bCs/>
          <w:szCs w:val="21"/>
          <w:u w:val="single"/>
        </w:rPr>
      </w:pPr>
      <w:r>
        <w:rPr>
          <w:rFonts w:hint="eastAsia" w:ascii="宋体" w:hAnsi="宋体" w:eastAsia="宋体" w:cs="宋体"/>
          <w:bCs/>
          <w:szCs w:val="21"/>
        </w:rPr>
        <w:t>是否存在破坏性检测：</w:t>
      </w:r>
      <w:r>
        <w:rPr>
          <w:rFonts w:hint="eastAsia" w:ascii="宋体" w:hAnsi="宋体" w:eastAsia="宋体" w:cs="宋体"/>
          <w:szCs w:val="21"/>
        </w:rPr>
        <w:sym w:font="Wingdings" w:char="00A8"/>
      </w:r>
      <w:r>
        <w:rPr>
          <w:rFonts w:hint="eastAsia" w:ascii="宋体" w:hAnsi="宋体" w:eastAsia="宋体" w:cs="宋体"/>
          <w:bCs/>
          <w:szCs w:val="21"/>
        </w:rPr>
        <w:t>是，</w:t>
      </w:r>
      <w:r>
        <w:rPr>
          <w:rFonts w:hint="eastAsia" w:ascii="宋体" w:hAnsi="宋体" w:eastAsia="宋体" w:cs="宋体"/>
          <w:bCs/>
          <w:szCs w:val="21"/>
          <w:u w:val="single"/>
        </w:rPr>
        <w:t>（应明确对被破坏的检测产品的处理方式）</w:t>
      </w:r>
    </w:p>
    <w:p w14:paraId="21514A97">
      <w:pPr>
        <w:adjustRightInd w:val="0"/>
        <w:snapToGrid w:val="0"/>
        <w:spacing w:line="400" w:lineRule="exact"/>
        <w:ind w:firstLine="840" w:firstLineChars="400"/>
        <w:rPr>
          <w:rFonts w:ascii="宋体" w:hAnsi="宋体" w:eastAsia="宋体" w:cs="宋体"/>
          <w:bCs/>
          <w:szCs w:val="21"/>
        </w:rPr>
      </w:pPr>
      <w:r>
        <w:rPr>
          <w:rFonts w:hint="eastAsia" w:ascii="宋体" w:hAnsi="宋体" w:eastAsia="宋体" w:cs="宋体"/>
          <w:bCs/>
          <w:szCs w:val="21"/>
        </w:rPr>
        <w:t xml:space="preserve">                    </w:t>
      </w:r>
      <w:r>
        <w:rPr>
          <w:rFonts w:hint="eastAsia" w:ascii="宋体" w:hAnsi="宋体" w:eastAsia="宋体" w:cs="宋体"/>
          <w:szCs w:val="21"/>
        </w:rPr>
        <w:sym w:font="Wingdings" w:char="00A8"/>
      </w:r>
      <w:r>
        <w:rPr>
          <w:rFonts w:hint="eastAsia" w:ascii="宋体" w:hAnsi="宋体" w:eastAsia="宋体" w:cs="宋体"/>
          <w:bCs/>
          <w:szCs w:val="21"/>
        </w:rPr>
        <w:t>否</w:t>
      </w:r>
    </w:p>
    <w:p w14:paraId="7118B0C3">
      <w:pPr>
        <w:adjustRightInd w:val="0"/>
        <w:snapToGrid w:val="0"/>
        <w:spacing w:line="400" w:lineRule="exact"/>
        <w:ind w:firstLine="840" w:firstLineChars="400"/>
        <w:rPr>
          <w:rFonts w:ascii="宋体" w:hAnsi="宋体" w:eastAsia="宋体" w:cs="宋体"/>
          <w:bCs/>
          <w:szCs w:val="21"/>
          <w:u w:val="single"/>
        </w:rPr>
      </w:pPr>
      <w:r>
        <w:rPr>
          <w:rFonts w:hint="eastAsia" w:ascii="宋体" w:hAnsi="宋体" w:eastAsia="宋体" w:cs="宋体"/>
          <w:bCs/>
          <w:szCs w:val="21"/>
        </w:rPr>
        <w:t>验收组织的其他事项：</w:t>
      </w:r>
      <w:r>
        <w:rPr>
          <w:rFonts w:hint="eastAsia" w:ascii="宋体" w:hAnsi="宋体" w:eastAsia="宋体" w:cs="宋体"/>
          <w:bCs/>
          <w:szCs w:val="21"/>
          <w:u w:val="single"/>
        </w:rPr>
        <w:t xml:space="preserve">                </w:t>
      </w:r>
    </w:p>
    <w:p w14:paraId="67C42E11">
      <w:pPr>
        <w:adjustRightInd w:val="0"/>
        <w:snapToGrid w:val="0"/>
        <w:spacing w:line="400" w:lineRule="exact"/>
        <w:ind w:firstLine="420" w:firstLineChars="200"/>
        <w:rPr>
          <w:rFonts w:ascii="宋体" w:hAnsi="宋体" w:eastAsia="宋体" w:cs="宋体"/>
          <w:bCs/>
          <w:szCs w:val="21"/>
          <w:u w:val="single"/>
        </w:rPr>
      </w:pPr>
      <w:r>
        <w:rPr>
          <w:rFonts w:hint="eastAsia" w:ascii="宋体" w:hAnsi="宋体" w:eastAsia="宋体" w:cs="宋体"/>
          <w:bCs/>
          <w:szCs w:val="21"/>
        </w:rPr>
        <w:t>（2）履约验收时间：</w:t>
      </w:r>
      <w:r>
        <w:rPr>
          <w:rFonts w:hint="eastAsia" w:ascii="宋体" w:hAnsi="宋体" w:eastAsia="宋体" w:cs="宋体"/>
          <w:bCs/>
          <w:szCs w:val="21"/>
          <w:u w:val="single"/>
        </w:rPr>
        <w:t xml:space="preserve">（计划于何时验收/供应商提出验收申请之日起   日内组织验收） </w:t>
      </w:r>
    </w:p>
    <w:p w14:paraId="24876FA5">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（3）履约验收方式：</w:t>
      </w:r>
      <w:r>
        <w:rPr>
          <w:rFonts w:hint="eastAsia" w:ascii="宋体" w:hAnsi="宋体" w:eastAsia="宋体" w:cs="宋体"/>
          <w:szCs w:val="21"/>
        </w:rPr>
        <w:sym w:font="Wingdings" w:char="00A8"/>
      </w:r>
      <w:r>
        <w:rPr>
          <w:rFonts w:hint="eastAsia" w:ascii="宋体" w:hAnsi="宋体" w:eastAsia="宋体" w:cs="宋体"/>
          <w:bCs/>
          <w:szCs w:val="21"/>
        </w:rPr>
        <w:t xml:space="preserve">一次性验收         </w:t>
      </w:r>
    </w:p>
    <w:p w14:paraId="4E9F7392">
      <w:pPr>
        <w:adjustRightInd w:val="0"/>
        <w:snapToGrid w:val="0"/>
        <w:spacing w:line="400" w:lineRule="exact"/>
        <w:rPr>
          <w:rFonts w:ascii="宋体" w:hAnsi="宋体" w:eastAsia="宋体" w:cs="宋体"/>
          <w:bCs/>
          <w:szCs w:val="21"/>
        </w:rPr>
      </w:pPr>
      <w:r>
        <w:rPr>
          <w:rFonts w:hint="eastAsia" w:ascii="宋体" w:hAnsi="宋体" w:eastAsia="宋体" w:cs="宋体"/>
          <w:bCs/>
          <w:szCs w:val="21"/>
        </w:rPr>
        <w:t xml:space="preserve">                       </w:t>
      </w:r>
      <w:r>
        <w:rPr>
          <w:rFonts w:hint="eastAsia" w:ascii="宋体" w:hAnsi="宋体" w:eastAsia="宋体" w:cs="宋体"/>
          <w:szCs w:val="21"/>
        </w:rPr>
        <w:sym w:font="Wingdings" w:char="00A8"/>
      </w:r>
      <w:r>
        <w:rPr>
          <w:rFonts w:hint="eastAsia" w:ascii="宋体" w:hAnsi="宋体" w:eastAsia="宋体" w:cs="宋体"/>
          <w:bCs/>
          <w:szCs w:val="21"/>
        </w:rPr>
        <w:t>分期/分项验收：</w:t>
      </w:r>
      <w:r>
        <w:rPr>
          <w:rFonts w:hint="eastAsia" w:ascii="宋体" w:hAnsi="宋体" w:eastAsia="宋体" w:cs="宋体"/>
          <w:bCs/>
          <w:szCs w:val="21"/>
          <w:u w:val="single"/>
        </w:rPr>
        <w:t xml:space="preserve"> （应明确分期/分项验收的工作安排）  </w:t>
      </w:r>
    </w:p>
    <w:p w14:paraId="746DC66B">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（4）履约验收程序：</w:t>
      </w:r>
      <w:r>
        <w:rPr>
          <w:rFonts w:hint="eastAsia" w:ascii="宋体" w:hAnsi="宋体" w:eastAsia="宋体" w:cs="宋体"/>
          <w:bCs/>
          <w:szCs w:val="21"/>
          <w:u w:val="single"/>
        </w:rPr>
        <w:t xml:space="preserve">                                         </w:t>
      </w:r>
    </w:p>
    <w:p w14:paraId="36D5557E">
      <w:pPr>
        <w:adjustRightInd w:val="0"/>
        <w:snapToGrid w:val="0"/>
        <w:spacing w:line="400" w:lineRule="exact"/>
        <w:ind w:firstLine="420" w:firstLineChars="200"/>
        <w:rPr>
          <w:rFonts w:ascii="宋体" w:hAnsi="宋体" w:eastAsia="宋体" w:cs="宋体"/>
          <w:bCs/>
          <w:szCs w:val="21"/>
          <w:u w:val="single"/>
        </w:rPr>
      </w:pPr>
      <w:r>
        <w:rPr>
          <w:rFonts w:hint="eastAsia" w:ascii="宋体" w:hAnsi="宋体" w:eastAsia="宋体" w:cs="宋体"/>
          <w:bCs/>
          <w:szCs w:val="21"/>
        </w:rPr>
        <w:t>（5）履约验收的内容：</w:t>
      </w:r>
      <w:r>
        <w:rPr>
          <w:rFonts w:hint="eastAsia" w:ascii="宋体" w:hAnsi="宋体" w:eastAsia="宋体" w:cs="宋体"/>
          <w:bCs/>
          <w:szCs w:val="21"/>
          <w:u w:val="single"/>
        </w:rPr>
        <w:t xml:space="preserve"> （应当包括每一项技术和商务要求的履约情况，特别是落实政府采购扶持中小企业，支持绿色发展和乡村振兴等政策情况）                                      </w:t>
      </w:r>
    </w:p>
    <w:p w14:paraId="3471E6A3">
      <w:pPr>
        <w:adjustRightInd w:val="0"/>
        <w:snapToGrid w:val="0"/>
        <w:spacing w:line="400" w:lineRule="exact"/>
        <w:ind w:firstLine="420" w:firstLineChars="200"/>
        <w:rPr>
          <w:rFonts w:ascii="宋体" w:hAnsi="宋体" w:eastAsia="宋体" w:cs="宋体"/>
          <w:bCs/>
          <w:szCs w:val="21"/>
          <w:u w:val="single"/>
        </w:rPr>
      </w:pPr>
      <w:r>
        <w:rPr>
          <w:rFonts w:hint="eastAsia" w:ascii="宋体" w:hAnsi="宋体" w:eastAsia="宋体" w:cs="宋体"/>
          <w:bCs/>
          <w:szCs w:val="21"/>
        </w:rPr>
        <w:t>（6）履约验收标准：</w:t>
      </w:r>
      <w:r>
        <w:rPr>
          <w:rFonts w:hint="eastAsia" w:ascii="宋体" w:hAnsi="宋体" w:eastAsia="宋体" w:cs="宋体"/>
          <w:bCs/>
          <w:szCs w:val="21"/>
          <w:u w:val="single"/>
        </w:rPr>
        <w:t xml:space="preserve">                                         </w:t>
      </w:r>
    </w:p>
    <w:p w14:paraId="689B3DF2">
      <w:pPr>
        <w:pStyle w:val="30"/>
        <w:ind w:firstLine="420"/>
        <w:rPr>
          <w:rFonts w:ascii="宋体" w:hAnsi="宋体" w:eastAsia="宋体" w:cs="宋体"/>
          <w:sz w:val="21"/>
        </w:rPr>
      </w:pPr>
      <w:r>
        <w:rPr>
          <w:rFonts w:hint="eastAsia" w:ascii="宋体" w:hAnsi="宋体" w:eastAsia="宋体" w:cs="宋体"/>
          <w:bCs/>
          <w:sz w:val="21"/>
        </w:rPr>
        <w:t>（7）是否以采购活动中供应商提供的样品作为参考：</w:t>
      </w:r>
      <w:r>
        <w:rPr>
          <w:rFonts w:hint="eastAsia" w:ascii="宋体" w:hAnsi="宋体" w:eastAsia="宋体" w:cs="宋体"/>
          <w:sz w:val="21"/>
        </w:rPr>
        <w:sym w:font="Wingdings" w:char="00A8"/>
      </w:r>
      <w:r>
        <w:rPr>
          <w:rFonts w:hint="eastAsia" w:ascii="宋体" w:hAnsi="宋体" w:eastAsia="宋体" w:cs="宋体"/>
          <w:bCs/>
          <w:sz w:val="21"/>
        </w:rPr>
        <w:t xml:space="preserve">是  </w:t>
      </w:r>
      <w:r>
        <w:rPr>
          <w:rFonts w:hint="eastAsia" w:ascii="宋体" w:hAnsi="宋体" w:eastAsia="宋体" w:cs="宋体"/>
          <w:sz w:val="21"/>
        </w:rPr>
        <w:sym w:font="Wingdings" w:char="00A8"/>
      </w:r>
      <w:r>
        <w:rPr>
          <w:rFonts w:hint="eastAsia" w:ascii="宋体" w:hAnsi="宋体" w:eastAsia="宋体" w:cs="宋体"/>
          <w:bCs/>
          <w:sz w:val="21"/>
        </w:rPr>
        <w:t>否</w:t>
      </w:r>
    </w:p>
    <w:p w14:paraId="0852FF9E">
      <w:pPr>
        <w:adjustRightInd w:val="0"/>
        <w:snapToGrid w:val="0"/>
        <w:spacing w:line="400" w:lineRule="exact"/>
        <w:ind w:firstLine="420" w:firstLineChars="200"/>
        <w:rPr>
          <w:rFonts w:ascii="宋体" w:hAnsi="宋体" w:eastAsia="宋体" w:cs="宋体"/>
          <w:bCs/>
          <w:szCs w:val="21"/>
          <w:u w:val="single"/>
        </w:rPr>
      </w:pPr>
      <w:r>
        <w:rPr>
          <w:rFonts w:hint="eastAsia" w:ascii="宋体" w:hAnsi="宋体" w:eastAsia="宋体" w:cs="宋体"/>
          <w:bCs/>
          <w:szCs w:val="21"/>
        </w:rPr>
        <w:t>（8）履约验收其他事项：</w:t>
      </w:r>
      <w:r>
        <w:rPr>
          <w:rFonts w:hint="eastAsia" w:ascii="宋体" w:hAnsi="宋体" w:eastAsia="宋体" w:cs="宋体"/>
          <w:bCs/>
          <w:szCs w:val="21"/>
          <w:u w:val="single"/>
        </w:rPr>
        <w:t xml:space="preserve">      （产权过户登记等）          </w:t>
      </w:r>
    </w:p>
    <w:p w14:paraId="378D25AE">
      <w:pPr>
        <w:numPr>
          <w:ilvl w:val="0"/>
          <w:numId w:val="8"/>
        </w:num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组成合同的文件</w:t>
      </w:r>
    </w:p>
    <w:p w14:paraId="2C1F302C">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本协议书与下列文件一起构成合同文件，如下述文件之间有任何抵触、矛盾或歧义，应按以下顺序解释：</w:t>
      </w:r>
    </w:p>
    <w:p w14:paraId="502756EC">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（1）政府采购合同协议书及其变更、补充协议</w:t>
      </w:r>
    </w:p>
    <w:p w14:paraId="59A3923E">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（2）政府采购合同专用条款</w:t>
      </w:r>
    </w:p>
    <w:p w14:paraId="5D122FB0">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（3）政府采购合同通用条款</w:t>
      </w:r>
    </w:p>
    <w:p w14:paraId="1F8469BA">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（4）中标（成交）通知书</w:t>
      </w:r>
    </w:p>
    <w:p w14:paraId="0E2A50AE">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（5）投标（响应）文件</w:t>
      </w:r>
    </w:p>
    <w:p w14:paraId="4480211D">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（6）采购文件</w:t>
      </w:r>
    </w:p>
    <w:p w14:paraId="1EC91E82">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（7）有关技术文件，图纸</w:t>
      </w:r>
    </w:p>
    <w:p w14:paraId="1090F6CA">
      <w:pPr>
        <w:pStyle w:val="30"/>
        <w:ind w:firstLine="420"/>
        <w:rPr>
          <w:rFonts w:ascii="宋体" w:hAnsi="宋体" w:eastAsia="宋体" w:cs="宋体"/>
          <w:kern w:val="2"/>
          <w:sz w:val="21"/>
        </w:rPr>
      </w:pPr>
      <w:r>
        <w:rPr>
          <w:rFonts w:hint="eastAsia" w:ascii="宋体" w:hAnsi="宋体" w:eastAsia="宋体" w:cs="宋体"/>
          <w:sz w:val="21"/>
        </w:rPr>
        <w:t>（8）</w:t>
      </w:r>
      <w:r>
        <w:rPr>
          <w:rFonts w:hint="eastAsia" w:ascii="宋体" w:hAnsi="宋体" w:eastAsia="宋体" w:cs="宋体"/>
          <w:color w:val="000000" w:themeColor="text1"/>
          <w:kern w:val="2"/>
          <w:sz w:val="21"/>
          <w14:textFill>
            <w14:solidFill>
              <w14:schemeClr w14:val="tx1"/>
            </w14:solidFill>
          </w14:textFill>
        </w:rPr>
        <w:t>国家法律、行政法规和规章制度规定或合同约定的作为合同组成部分的其他文件</w:t>
      </w:r>
    </w:p>
    <w:p w14:paraId="536A059F">
      <w:pPr>
        <w:numPr>
          <w:ilvl w:val="0"/>
          <w:numId w:val="8"/>
        </w:num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合同生效</w:t>
      </w:r>
    </w:p>
    <w:p w14:paraId="69E57B53">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本合同自</w:t>
      </w:r>
      <w:r>
        <w:rPr>
          <w:rFonts w:hint="eastAsia" w:ascii="宋体" w:hAnsi="宋体" w:eastAsia="宋体" w:cs="宋体"/>
          <w:szCs w:val="21"/>
          <w:u w:val="single"/>
        </w:rPr>
        <w:t xml:space="preserve">                             </w:t>
      </w:r>
      <w:r>
        <w:rPr>
          <w:rFonts w:hint="eastAsia" w:ascii="宋体" w:hAnsi="宋体" w:eastAsia="宋体" w:cs="宋体"/>
          <w:szCs w:val="21"/>
        </w:rPr>
        <w:t>生效。</w:t>
      </w:r>
    </w:p>
    <w:p w14:paraId="5F6852BD">
      <w:pPr>
        <w:numPr>
          <w:ilvl w:val="0"/>
          <w:numId w:val="8"/>
        </w:num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合同份数</w:t>
      </w:r>
    </w:p>
    <w:p w14:paraId="6203F79D">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本合同一式</w:t>
      </w:r>
      <w:r>
        <w:rPr>
          <w:rFonts w:hint="eastAsia" w:ascii="宋体" w:hAnsi="宋体" w:eastAsia="宋体" w:cs="宋体"/>
          <w:szCs w:val="21"/>
          <w:u w:val="single"/>
        </w:rPr>
        <w:t xml:space="preserve">    </w:t>
      </w:r>
      <w:r>
        <w:rPr>
          <w:rFonts w:hint="eastAsia" w:ascii="宋体" w:hAnsi="宋体" w:eastAsia="宋体" w:cs="宋体"/>
          <w:szCs w:val="21"/>
        </w:rPr>
        <w:t>份，甲方执</w:t>
      </w:r>
      <w:r>
        <w:rPr>
          <w:rFonts w:hint="eastAsia" w:ascii="宋体" w:hAnsi="宋体" w:eastAsia="宋体" w:cs="宋体"/>
          <w:szCs w:val="21"/>
          <w:u w:val="single"/>
        </w:rPr>
        <w:t xml:space="preserve">    </w:t>
      </w:r>
      <w:r>
        <w:rPr>
          <w:rFonts w:hint="eastAsia" w:ascii="宋体" w:hAnsi="宋体" w:eastAsia="宋体" w:cs="宋体"/>
          <w:szCs w:val="21"/>
        </w:rPr>
        <w:t>份，乙方执</w:t>
      </w:r>
      <w:r>
        <w:rPr>
          <w:rFonts w:hint="eastAsia" w:ascii="宋体" w:hAnsi="宋体" w:eastAsia="宋体" w:cs="宋体"/>
          <w:szCs w:val="21"/>
          <w:u w:val="single"/>
        </w:rPr>
        <w:t xml:space="preserve">    </w:t>
      </w:r>
      <w:r>
        <w:rPr>
          <w:rFonts w:hint="eastAsia" w:ascii="宋体" w:hAnsi="宋体" w:eastAsia="宋体" w:cs="宋体"/>
          <w:szCs w:val="21"/>
        </w:rPr>
        <w:t>份，均具有同等法律效力。</w:t>
      </w:r>
    </w:p>
    <w:p w14:paraId="2AE92D4C">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132830B9">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472B2732">
      <w:pPr>
        <w:adjustRightInd w:val="0"/>
        <w:snapToGrid w:val="0"/>
        <w:spacing w:line="400" w:lineRule="exact"/>
        <w:ind w:firstLine="420" w:firstLineChars="200"/>
        <w:rPr>
          <w:rFonts w:ascii="宋体" w:hAnsi="宋体" w:eastAsia="宋体" w:cs="宋体"/>
        </w:rPr>
      </w:pPr>
      <w:r>
        <w:rPr>
          <w:rFonts w:hint="eastAsia" w:ascii="宋体" w:hAnsi="宋体" w:eastAsia="宋体" w:cs="宋体"/>
          <w:szCs w:val="21"/>
        </w:rPr>
        <w:t>附件：具体标的及其技术要求和商务要求、联合协议、分包意向协议等。</w:t>
      </w:r>
    </w:p>
    <w:p w14:paraId="6A42AEE2">
      <w:pPr>
        <w:pStyle w:val="43"/>
        <w:spacing w:line="400" w:lineRule="exact"/>
        <w:rPr>
          <w:rFonts w:ascii="宋体" w:hAnsi="宋体" w:eastAsia="宋体" w:cs="宋体"/>
        </w:rPr>
      </w:pPr>
    </w:p>
    <w:p w14:paraId="155D9B5C">
      <w:pPr>
        <w:pStyle w:val="3"/>
        <w:spacing w:line="400" w:lineRule="exact"/>
        <w:rPr>
          <w:rFonts w:ascii="宋体" w:hAnsi="宋体" w:eastAsia="宋体" w:cs="宋体"/>
          <w:b w:val="0"/>
          <w:bCs w:val="0"/>
          <w:sz w:val="21"/>
          <w:szCs w:val="21"/>
        </w:rPr>
      </w:pPr>
      <w:r>
        <w:rPr>
          <w:rFonts w:hint="eastAsia" w:ascii="宋体" w:hAnsi="宋体" w:eastAsia="宋体" w:cs="宋体"/>
        </w:rPr>
        <w:t xml:space="preserve">   </w:t>
      </w:r>
    </w:p>
    <w:p w14:paraId="60365FBB">
      <w:pPr>
        <w:rPr>
          <w:rFonts w:ascii="宋体" w:hAnsi="宋体" w:eastAsia="宋体" w:cs="宋体"/>
        </w:rPr>
      </w:pPr>
      <w:r>
        <w:rPr>
          <w:rFonts w:hint="eastAsia" w:ascii="宋体" w:hAnsi="宋体" w:eastAsia="宋体" w:cs="宋体"/>
        </w:rPr>
        <w:br w:type="page"/>
      </w:r>
    </w:p>
    <w:p w14:paraId="40945248">
      <w:pPr>
        <w:pStyle w:val="43"/>
        <w:rPr>
          <w:rFonts w:ascii="宋体" w:hAnsi="宋体" w:eastAsia="宋体" w:cs="宋体"/>
        </w:rPr>
      </w:pPr>
    </w:p>
    <w:p w14:paraId="363ECF99">
      <w:pPr>
        <w:pStyle w:val="30"/>
        <w:rPr>
          <w:rFonts w:hint="eastAsia" w:asciiTheme="minorEastAsia" w:hAnsiTheme="minorEastAsia" w:eastAsiaTheme="minorEastAsia" w:cstheme="minorEastAsia"/>
          <w:sz w:val="24"/>
          <w:szCs w:val="24"/>
        </w:rPr>
      </w:pPr>
      <w:r>
        <w:rPr>
          <w:rFonts w:hint="eastAsia" w:ascii="宋体" w:hAnsi="宋体" w:eastAsia="宋体" w:cs="宋体"/>
          <w:sz w:val="21"/>
          <w:szCs w:val="21"/>
          <w:u w:val="single"/>
        </w:rPr>
        <w:br w:type="page"/>
      </w:r>
    </w:p>
    <w:p w14:paraId="5F15332B">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z w:val="24"/>
          <w:szCs w:val="24"/>
        </w:rPr>
        <w:sectPr>
          <w:headerReference r:id="rId7" w:type="default"/>
          <w:footerReference r:id="rId8" w:type="default"/>
          <w:pgSz w:w="11907" w:h="16840"/>
          <w:pgMar w:top="1440" w:right="1800" w:bottom="1440" w:left="1800" w:header="878" w:footer="886" w:gutter="0"/>
          <w:pgNumType w:fmt="decimal"/>
          <w:cols w:space="720" w:num="1"/>
        </w:sectPr>
      </w:pPr>
    </w:p>
    <w:p w14:paraId="11A15119">
      <w:pPr>
        <w:pStyle w:val="30"/>
        <w:ind w:left="0" w:leftChars="0" w:firstLine="0" w:firstLineChars="0"/>
        <w:jc w:val="center"/>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六</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投标文件格式</w:t>
      </w:r>
    </w:p>
    <w:p w14:paraId="5EBEDFF5">
      <w:pPr>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sz w:val="21"/>
        </w:rPr>
      </w:pPr>
    </w:p>
    <w:p w14:paraId="61F973A0">
      <w:pPr>
        <w:pStyle w:val="6"/>
        <w:keepNext w:val="0"/>
        <w:keepLines w:val="0"/>
        <w:pageBreakBefore w:val="0"/>
        <w:widowControl/>
        <w:kinsoku/>
        <w:wordWrap w:val="0"/>
        <w:overflowPunct/>
        <w:topLinePunct w:val="0"/>
        <w:autoSpaceDE w:val="0"/>
        <w:autoSpaceDN w:val="0"/>
        <w:bidi w:val="0"/>
        <w:adjustRightInd w:val="0"/>
        <w:snapToGrid w:val="0"/>
        <w:spacing w:before="78" w:line="360" w:lineRule="auto"/>
        <w:ind w:left="154"/>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投标人编制文件须知</w:t>
      </w:r>
    </w:p>
    <w:p w14:paraId="12DB991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1.</w:t>
      </w:r>
      <w:r>
        <w:rPr>
          <w:rFonts w:hint="eastAsia" w:asciiTheme="minorEastAsia" w:hAnsiTheme="minorEastAsia" w:eastAsiaTheme="minorEastAsia" w:cstheme="minorEastAsia"/>
          <w:spacing w:val="-3"/>
          <w:sz w:val="24"/>
          <w:szCs w:val="24"/>
        </w:rPr>
        <w:t>投标人按照本部分的顺序编制投标文件（资格证明文件）、投标</w:t>
      </w:r>
      <w:r>
        <w:rPr>
          <w:rFonts w:hint="eastAsia" w:asciiTheme="minorEastAsia" w:hAnsiTheme="minorEastAsia" w:eastAsiaTheme="minorEastAsia" w:cstheme="minorEastAsia"/>
          <w:spacing w:val="-4"/>
          <w:sz w:val="24"/>
          <w:szCs w:val="24"/>
        </w:rPr>
        <w:t>文件（商务技术文</w:t>
      </w:r>
      <w:r>
        <w:rPr>
          <w:rFonts w:hint="eastAsia" w:asciiTheme="minorEastAsia" w:hAnsiTheme="minorEastAsia" w:eastAsiaTheme="minorEastAsia" w:cstheme="minorEastAsia"/>
          <w:spacing w:val="-8"/>
          <w:sz w:val="24"/>
          <w:szCs w:val="24"/>
        </w:rPr>
        <w:t>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14:paraId="3BD2733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2.</w:t>
      </w:r>
      <w:r>
        <w:rPr>
          <w:rFonts w:hint="eastAsia" w:asciiTheme="minorEastAsia" w:hAnsiTheme="minorEastAsia" w:eastAsiaTheme="minorEastAsia" w:cstheme="minorEastAsia"/>
          <w:spacing w:val="-1"/>
          <w:sz w:val="24"/>
          <w:szCs w:val="24"/>
        </w:rPr>
        <w:t>全部声明和问题的回答及所附材料必须是真实的、准确的和完整</w:t>
      </w:r>
      <w:r>
        <w:rPr>
          <w:rFonts w:hint="eastAsia" w:asciiTheme="minorEastAsia" w:hAnsiTheme="minorEastAsia" w:eastAsiaTheme="minorEastAsia" w:cstheme="minorEastAsia"/>
          <w:spacing w:val="-2"/>
          <w:sz w:val="24"/>
          <w:szCs w:val="24"/>
        </w:rPr>
        <w:t>的。</w:t>
      </w:r>
    </w:p>
    <w:p w14:paraId="1FEFD423">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sectPr>
          <w:headerReference r:id="rId9" w:type="default"/>
          <w:footerReference r:id="rId10" w:type="default"/>
          <w:pgSz w:w="11907" w:h="16840"/>
          <w:pgMar w:top="1440" w:right="1800" w:bottom="1440" w:left="1800" w:header="878" w:footer="886" w:gutter="0"/>
          <w:pgNumType w:fmt="decimal"/>
          <w:cols w:space="720" w:num="1"/>
        </w:sectPr>
      </w:pPr>
    </w:p>
    <w:p w14:paraId="1BE7C901">
      <w:pPr>
        <w:pStyle w:val="6"/>
        <w:keepNext w:val="0"/>
        <w:keepLines w:val="0"/>
        <w:pageBreakBefore w:val="0"/>
        <w:kinsoku/>
        <w:wordWrap w:val="0"/>
        <w:overflowPunct/>
        <w:topLinePunct w:val="0"/>
        <w:bidi w:val="0"/>
        <w:spacing w:before="78" w:line="360" w:lineRule="auto"/>
        <w:ind w:left="13"/>
        <w:jc w:val="both"/>
        <w:outlineLvl w:val="2"/>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一、资格证明文件格式</w:t>
      </w:r>
    </w:p>
    <w:p w14:paraId="08219FC4">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1.开标一览表格式</w:t>
      </w:r>
    </w:p>
    <w:p w14:paraId="1025372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520F18B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开标一览表</w:t>
      </w:r>
    </w:p>
    <w:tbl>
      <w:tblPr>
        <w:tblStyle w:val="21"/>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26"/>
      </w:tblGrid>
      <w:tr w14:paraId="28877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3B9A89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1C1BE8F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5883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78E23F5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252EDAD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43990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8D22CD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600CD29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7738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1C4E90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投标报价</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3793C1C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snapToGrid w:val="0"/>
                <w:color w:val="000000"/>
                <w:spacing w:val="-8"/>
                <w:kern w:val="0"/>
                <w:sz w:val="24"/>
                <w:szCs w:val="24"/>
                <w:lang w:val="en-US" w:eastAsia="zh-CN" w:bidi="ar-SA"/>
              </w:rPr>
              <w:t>大写：（￥：）</w:t>
            </w:r>
          </w:p>
        </w:tc>
      </w:tr>
      <w:tr w14:paraId="5F2C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49BC45DC">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质量要求</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1348E9B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44E4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3E0DC61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交货安装时间</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3ED691B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3358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6D532B44">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交货安装地点</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1C9602E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1B0E4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5F313D7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免费质保期</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379E4DC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snapToGrid w:val="0"/>
                <w:color w:val="000000"/>
                <w:spacing w:val="-8"/>
                <w:kern w:val="0"/>
                <w:sz w:val="24"/>
                <w:szCs w:val="24"/>
                <w:lang w:val="en-US" w:eastAsia="zh-CN" w:bidi="ar-SA"/>
              </w:rPr>
              <w:t>年</w:t>
            </w:r>
          </w:p>
        </w:tc>
      </w:tr>
      <w:tr w14:paraId="56BA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2F34CC7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备注</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41A340B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p w14:paraId="350C531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bl>
    <w:p w14:paraId="45CDE15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注：“开标一览表”报总价。</w:t>
      </w:r>
    </w:p>
    <w:p w14:paraId="59E81F6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投标人（公章）：法定代表人（负责人）或授权代表（签字）：</w:t>
      </w:r>
    </w:p>
    <w:p w14:paraId="229742F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5548DEE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sectPr>
          <w:pgSz w:w="11907" w:h="16840"/>
          <w:pgMar w:top="1440" w:right="1800" w:bottom="1440" w:left="1800" w:header="851" w:footer="992" w:gutter="0"/>
          <w:pgNumType w:fmt="decimal"/>
          <w:cols w:space="720" w:num="1"/>
        </w:sectPr>
      </w:pPr>
    </w:p>
    <w:p w14:paraId="33DEC22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lang w:eastAsia="zh-CN"/>
        </w:rPr>
        <w:t>授权书格式</w:t>
      </w:r>
    </w:p>
    <w:p w14:paraId="0170673B">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b/>
          <w:sz w:val="24"/>
          <w:szCs w:val="24"/>
          <w:lang w:eastAsia="zh-CN"/>
        </w:rPr>
      </w:pPr>
    </w:p>
    <w:p w14:paraId="5FBDD96D">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法定代表人（负责人）授权委托书</w:t>
      </w:r>
    </w:p>
    <w:p w14:paraId="0B15EEE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14:paraId="0E8D67F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w:t>
      </w:r>
    </w:p>
    <w:p w14:paraId="3F85FFD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地址：法定代表人（负责人）：</w:t>
      </w:r>
    </w:p>
    <w:p w14:paraId="3DAE6E0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授权代表姓名：性别：出生日期：年月日</w:t>
      </w:r>
    </w:p>
    <w:p w14:paraId="391F213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所在单位：职务：</w:t>
      </w:r>
    </w:p>
    <w:p w14:paraId="29C9A2E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身份证：现住：</w:t>
      </w:r>
    </w:p>
    <w:p w14:paraId="57060F2E">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兹委托参加项目事宜，并授权其全权办理以下事宜：</w:t>
      </w:r>
    </w:p>
    <w:p w14:paraId="1E22E24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1、参加投标活动；</w:t>
      </w:r>
    </w:p>
    <w:p w14:paraId="122C31A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2、签订与中标事宜有关的合同。</w:t>
      </w:r>
    </w:p>
    <w:p w14:paraId="7E3D2A1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授权代表在办理上述事宜过程中以其自己的名义所签署的所有文件我均予以承认。</w:t>
      </w:r>
    </w:p>
    <w:p w14:paraId="6E0BBEA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授权代表无转委权。</w:t>
      </w:r>
    </w:p>
    <w:p w14:paraId="403B3EF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委托期限：至上述事宜处理完毕止。</w:t>
      </w:r>
    </w:p>
    <w:p w14:paraId="22F8BA32">
      <w:pPr>
        <w:pStyle w:val="20"/>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lang w:eastAsia="zh-CN"/>
        </w:rPr>
      </w:pPr>
    </w:p>
    <w:p w14:paraId="171B910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委托单位（公章）：</w:t>
      </w:r>
    </w:p>
    <w:p w14:paraId="2B0E865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法定代表人（负责人）（签字）：</w:t>
      </w:r>
    </w:p>
    <w:p w14:paraId="78A07811">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授权代表（签字）：</w:t>
      </w:r>
    </w:p>
    <w:p w14:paraId="67EA104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D47E89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14:paraId="07F7FAA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附：法定代表人（负责人）的身份证及授权代表的身份证</w:t>
      </w:r>
    </w:p>
    <w:p w14:paraId="3FBFD0C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31281F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B52573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4D8EC0F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66BBACA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26C6A8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786D3A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6676FF8">
      <w:pPr>
        <w:keepNext w:val="0"/>
        <w:keepLines w:val="0"/>
        <w:pageBreakBefore w:val="0"/>
        <w:kinsoku/>
        <w:wordWrap w:val="0"/>
        <w:overflowPunct/>
        <w:topLinePunct w:val="0"/>
        <w:bidi w:val="0"/>
        <w:spacing w:line="360" w:lineRule="auto"/>
        <w:jc w:val="both"/>
        <w:rPr>
          <w:rFonts w:hint="eastAsia" w:ascii="仿宋_GB2312" w:hAnsi="宋体" w:eastAsia="仿宋_GB2312"/>
          <w:sz w:val="28"/>
          <w:szCs w:val="28"/>
          <w:lang w:eastAsia="zh-CN"/>
        </w:rPr>
      </w:pP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sz w:val="24"/>
          <w:szCs w:val="24"/>
          <w:lang w:eastAsia="zh-CN"/>
        </w:rPr>
        <w:t>资格声明函格式</w:t>
      </w:r>
    </w:p>
    <w:p w14:paraId="304EC81B">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p>
    <w:p w14:paraId="504890CD">
      <w:pPr>
        <w:keepNext w:val="0"/>
        <w:keepLines w:val="0"/>
        <w:pageBreakBefore w:val="0"/>
        <w:kinsoku/>
        <w:wordWrap w:val="0"/>
        <w:overflowPunct/>
        <w:topLinePunct w:val="0"/>
        <w:bidi w:val="0"/>
        <w:spacing w:line="360" w:lineRule="auto"/>
        <w:jc w:val="center"/>
        <w:rPr>
          <w:rFonts w:hint="eastAsia" w:ascii="仿宋_GB2312" w:hAnsi="宋体" w:eastAsia="仿宋_GB2312"/>
          <w:sz w:val="28"/>
          <w:szCs w:val="28"/>
          <w:lang w:eastAsia="zh-CN"/>
        </w:rPr>
      </w:pPr>
      <w:r>
        <w:rPr>
          <w:rFonts w:hint="eastAsia" w:asciiTheme="minorEastAsia" w:hAnsiTheme="minorEastAsia" w:eastAsiaTheme="minorEastAsia" w:cstheme="minorEastAsia"/>
          <w:b/>
          <w:sz w:val="24"/>
          <w:szCs w:val="24"/>
          <w:lang w:eastAsia="zh-CN"/>
        </w:rPr>
        <w:t>关于资格的声明函</w:t>
      </w:r>
    </w:p>
    <w:p w14:paraId="517F191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val="en-US" w:eastAsia="zh-CN"/>
        </w:rPr>
      </w:pPr>
    </w:p>
    <w:p w14:paraId="249975F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14:paraId="7DD17402">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关于贵方编号为公开招标，本签字人愿意参加投标，提供“采购内容及要求”中规定的服务，并证明提交的下列文件和说明是准确的真实的。</w:t>
      </w:r>
    </w:p>
    <w:p w14:paraId="07FC989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1、由市场监管局签发的我方工商营业执照副本。</w:t>
      </w:r>
    </w:p>
    <w:p w14:paraId="0A41705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2、法定代表人（负责人）授权书。</w:t>
      </w:r>
    </w:p>
    <w:p w14:paraId="6E0D909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3、法定代表人（负责人）或授权代表身份证（答疑时出示原件）。</w:t>
      </w:r>
    </w:p>
    <w:p w14:paraId="0B6425E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4、公司地址、联系电话、传真等。</w:t>
      </w:r>
    </w:p>
    <w:p w14:paraId="21C2154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5、法定代表人（负责人）或授权代表的联系电话。</w:t>
      </w:r>
    </w:p>
    <w:p w14:paraId="4A91E07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6、招标项目要求的其他文件。</w:t>
      </w:r>
    </w:p>
    <w:p w14:paraId="2CEB40C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7、本签字人确认资格文件中的说明是真实的、准确的。</w:t>
      </w:r>
    </w:p>
    <w:p w14:paraId="17023006">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3538767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683837A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投标人（公章）：法定代表人（负责人）或授权代表（签字）：</w:t>
      </w:r>
    </w:p>
    <w:p w14:paraId="221366E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20EED32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日期</w:t>
      </w:r>
      <w:r>
        <w:rPr>
          <w:rFonts w:hint="eastAsia" w:asciiTheme="minorEastAsia" w:hAnsiTheme="minorEastAsia" w:eastAsiaTheme="minorEastAsia" w:cstheme="minorEastAsia"/>
          <w:spacing w:val="-3"/>
          <w:sz w:val="24"/>
          <w:szCs w:val="24"/>
          <w:lang w:eastAsia="zh-CN"/>
        </w:rPr>
        <w:t>：</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8744F1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rPr>
      </w:pPr>
    </w:p>
    <w:p w14:paraId="4B77133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0" w:firstLineChars="200"/>
        <w:jc w:val="both"/>
        <w:textAlignment w:val="baseline"/>
        <w:rPr>
          <w:rFonts w:hint="eastAsia" w:asciiTheme="minorEastAsia" w:hAnsiTheme="minorEastAsia" w:eastAsiaTheme="minorEastAsia" w:cstheme="minorEastAsia"/>
          <w:sz w:val="24"/>
          <w:szCs w:val="24"/>
          <w:lang w:val="en-US" w:eastAsia="zh-CN"/>
        </w:rPr>
        <w:sectPr>
          <w:headerReference r:id="rId11" w:type="default"/>
          <w:footerReference r:id="rId12"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bCs/>
          <w:spacing w:val="-3"/>
          <w:sz w:val="24"/>
          <w:szCs w:val="24"/>
        </w:rPr>
        <w:t>说明：供应商承诺不实的，依据《</w:t>
      </w:r>
      <w:r>
        <w:rPr>
          <w:rFonts w:hint="eastAsia" w:asciiTheme="minorEastAsia" w:hAnsiTheme="minorEastAsia" w:eastAsiaTheme="minorEastAsia" w:cstheme="minorEastAsia"/>
          <w:b/>
          <w:bCs/>
          <w:spacing w:val="-3"/>
          <w:sz w:val="24"/>
          <w:szCs w:val="24"/>
          <w:lang w:val="en-US" w:eastAsia="zh-CN"/>
        </w:rPr>
        <w:t>中华人民共和国</w:t>
      </w:r>
      <w:r>
        <w:rPr>
          <w:rFonts w:hint="eastAsia" w:asciiTheme="minorEastAsia" w:hAnsiTheme="minorEastAsia" w:eastAsiaTheme="minorEastAsia" w:cstheme="minorEastAsia"/>
          <w:b/>
          <w:bCs/>
          <w:spacing w:val="-3"/>
          <w:sz w:val="24"/>
          <w:szCs w:val="24"/>
        </w:rPr>
        <w:t>政府采购法》第七十七条</w:t>
      </w:r>
      <w:r>
        <w:rPr>
          <w:rFonts w:hint="eastAsia" w:asciiTheme="minorEastAsia" w:hAnsiTheme="minorEastAsia" w:eastAsiaTheme="minorEastAsia" w:cstheme="minorEastAsia"/>
          <w:b/>
          <w:bCs/>
          <w:spacing w:val="8"/>
          <w:sz w:val="24"/>
          <w:szCs w:val="24"/>
        </w:rPr>
        <w:t>供虚假材料谋取中标、</w:t>
      </w:r>
      <w:r>
        <w:rPr>
          <w:rFonts w:hint="eastAsia" w:asciiTheme="minorEastAsia" w:hAnsiTheme="minorEastAsia" w:eastAsiaTheme="minorEastAsia" w:cstheme="minorEastAsia"/>
          <w:b/>
          <w:bCs/>
          <w:spacing w:val="-4"/>
          <w:sz w:val="24"/>
          <w:szCs w:val="24"/>
        </w:rPr>
        <w:t>成交的</w:t>
      </w:r>
      <w:r>
        <w:rPr>
          <w:rFonts w:hint="eastAsia" w:asciiTheme="minorEastAsia" w:hAnsiTheme="minorEastAsia" w:eastAsiaTheme="minorEastAsia" w:cstheme="minorEastAsia"/>
          <w:b/>
          <w:bCs/>
          <w:position w:val="11"/>
          <w:sz w:val="24"/>
          <w:szCs w:val="24"/>
        </w:rPr>
        <w:drawing>
          <wp:inline distT="0" distB="0" distL="0" distR="0">
            <wp:extent cx="65405" cy="3810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8"/>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b/>
          <w:bCs/>
          <w:spacing w:val="-4"/>
          <w:sz w:val="24"/>
          <w:szCs w:val="24"/>
        </w:rPr>
        <w:t>有关规定予以</w:t>
      </w:r>
      <w:r>
        <w:rPr>
          <w:rFonts w:hint="eastAsia" w:asciiTheme="minorEastAsia" w:hAnsiTheme="minorEastAsia" w:eastAsiaTheme="minorEastAsia" w:cstheme="minorEastAsia"/>
          <w:b/>
          <w:bCs/>
          <w:spacing w:val="-4"/>
          <w:sz w:val="24"/>
          <w:szCs w:val="24"/>
          <w:lang w:val="en-US" w:eastAsia="zh-CN"/>
        </w:rPr>
        <w:t>处理。</w:t>
      </w:r>
    </w:p>
    <w:p w14:paraId="7046AA3B">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7A0B147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4.</w:t>
      </w:r>
      <w:r>
        <w:rPr>
          <w:rFonts w:hint="eastAsia" w:asciiTheme="minorEastAsia" w:hAnsiTheme="minorEastAsia" w:eastAsiaTheme="minorEastAsia" w:cstheme="minorEastAsia"/>
          <w:b/>
          <w:bCs/>
          <w:sz w:val="24"/>
          <w:szCs w:val="24"/>
          <w:lang w:eastAsia="zh-CN"/>
        </w:rPr>
        <w:t>承诺函格式</w:t>
      </w:r>
    </w:p>
    <w:p w14:paraId="38656580">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val="en-US" w:eastAsia="zh-CN"/>
        </w:rPr>
      </w:pPr>
    </w:p>
    <w:p w14:paraId="176515F6">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投</w:t>
      </w:r>
      <w:r>
        <w:rPr>
          <w:rFonts w:hint="eastAsia" w:asciiTheme="minorEastAsia" w:hAnsiTheme="minorEastAsia" w:eastAsiaTheme="minorEastAsia" w:cstheme="minorEastAsia"/>
          <w:b/>
          <w:bCs/>
          <w:sz w:val="24"/>
          <w:szCs w:val="24"/>
          <w:lang w:eastAsia="zh-CN"/>
        </w:rPr>
        <w:t>标人承诺函</w:t>
      </w:r>
    </w:p>
    <w:p w14:paraId="495D30B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val="en-US" w:eastAsia="zh-CN"/>
        </w:rPr>
      </w:pPr>
    </w:p>
    <w:p w14:paraId="4C09110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14:paraId="71688A8C">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很荣幸能参与项目编号为项目的投标。</w:t>
      </w:r>
    </w:p>
    <w:p w14:paraId="1E3C855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我代表（投标人名称），在此作如下承诺：</w:t>
      </w:r>
    </w:p>
    <w:p w14:paraId="15A0660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1、完全理解和接受本项目招标文件的一切规定和要求；</w:t>
      </w:r>
    </w:p>
    <w:p w14:paraId="094832F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2、我方递交的投标文件中所有的资料均为真实的、准确的，无任何虚假内容。若存在有虚假内容，我方愿意承担法律责任。</w:t>
      </w:r>
    </w:p>
    <w:p w14:paraId="03D85DC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3、若中标，我方将按照招标文件的具体规定与采购人签订供货安装调试</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lang w:eastAsia="zh-CN"/>
        </w:rPr>
        <w:t>服务合同，并且严格按合同履行义务，按时交付使用，保证设备</w:t>
      </w:r>
      <w:r>
        <w:rPr>
          <w:rFonts w:hint="eastAsia" w:asciiTheme="minorEastAsia" w:hAnsiTheme="minorEastAsia" w:eastAsiaTheme="minorEastAsia" w:cstheme="minorEastAsia"/>
          <w:sz w:val="24"/>
          <w:szCs w:val="24"/>
          <w:lang w:val="en-US" w:eastAsia="zh-CN"/>
        </w:rPr>
        <w:t>或服务</w:t>
      </w:r>
      <w:r>
        <w:rPr>
          <w:rFonts w:hint="eastAsia" w:asciiTheme="minorEastAsia" w:hAnsiTheme="minorEastAsia" w:eastAsiaTheme="minorEastAsia" w:cstheme="minorEastAsia"/>
          <w:sz w:val="24"/>
          <w:szCs w:val="24"/>
          <w:lang w:eastAsia="zh-CN"/>
        </w:rPr>
        <w:t>质量符合招标文件要求，并提供优质服务。如果在合同执行过程中，发现问题，我方一定尽快对其进行调整，并承担相应的经济责任；</w:t>
      </w:r>
    </w:p>
    <w:p w14:paraId="5EC6253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4、若中标，本承诺将成为合同不可分割的一部分，与合同具有同等的法律效力。</w:t>
      </w:r>
    </w:p>
    <w:p w14:paraId="15DB212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5、我方同意招标文件所附的合同文本作为与采购方签约的合同文本，非经双方一致同意，不得改变原合同文本的条款。</w:t>
      </w:r>
    </w:p>
    <w:p w14:paraId="6CF3517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6、我方保证，严格遵守《</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政府采购法实施条例》《政府采购货物和服务招标投标管理办法》及其他相关法律法规的规定，若有违反上述法律法规的行为，愿意接受处罚并承担相应的法律责任。</w:t>
      </w:r>
    </w:p>
    <w:p w14:paraId="0903F49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p>
    <w:p w14:paraId="5E3F522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投标人（公章）：法定代表人（负责人）或授权代表（签字）：</w:t>
      </w:r>
    </w:p>
    <w:p w14:paraId="72FA6842">
      <w:pPr>
        <w:keepNext w:val="0"/>
        <w:keepLines w:val="0"/>
        <w:pageBreakBefore w:val="0"/>
        <w:kinsoku/>
        <w:wordWrap w:val="0"/>
        <w:overflowPunct/>
        <w:topLinePunct w:val="0"/>
        <w:bidi w:val="0"/>
        <w:spacing w:line="360" w:lineRule="auto"/>
        <w:ind w:firstLine="720" w:firstLineChars="3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348E2047">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61464A50">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04809A01">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3C14C9B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20766F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F30E8B4">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营业执照副本</w:t>
      </w:r>
      <w:r>
        <w:rPr>
          <w:rFonts w:hint="eastAsia" w:asciiTheme="minorEastAsia" w:hAnsiTheme="minorEastAsia" w:eastAsiaTheme="minorEastAsia" w:cstheme="minorEastAsia"/>
          <w:b/>
          <w:bCs/>
          <w:sz w:val="24"/>
          <w:szCs w:val="24"/>
          <w:lang w:val="en-US" w:eastAsia="zh-CN"/>
        </w:rPr>
        <w:t>或其他资格证明文件</w:t>
      </w:r>
    </w:p>
    <w:p w14:paraId="2EF047B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eastAsiaTheme="minorEastAsia" w:cstheme="minorEastAsia"/>
          <w:b/>
          <w:bCs/>
          <w:sz w:val="24"/>
          <w:szCs w:val="24"/>
          <w:lang w:eastAsia="zh-CN"/>
        </w:rPr>
        <w:t>具有履行合同所必需的设备和专业技术能力的承诺</w:t>
      </w:r>
    </w:p>
    <w:p w14:paraId="1F69FCC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7.</w:t>
      </w:r>
      <w:r>
        <w:rPr>
          <w:rFonts w:hint="eastAsia" w:asciiTheme="minorEastAsia" w:hAnsiTheme="minorEastAsia" w:eastAsiaTheme="minorEastAsia" w:cstheme="minorEastAsia"/>
          <w:b/>
          <w:bCs/>
          <w:sz w:val="24"/>
          <w:szCs w:val="24"/>
          <w:lang w:eastAsia="zh-CN"/>
        </w:rPr>
        <w:t>依法缴纳税收和社会保障资金的缴费凭证(提供近半年</w:t>
      </w:r>
      <w:r>
        <w:rPr>
          <w:rFonts w:hint="eastAsia" w:asciiTheme="minorEastAsia" w:hAnsiTheme="minorEastAsia" w:eastAsiaTheme="minorEastAsia" w:cstheme="minorEastAsia"/>
          <w:b/>
          <w:bCs/>
          <w:sz w:val="24"/>
          <w:szCs w:val="24"/>
          <w:lang w:val="en-US" w:eastAsia="zh-CN"/>
        </w:rPr>
        <w:t>内</w:t>
      </w:r>
      <w:r>
        <w:rPr>
          <w:rFonts w:hint="eastAsia" w:asciiTheme="minorEastAsia" w:hAnsiTheme="minorEastAsia" w:eastAsiaTheme="minorEastAsia" w:cstheme="minorEastAsia"/>
          <w:b/>
          <w:bCs/>
          <w:sz w:val="24"/>
          <w:szCs w:val="24"/>
          <w:lang w:eastAsia="zh-CN"/>
        </w:rPr>
        <w:t>任意三个月的有效凭证)</w:t>
      </w:r>
    </w:p>
    <w:p w14:paraId="62C55CB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8.</w:t>
      </w:r>
      <w:r>
        <w:rPr>
          <w:rFonts w:hint="eastAsia" w:asciiTheme="minorEastAsia" w:hAnsiTheme="minorEastAsia" w:eastAsiaTheme="minorEastAsia" w:cstheme="minorEastAsia"/>
          <w:b/>
          <w:bCs/>
          <w:sz w:val="24"/>
          <w:szCs w:val="24"/>
          <w:lang w:eastAsia="zh-CN"/>
        </w:rPr>
        <w:t>良好的商业信誉和健全的财务会计制度的证明文件</w:t>
      </w:r>
    </w:p>
    <w:p w14:paraId="71D2BD0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说明：</w:t>
      </w: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lang w:eastAsia="zh-CN"/>
        </w:rPr>
        <w:t>提供本单位上年度经会计师事务所出具的审计报告或本公司出具的财务报表或提供银行出具的证明文件。银行出具的证明文件应能说明该投标人与银行之间业务往来正常，企业信誉良好等。（</w:t>
      </w: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b w:val="0"/>
          <w:bCs w:val="0"/>
          <w:sz w:val="24"/>
          <w:szCs w:val="24"/>
          <w:lang w:eastAsia="zh-CN"/>
        </w:rPr>
        <w:t>）投标人提供企业有关财务会计制度。</w:t>
      </w:r>
    </w:p>
    <w:p w14:paraId="2EC9A64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投标人出具参加政府采购活动前三年内，</w:t>
      </w:r>
      <w:r>
        <w:rPr>
          <w:rFonts w:hint="eastAsia" w:asciiTheme="minorEastAsia" w:hAnsiTheme="minorEastAsia" w:eastAsiaTheme="minorEastAsia" w:cstheme="minorEastAsia"/>
          <w:b/>
          <w:bCs/>
          <w:snapToGrid w:val="0"/>
          <w:color w:val="000000"/>
          <w:kern w:val="0"/>
          <w:sz w:val="24"/>
          <w:szCs w:val="24"/>
          <w:lang w:val="en-US" w:eastAsia="zh-CN" w:bidi="ar-SA"/>
        </w:rPr>
        <w:t>在经营活动中没有重大违法记录</w:t>
      </w:r>
      <w:r>
        <w:rPr>
          <w:rFonts w:hint="eastAsia" w:asciiTheme="minorEastAsia" w:hAnsiTheme="minorEastAsia" w:eastAsiaTheme="minorEastAsia" w:cstheme="minorEastAsia"/>
          <w:b/>
          <w:bCs/>
          <w:sz w:val="24"/>
          <w:szCs w:val="24"/>
          <w:lang w:eastAsia="zh-CN"/>
        </w:rPr>
        <w:t>的书面声明（加盖单位公章）</w:t>
      </w:r>
    </w:p>
    <w:p w14:paraId="7A067DE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024482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25AF6FD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F7DFDF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5A5FEE6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76BA5B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21024B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230E79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CF96BA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716C0F4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790AED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2074958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C4D63E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99C4F7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D18631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763D4A3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535CA51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F320B4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1375D7E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4C57DA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10.</w:t>
      </w:r>
      <w:r>
        <w:rPr>
          <w:rFonts w:hint="eastAsia" w:asciiTheme="minorEastAsia" w:hAnsiTheme="minorEastAsia" w:eastAsiaTheme="minorEastAsia" w:cstheme="minorEastAsia"/>
          <w:b/>
          <w:bCs/>
          <w:sz w:val="24"/>
          <w:szCs w:val="24"/>
          <w:lang w:eastAsia="zh-CN"/>
        </w:rPr>
        <w:t>投标人诚信承诺书</w:t>
      </w:r>
    </w:p>
    <w:p w14:paraId="2169C3E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p>
    <w:p w14:paraId="4EDCC5CF">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诚信承诺书</w:t>
      </w:r>
    </w:p>
    <w:p w14:paraId="5D0A397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51036C9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14:paraId="6853C81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2E15B5B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14:paraId="2F2FEB7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0C815C0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14:paraId="7E3E8E2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承诺人法定地址：</w:t>
      </w:r>
    </w:p>
    <w:p w14:paraId="06B9505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授权代表（签字或盖章）：</w:t>
      </w:r>
    </w:p>
    <w:p w14:paraId="2473671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w:t>
      </w:r>
    </w:p>
    <w:p w14:paraId="6113E875">
      <w:pPr>
        <w:keepNext w:val="0"/>
        <w:keepLines w:val="0"/>
        <w:pageBreakBefore w:val="0"/>
        <w:kinsoku/>
        <w:wordWrap w:val="0"/>
        <w:overflowPunct/>
        <w:topLinePunct w:val="0"/>
        <w:bidi w:val="0"/>
        <w:spacing w:line="360" w:lineRule="auto"/>
        <w:ind w:firstLine="672" w:firstLineChars="30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78B6C487">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14:paraId="191E34E6">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14:paraId="5CAB5A51">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11.</w:t>
      </w:r>
      <w:r>
        <w:rPr>
          <w:rFonts w:hint="eastAsia" w:asciiTheme="minorEastAsia" w:hAnsiTheme="minorEastAsia" w:eastAsiaTheme="minorEastAsia" w:cstheme="minorEastAsia"/>
          <w:b/>
          <w:bCs/>
          <w:sz w:val="24"/>
          <w:szCs w:val="24"/>
          <w:lang w:eastAsia="zh-CN"/>
        </w:rPr>
        <w:t>投标人出具信用记录查询结果网页截图</w:t>
      </w:r>
    </w:p>
    <w:p w14:paraId="07C7DA94">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12.其他资格证明</w:t>
      </w:r>
    </w:p>
    <w:p w14:paraId="3CA24BD0">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8545907">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napToGrid w:val="0"/>
          <w:color w:val="000000"/>
          <w:kern w:val="0"/>
          <w:sz w:val="24"/>
          <w:szCs w:val="24"/>
          <w:lang w:val="zh-CN" w:eastAsia="zh-CN" w:bidi="ar-SA"/>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sz w:val="24"/>
          <w:szCs w:val="24"/>
          <w:lang w:val="en-US" w:eastAsia="zh-CN"/>
        </w:rPr>
        <w:t>对于市本级政府采购项目，全部实施供应商资格信用承诺，投标人</w:t>
      </w:r>
      <w:r>
        <w:rPr>
          <w:rFonts w:hint="eastAsia" w:asciiTheme="minorEastAsia" w:hAnsiTheme="minorEastAsia" w:eastAsiaTheme="minorEastAsia" w:cstheme="minorEastAsia"/>
          <w:b/>
          <w:bCs/>
          <w:sz w:val="24"/>
          <w:szCs w:val="24"/>
          <w:lang w:eastAsia="zh-CN"/>
        </w:rPr>
        <w:t>在投标时，按照规定提供“南阳市政府采购供应商信用承诺函”（详见附件）的，无需再提交上述</w:t>
      </w: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项证明材料”。</w:t>
      </w:r>
      <w:r>
        <w:rPr>
          <w:rFonts w:hint="eastAsia" w:asciiTheme="minorEastAsia" w:hAnsiTheme="minorEastAsia" w:eastAsiaTheme="minorEastAsia" w:cstheme="minorEastAsia"/>
          <w:b/>
          <w:bCs/>
          <w:sz w:val="24"/>
          <w:szCs w:val="24"/>
          <w:lang w:val="en-US" w:eastAsia="zh-CN"/>
        </w:rPr>
        <w:t>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14:paraId="61C1ADD5">
      <w:pPr>
        <w:pStyle w:val="6"/>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kern w:val="0"/>
          <w:sz w:val="32"/>
          <w:szCs w:val="32"/>
          <w:lang w:val="zh-CN" w:eastAsia="zh-CN" w:bidi="ar-SA"/>
        </w:rPr>
      </w:pPr>
      <w:r>
        <w:rPr>
          <w:rFonts w:hint="eastAsia" w:asciiTheme="minorEastAsia" w:hAnsiTheme="minorEastAsia" w:eastAsiaTheme="minorEastAsia" w:cstheme="minorEastAsia"/>
          <w:b/>
          <w:bCs/>
          <w:snapToGrid w:val="0"/>
          <w:color w:val="000000"/>
          <w:kern w:val="0"/>
          <w:sz w:val="32"/>
          <w:szCs w:val="32"/>
          <w:lang w:val="zh-CN" w:eastAsia="zh-CN" w:bidi="ar-SA"/>
        </w:rPr>
        <w:t>南阳市政府采购供应商信用承诺函</w:t>
      </w:r>
    </w:p>
    <w:p w14:paraId="2FBE498E">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kern w:val="0"/>
          <w:sz w:val="24"/>
          <w:szCs w:val="24"/>
          <w:lang w:val="zh-CN" w:eastAsia="zh-CN" w:bidi="ar-SA"/>
        </w:rPr>
      </w:pPr>
    </w:p>
    <w:p w14:paraId="0BCB450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p>
    <w:p w14:paraId="0F060CB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p>
    <w:p w14:paraId="0CA9820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p>
    <w:p w14:paraId="1C75EA2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p>
    <w:p w14:paraId="21B7F13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p>
    <w:p w14:paraId="4F58574A">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16D0F74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14:paraId="13F9965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14:paraId="2D3E072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14:paraId="013609B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14:paraId="34780ECC">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14:paraId="2ABB382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14:paraId="5E9B43A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14:paraId="34F3A622">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14:paraId="47FB9A8B">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14:paraId="1A71790E">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14:paraId="756E09E9">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14:paraId="2828DB62">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C6D5B94">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14:paraId="27E2478D">
      <w:pPr>
        <w:keepNext w:val="0"/>
        <w:keepLines w:val="0"/>
        <w:pageBreakBefore w:val="0"/>
        <w:widowControl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14:paraId="4D16675B">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p w14:paraId="2939ED47">
      <w:pPr>
        <w:rPr>
          <w:rFonts w:hint="eastAsia"/>
          <w:lang w:val="zh-CN" w:eastAsia="zh-CN"/>
        </w:rPr>
        <w:sectPr>
          <w:headerReference r:id="rId13" w:type="default"/>
          <w:footerReference r:id="rId14"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val="0"/>
          <w:bCs w:val="0"/>
          <w:snapToGrid w:val="0"/>
          <w:color w:val="000000"/>
          <w:kern w:val="0"/>
          <w:sz w:val="24"/>
          <w:szCs w:val="24"/>
          <w:lang w:val="zh-CN" w:eastAsia="zh-CN" w:bidi="ar-SA"/>
        </w:rPr>
        <w:br w:type="page"/>
      </w:r>
    </w:p>
    <w:p w14:paraId="4C1EA9BD">
      <w:pPr>
        <w:keepNext w:val="0"/>
        <w:keepLines w:val="0"/>
        <w:pageBreakBefore w:val="0"/>
        <w:numPr>
          <w:ilvl w:val="0"/>
          <w:numId w:val="4"/>
        </w:numPr>
        <w:kinsoku/>
        <w:wordWrap w:val="0"/>
        <w:overflowPunct/>
        <w:topLinePunct w:val="0"/>
        <w:bidi w:val="0"/>
        <w:spacing w:line="360" w:lineRule="auto"/>
        <w:ind w:left="0" w:leftChars="0" w:firstLine="0" w:firstLineChars="0"/>
        <w:jc w:val="both"/>
        <w:rPr>
          <w:rFonts w:hint="eastAsia"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val="zh-CN" w:eastAsia="zh-CN"/>
        </w:rPr>
        <w:t>技术文件格式（</w:t>
      </w:r>
      <w:r>
        <w:rPr>
          <w:rFonts w:hint="eastAsia" w:asciiTheme="minorEastAsia" w:hAnsiTheme="minorEastAsia" w:eastAsiaTheme="minorEastAsia" w:cstheme="minorEastAsia"/>
          <w:b/>
          <w:bCs/>
          <w:sz w:val="24"/>
          <w:szCs w:val="24"/>
          <w:lang w:val="en-US" w:eastAsia="zh-CN"/>
        </w:rPr>
        <w:t>暗标</w:t>
      </w:r>
      <w:r>
        <w:rPr>
          <w:rFonts w:hint="eastAsia" w:asciiTheme="minorEastAsia" w:hAnsiTheme="minorEastAsia" w:eastAsiaTheme="minorEastAsia" w:cstheme="minorEastAsia"/>
          <w:b/>
          <w:bCs/>
          <w:sz w:val="24"/>
          <w:szCs w:val="24"/>
          <w:lang w:val="zh-CN" w:eastAsia="zh-CN"/>
        </w:rPr>
        <w:t>）</w:t>
      </w:r>
    </w:p>
    <w:p w14:paraId="13018A42">
      <w:pPr>
        <w:rPr>
          <w:rFonts w:hint="eastAsia"/>
          <w:lang w:val="en-US" w:eastAsia="zh-CN"/>
        </w:rPr>
      </w:pPr>
      <w:r>
        <w:rPr>
          <w:rFonts w:hint="eastAsia" w:asciiTheme="minorEastAsia" w:hAnsiTheme="minorEastAsia" w:eastAsiaTheme="minorEastAsia" w:cstheme="minorEastAsia"/>
          <w:b/>
          <w:bCs/>
          <w:sz w:val="24"/>
          <w:szCs w:val="24"/>
          <w:lang w:val="en-US" w:eastAsia="zh-CN"/>
        </w:rPr>
        <w:t>1.供货方案</w:t>
      </w:r>
    </w:p>
    <w:p w14:paraId="4D434E7A">
      <w:pPr>
        <w:rPr>
          <w:rFonts w:hint="eastAsia" w:ascii="宋体" w:hAnsi="宋体" w:eastAsia="宋体" w:cs="宋体"/>
          <w:strike w:val="0"/>
          <w:dstrike w:val="0"/>
          <w:sz w:val="21"/>
          <w:szCs w:val="21"/>
          <w:highlight w:val="none"/>
          <w:lang w:val="zh-CN" w:eastAsia="zh-CN"/>
        </w:rPr>
      </w:pPr>
      <w:r>
        <w:rPr>
          <w:rFonts w:hint="eastAsia" w:asciiTheme="minorEastAsia" w:hAnsiTheme="minorEastAsia" w:eastAsiaTheme="minorEastAsia" w:cstheme="minorEastAsia"/>
          <w:b/>
          <w:bCs/>
          <w:sz w:val="24"/>
          <w:szCs w:val="24"/>
          <w:lang w:val="en-US" w:eastAsia="zh-CN"/>
        </w:rPr>
        <w:t>2.安全实施方案</w:t>
      </w:r>
    </w:p>
    <w:p w14:paraId="366416F8">
      <w:pPr>
        <w:rPr>
          <w:rFonts w:hint="eastAsia"/>
          <w:b/>
          <w:bCs/>
          <w:sz w:val="24"/>
          <w:szCs w:val="24"/>
          <w:lang w:val="zh-CN"/>
        </w:rPr>
      </w:pPr>
      <w:r>
        <w:rPr>
          <w:rFonts w:hint="eastAsia" w:ascii="宋体" w:hAnsi="宋体" w:eastAsia="宋体" w:cs="宋体"/>
          <w:b/>
          <w:bCs/>
          <w:strike w:val="0"/>
          <w:dstrike w:val="0"/>
          <w:sz w:val="28"/>
          <w:szCs w:val="28"/>
          <w:highlight w:val="none"/>
          <w:lang w:val="en-US" w:eastAsia="zh-CN"/>
        </w:rPr>
        <w:t>3</w:t>
      </w:r>
      <w:r>
        <w:rPr>
          <w:rFonts w:hint="eastAsia" w:ascii="宋体" w:hAnsi="宋体" w:eastAsia="宋体" w:cs="宋体"/>
          <w:b/>
          <w:bCs/>
          <w:strike w:val="0"/>
          <w:dstrike w:val="0"/>
          <w:sz w:val="24"/>
          <w:szCs w:val="24"/>
          <w:highlight w:val="none"/>
          <w:lang w:val="en-US" w:eastAsia="zh-CN"/>
        </w:rPr>
        <w:t>.质量保证措施</w:t>
      </w:r>
    </w:p>
    <w:p w14:paraId="0E5B927A">
      <w:pPr>
        <w:pStyle w:val="6"/>
        <w:numPr>
          <w:ilvl w:val="0"/>
          <w:numId w:val="0"/>
        </w:numPr>
        <w:ind w:leftChars="0"/>
        <w:rPr>
          <w:rFonts w:hint="eastAsia"/>
          <w:lang w:val="en-US" w:eastAsia="zh-CN"/>
        </w:rPr>
      </w:pPr>
    </w:p>
    <w:p w14:paraId="19DA2000">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3AAE6B7E">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D709B0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032C2A3">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3E4C47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EC9B0C0">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9601096">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446AD39D">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3B63BFD0">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4ADAF45C">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409686F6">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7279F3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869EB64">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BDB8086">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0FC3076">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616F64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5D6467FB">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C61B77D">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4F8BF9E7">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B1B5E8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57970C9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67C5BA3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84887A5">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E0540C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9092CFB">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69DDB1E">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34832CB">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47D3BD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285624C">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651BB35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E745FEA">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8D7CDC4">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50C166CF">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60D02357">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3DD8A1C">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6D0D66C3">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E3577EB">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772F2FF">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1D85AF0">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0CE2FAA">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37E2CC3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905AFB4">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技术规格偏离表</w:t>
      </w:r>
    </w:p>
    <w:p w14:paraId="185AD49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p w14:paraId="6E8E50DC">
      <w:pPr>
        <w:keepNext w:val="0"/>
        <w:keepLines w:val="0"/>
        <w:pageBreakBefore w:val="0"/>
        <w:kinsoku/>
        <w:wordWrap w:val="0"/>
        <w:overflowPunct/>
        <w:topLinePunct w:val="0"/>
        <w:bidi w:val="0"/>
        <w:spacing w:line="240" w:lineRule="atLeast"/>
        <w:ind w:left="1154" w:leftChars="485" w:hanging="136" w:hangingChars="5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81"/>
        <w:gridCol w:w="1418"/>
        <w:gridCol w:w="1337"/>
        <w:gridCol w:w="1276"/>
        <w:gridCol w:w="1214"/>
      </w:tblGrid>
      <w:tr w14:paraId="2E9E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7E43B26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381" w:type="dxa"/>
            <w:tcBorders>
              <w:top w:val="single" w:color="auto" w:sz="4" w:space="0"/>
              <w:left w:val="single" w:color="auto" w:sz="4" w:space="0"/>
              <w:bottom w:val="single" w:color="auto" w:sz="4" w:space="0"/>
              <w:right w:val="single" w:color="auto" w:sz="4" w:space="0"/>
            </w:tcBorders>
            <w:noWrap w:val="0"/>
            <w:vAlign w:val="center"/>
          </w:tcPr>
          <w:p w14:paraId="097BD325">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货物名称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F2C4BA5">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招标规格</w:t>
            </w:r>
          </w:p>
        </w:tc>
        <w:tc>
          <w:tcPr>
            <w:tcW w:w="1337" w:type="dxa"/>
            <w:tcBorders>
              <w:top w:val="single" w:color="auto" w:sz="4" w:space="0"/>
              <w:left w:val="single" w:color="auto" w:sz="4" w:space="0"/>
              <w:bottom w:val="single" w:color="auto" w:sz="4" w:space="0"/>
              <w:right w:val="single" w:color="auto" w:sz="4" w:space="0"/>
            </w:tcBorders>
            <w:noWrap w:val="0"/>
            <w:vAlign w:val="center"/>
          </w:tcPr>
          <w:p w14:paraId="7D7A838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投标规格</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12D02B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偏离</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34FE5F4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说明</w:t>
            </w:r>
          </w:p>
        </w:tc>
      </w:tr>
      <w:tr w14:paraId="2109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575DAB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79D266B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2DC0B4C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5C8B6AF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CA329C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143514E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4AC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2336373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463374F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74C1A4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5BF4E58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8E932B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E7DCBB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18B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776540A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289CDF8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F7038C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D79B6A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DB9556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A86382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78EB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13B17AC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4C3CAA8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612331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1A4034D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C1054F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382935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65826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7F45010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5D73284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3907AB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025DD7D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EAC97D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C32EEB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7CE1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523A065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0E5C81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CBA560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4D99C8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D5CBBE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1CBF0D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8422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DC1AAD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44455E9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9EB424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E2BF62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E765E9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088E85D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15C8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7F03C67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A8DB4B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FBEC04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5E243DD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70B411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4C97CC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7E703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77C4207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6786A9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83E7F4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3551BF5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54531E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FD033D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40F5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245FCAA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61AFD9D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D1B47F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24048A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34BD47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91FBFE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5598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014BE0B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65A0E79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1E7ADA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3F184E1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9D2C19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58FACA8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3920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59B2DF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5081AD3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EEDC23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2694AE8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1FA528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695F49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B35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323CBD6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C9F42B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541B8B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093FCA8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2C7944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FFEEA2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47D6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BCE436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6FE1A64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FD896D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22B9B5F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1C5753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71FC23E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5FD6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2593277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55C70F8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7A9121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7802307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B4E697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9D6D17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bl>
    <w:p w14:paraId="22D8DAFC">
      <w:pPr>
        <w:keepNext w:val="0"/>
        <w:keepLines w:val="0"/>
        <w:pageBreakBefore w:val="0"/>
        <w:kinsoku/>
        <w:wordWrap w:val="0"/>
        <w:overflowPunct/>
        <w:topLinePunct w:val="0"/>
        <w:bidi w:val="0"/>
        <w:spacing w:line="360" w:lineRule="auto"/>
        <w:ind w:firstLine="482" w:firstLineChars="200"/>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日期</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233E1E62">
      <w:pP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r>
        <w:rPr>
          <w:rFonts w:hint="eastAsia"/>
        </w:rPr>
        <w:br w:type="page"/>
      </w:r>
    </w:p>
    <w:p w14:paraId="2F7F3D60">
      <w:pPr>
        <w:pStyle w:val="14"/>
        <w:rPr>
          <w:rFonts w:hint="default"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t>三、商务文件格式</w:t>
      </w:r>
    </w:p>
    <w:p w14:paraId="6F17625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1.投标书格式</w:t>
      </w:r>
    </w:p>
    <w:p w14:paraId="434A8CEC">
      <w:pPr>
        <w:keepNext w:val="0"/>
        <w:keepLines w:val="0"/>
        <w:pageBreakBefore w:val="0"/>
        <w:kinsoku/>
        <w:wordWrap w:val="0"/>
        <w:overflowPunct/>
        <w:topLinePunct w:val="0"/>
        <w:bidi w:val="0"/>
        <w:spacing w:line="360" w:lineRule="auto"/>
        <w:ind w:firstLine="607" w:firstLineChars="252"/>
        <w:jc w:val="center"/>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bCs/>
          <w:sz w:val="24"/>
          <w:szCs w:val="24"/>
          <w:lang w:eastAsia="zh-CN"/>
        </w:rPr>
        <w:t>投标书</w:t>
      </w:r>
    </w:p>
    <w:p w14:paraId="4085E8C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0494ED0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致：采购人或采购代理机构</w:t>
      </w:r>
    </w:p>
    <w:p w14:paraId="441B0ED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根据贵方招标编号为（）的公开招标公告，签字代表（全名、职务）经正式授权并代表投标人（投标人名称、地址）提交电子投标文件一份，并对之负法律责任。</w:t>
      </w:r>
    </w:p>
    <w:p w14:paraId="575043B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投标文件组成资格证明文件第1至</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lang w:eastAsia="zh-CN"/>
        </w:rPr>
        <w:t>项</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lang w:val="en-US" w:eastAsia="zh-CN"/>
        </w:rPr>
        <w:t>技术文件第1至</w:t>
      </w:r>
      <w:r>
        <w:rPr>
          <w:rFonts w:hint="eastAsia" w:asciiTheme="minorEastAsia" w:hAnsiTheme="minorEastAsia" w:eastAsiaTheme="minorEastAsia" w:cstheme="minorEastAsia"/>
          <w:b w:val="0"/>
          <w:bCs w:val="0"/>
          <w:sz w:val="24"/>
          <w:szCs w:val="24"/>
          <w:u w:val="single"/>
          <w:lang w:val="en-US" w:eastAsia="zh-CN"/>
        </w:rPr>
        <w:t xml:space="preserve">   项</w:t>
      </w:r>
      <w:r>
        <w:rPr>
          <w:rFonts w:hint="eastAsia" w:asciiTheme="minorEastAsia" w:hAnsiTheme="minorEastAsia" w:eastAsiaTheme="minorEastAsia" w:cstheme="minorEastAsia"/>
          <w:b w:val="0"/>
          <w:bCs w:val="0"/>
          <w:sz w:val="24"/>
          <w:szCs w:val="24"/>
          <w:u w:val="none"/>
          <w:lang w:val="en-US" w:eastAsia="zh-CN"/>
        </w:rPr>
        <w:t>，</w:t>
      </w:r>
      <w:r>
        <w:rPr>
          <w:rFonts w:hint="eastAsia" w:asciiTheme="minorEastAsia" w:hAnsiTheme="minorEastAsia" w:eastAsiaTheme="minorEastAsia" w:cstheme="minorEastAsia"/>
          <w:b w:val="0"/>
          <w:bCs w:val="0"/>
          <w:sz w:val="24"/>
          <w:szCs w:val="24"/>
          <w:lang w:eastAsia="zh-CN"/>
        </w:rPr>
        <w:t>商务文件第1</w:t>
      </w:r>
      <w:r>
        <w:rPr>
          <w:rFonts w:hint="eastAsia" w:asciiTheme="minorEastAsia" w:hAnsiTheme="minorEastAsia" w:eastAsiaTheme="minorEastAsia" w:cstheme="minorEastAsia"/>
          <w:b w:val="0"/>
          <w:bCs w:val="0"/>
          <w:color w:val="auto"/>
          <w:sz w:val="24"/>
          <w:szCs w:val="24"/>
          <w:lang w:eastAsia="zh-CN"/>
        </w:rPr>
        <w:t>至</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lang w:eastAsia="zh-CN"/>
        </w:rPr>
        <w:t>项</w:t>
      </w:r>
      <w:r>
        <w:rPr>
          <w:rFonts w:hint="eastAsia" w:asciiTheme="minorEastAsia" w:hAnsiTheme="minorEastAsia" w:eastAsiaTheme="minorEastAsia" w:cstheme="minorEastAsia"/>
          <w:b w:val="0"/>
          <w:bCs w:val="0"/>
          <w:sz w:val="24"/>
          <w:szCs w:val="24"/>
          <w:lang w:eastAsia="zh-CN"/>
        </w:rPr>
        <w:t>。</w:t>
      </w:r>
    </w:p>
    <w:p w14:paraId="08525BF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据此函，签字代表宣布同意如下：</w:t>
      </w:r>
    </w:p>
    <w:p w14:paraId="639B826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1、所附服务报价为以开标一览表为准。</w:t>
      </w:r>
    </w:p>
    <w:p w14:paraId="078F7B7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2、如果我们的投标书被接受，我们将履行招标文件中规定的每一项要求，按期、按质、按量履行合同。</w:t>
      </w:r>
    </w:p>
    <w:p w14:paraId="3AC6F23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3、我方愿按《中华人民共和国政府采购法》和《中华人民共和国民法典》履行我方的全部责任。</w:t>
      </w:r>
    </w:p>
    <w:p w14:paraId="2FCF3C3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4、我方已详细审查全部招标文件，包括修改文件以及全部参考资料和有关附件。我们完全理解并同意放弃对这方面有不明白及误解的权力。</w:t>
      </w:r>
    </w:p>
    <w:p w14:paraId="7495428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5、本投标自开标之日起有效期为60天。</w:t>
      </w:r>
    </w:p>
    <w:p w14:paraId="129B9CF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地址：</w:t>
      </w:r>
    </w:p>
    <w:p w14:paraId="3923A35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电话（传真）：</w:t>
      </w:r>
    </w:p>
    <w:p w14:paraId="55B3E15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法定代表人（负责人）或授权代表（签字）：</w:t>
      </w:r>
    </w:p>
    <w:p w14:paraId="3CF2C32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投标人名称（公章）：</w:t>
      </w:r>
    </w:p>
    <w:p w14:paraId="7509036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sectPr>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val="0"/>
          <w:bCs w:val="0"/>
          <w:sz w:val="24"/>
          <w:szCs w:val="24"/>
          <w:lang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p>
    <w:p w14:paraId="27F94BE3">
      <w:pPr>
        <w:pStyle w:val="14"/>
        <w:numPr>
          <w:ilvl w:val="0"/>
          <w:numId w:val="0"/>
        </w:numPr>
        <w:kinsoku w:val="0"/>
        <w:autoSpaceDE w:val="0"/>
        <w:autoSpaceDN w:val="0"/>
        <w:adjustRightInd w:val="0"/>
        <w:snapToGrid w:val="0"/>
        <w:spacing w:line="240" w:lineRule="auto"/>
        <w:jc w:val="left"/>
        <w:textAlignment w:val="baseline"/>
        <w:rPr>
          <w:rFonts w:hint="default" w:ascii="宋体" w:hAnsi="宋体"/>
          <w:b/>
          <w:sz w:val="24"/>
          <w:szCs w:val="24"/>
          <w:lang w:val="en-US" w:eastAsia="zh-CN"/>
        </w:rPr>
      </w:pPr>
      <w:r>
        <w:rPr>
          <w:rFonts w:hint="eastAsia" w:asciiTheme="minorEastAsia" w:hAnsiTheme="minorEastAsia" w:eastAsiaTheme="minorEastAsia" w:cstheme="minorEastAsia"/>
          <w:b/>
          <w:bCs w:val="0"/>
          <w:sz w:val="24"/>
          <w:szCs w:val="24"/>
          <w:highlight w:val="none"/>
          <w:lang w:val="en-US" w:eastAsia="zh-CN"/>
        </w:rPr>
        <w:t>2.</w:t>
      </w:r>
      <w:r>
        <w:rPr>
          <w:rFonts w:hint="eastAsia" w:asciiTheme="minorEastAsia" w:hAnsiTheme="minorEastAsia" w:eastAsiaTheme="minorEastAsia" w:cstheme="minorEastAsia"/>
          <w:b/>
          <w:bCs w:val="0"/>
          <w:sz w:val="24"/>
          <w:szCs w:val="24"/>
          <w:highlight w:val="none"/>
          <w:lang w:eastAsia="zh-CN"/>
        </w:rPr>
        <w:t>主要设备技术指标、技术性能说明</w:t>
      </w:r>
      <w:r>
        <w:rPr>
          <w:rFonts w:hint="eastAsia" w:asciiTheme="minorEastAsia" w:hAnsiTheme="minorEastAsia" w:eastAsiaTheme="minorEastAsia" w:cstheme="minorEastAsia"/>
          <w:b/>
          <w:bCs w:val="0"/>
          <w:sz w:val="24"/>
          <w:szCs w:val="24"/>
          <w:highlight w:val="none"/>
          <w:lang w:val="en-US" w:eastAsia="zh-CN"/>
        </w:rPr>
        <w:t>及相关证明文件</w:t>
      </w:r>
    </w:p>
    <w:p w14:paraId="1A2D1CF9">
      <w:pPr>
        <w:keepNext w:val="0"/>
        <w:keepLines w:val="0"/>
        <w:pageBreakBefore w:val="0"/>
        <w:kinsoku/>
        <w:wordWrap w:val="0"/>
        <w:overflowPunct/>
        <w:topLinePunct w:val="0"/>
        <w:bidi w:val="0"/>
        <w:jc w:val="both"/>
        <w:rPr>
          <w:rFonts w:hint="eastAsia" w:ascii="宋体" w:hAnsi="宋体"/>
          <w:b/>
          <w:sz w:val="24"/>
          <w:szCs w:val="24"/>
        </w:rPr>
      </w:pPr>
      <w:r>
        <w:rPr>
          <w:rFonts w:hint="eastAsia" w:ascii="宋体" w:hAnsi="宋体"/>
          <w:b/>
          <w:sz w:val="24"/>
          <w:szCs w:val="24"/>
          <w:lang w:val="en-US" w:eastAsia="zh-CN"/>
        </w:rPr>
        <w:t>3.</w:t>
      </w:r>
      <w:r>
        <w:rPr>
          <w:rFonts w:hint="eastAsia" w:ascii="宋体" w:hAnsi="宋体"/>
          <w:b/>
          <w:sz w:val="24"/>
          <w:szCs w:val="24"/>
          <w:lang w:eastAsia="zh-CN"/>
        </w:rPr>
        <w:t>投标分项报价一览表</w:t>
      </w:r>
    </w:p>
    <w:p w14:paraId="35FFECE6">
      <w:pPr>
        <w:keepNext w:val="0"/>
        <w:keepLines w:val="0"/>
        <w:pageBreakBefore w:val="0"/>
        <w:kinsoku/>
        <w:wordWrap w:val="0"/>
        <w:overflowPunct/>
        <w:topLinePunct w:val="0"/>
        <w:bidi w:val="0"/>
        <w:jc w:val="center"/>
        <w:rPr>
          <w:rFonts w:hint="eastAsia"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b/>
          <w:sz w:val="24"/>
          <w:szCs w:val="24"/>
        </w:rPr>
        <w:t>投标</w:t>
      </w:r>
      <w:r>
        <w:rPr>
          <w:rFonts w:hint="eastAsia" w:asciiTheme="minorEastAsia" w:hAnsiTheme="minorEastAsia" w:eastAsiaTheme="minorEastAsia" w:cstheme="minorEastAsia"/>
          <w:b/>
          <w:sz w:val="24"/>
          <w:szCs w:val="24"/>
          <w:lang w:eastAsia="zh-CN"/>
        </w:rPr>
        <w:t>分项</w:t>
      </w:r>
      <w:r>
        <w:rPr>
          <w:rFonts w:hint="eastAsia" w:asciiTheme="minorEastAsia" w:hAnsiTheme="minorEastAsia" w:eastAsiaTheme="minorEastAsia" w:cstheme="minorEastAsia"/>
          <w:b/>
          <w:sz w:val="24"/>
          <w:szCs w:val="24"/>
        </w:rPr>
        <w:t>报价一览表</w:t>
      </w:r>
    </w:p>
    <w:tbl>
      <w:tblPr>
        <w:tblStyle w:val="21"/>
        <w:tblpPr w:leftFromText="180" w:rightFromText="180" w:vertAnchor="text" w:horzAnchor="page" w:tblpXSpec="center" w:tblpY="348"/>
        <w:tblOverlap w:val="never"/>
        <w:tblW w:w="0" w:type="auto"/>
        <w:jc w:val="center"/>
        <w:tblLayout w:type="fixed"/>
        <w:tblCellMar>
          <w:top w:w="0" w:type="dxa"/>
          <w:left w:w="108" w:type="dxa"/>
          <w:bottom w:w="0" w:type="dxa"/>
          <w:right w:w="108" w:type="dxa"/>
        </w:tblCellMar>
      </w:tblPr>
      <w:tblGrid>
        <w:gridCol w:w="710"/>
        <w:gridCol w:w="1241"/>
        <w:gridCol w:w="1276"/>
        <w:gridCol w:w="850"/>
        <w:gridCol w:w="709"/>
        <w:gridCol w:w="284"/>
        <w:gridCol w:w="566"/>
        <w:gridCol w:w="993"/>
        <w:gridCol w:w="1134"/>
        <w:gridCol w:w="141"/>
        <w:gridCol w:w="1418"/>
        <w:gridCol w:w="284"/>
        <w:gridCol w:w="1559"/>
      </w:tblGrid>
      <w:tr w14:paraId="423CA140">
        <w:tblPrEx>
          <w:tblCellMar>
            <w:top w:w="0" w:type="dxa"/>
            <w:left w:w="108" w:type="dxa"/>
            <w:bottom w:w="0" w:type="dxa"/>
            <w:right w:w="108" w:type="dxa"/>
          </w:tblCellMar>
        </w:tblPrEx>
        <w:trPr>
          <w:gridAfter w:val="1"/>
          <w:wAfter w:w="1559" w:type="dxa"/>
          <w:trHeight w:val="522" w:hRule="exact"/>
          <w:jc w:val="center"/>
        </w:trPr>
        <w:tc>
          <w:tcPr>
            <w:tcW w:w="3227" w:type="dxa"/>
            <w:gridSpan w:val="3"/>
            <w:tcBorders>
              <w:top w:val="nil"/>
              <w:left w:val="nil"/>
              <w:bottom w:val="single" w:color="auto" w:sz="4" w:space="0"/>
              <w:right w:val="nil"/>
            </w:tcBorders>
            <w:noWrap w:val="0"/>
            <w:vAlign w:val="center"/>
          </w:tcPr>
          <w:p w14:paraId="09574A2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tc>
        <w:tc>
          <w:tcPr>
            <w:tcW w:w="850" w:type="dxa"/>
            <w:tcBorders>
              <w:top w:val="nil"/>
              <w:left w:val="nil"/>
              <w:bottom w:val="single" w:color="auto" w:sz="4" w:space="0"/>
              <w:right w:val="nil"/>
            </w:tcBorders>
            <w:noWrap w:val="0"/>
            <w:vAlign w:val="center"/>
          </w:tcPr>
          <w:p w14:paraId="1E21E97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tc>
        <w:tc>
          <w:tcPr>
            <w:tcW w:w="993" w:type="dxa"/>
            <w:gridSpan w:val="2"/>
            <w:tcBorders>
              <w:top w:val="nil"/>
              <w:left w:val="nil"/>
              <w:bottom w:val="single" w:color="auto" w:sz="4" w:space="0"/>
              <w:right w:val="nil"/>
            </w:tcBorders>
            <w:noWrap w:val="0"/>
            <w:vAlign w:val="center"/>
          </w:tcPr>
          <w:p w14:paraId="17BB14C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tc>
        <w:tc>
          <w:tcPr>
            <w:tcW w:w="2693" w:type="dxa"/>
            <w:gridSpan w:val="3"/>
            <w:tcBorders>
              <w:top w:val="nil"/>
              <w:left w:val="nil"/>
              <w:bottom w:val="single" w:color="auto" w:sz="4" w:space="0"/>
              <w:right w:val="nil"/>
            </w:tcBorders>
            <w:noWrap w:val="0"/>
            <w:vAlign w:val="center"/>
          </w:tcPr>
          <w:p w14:paraId="42BE354E">
            <w:pPr>
              <w:keepNext w:val="0"/>
              <w:keepLines w:val="0"/>
              <w:pageBreakBefore w:val="0"/>
              <w:kinsoku/>
              <w:wordWrap w:val="0"/>
              <w:overflowPunct/>
              <w:topLinePunct w:val="0"/>
              <w:bidi w:val="0"/>
              <w:spacing w:line="360" w:lineRule="auto"/>
              <w:ind w:firstLine="360" w:firstLineChars="15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项目编号：</w:t>
            </w:r>
          </w:p>
        </w:tc>
        <w:tc>
          <w:tcPr>
            <w:tcW w:w="1843" w:type="dxa"/>
            <w:gridSpan w:val="3"/>
            <w:tcBorders>
              <w:top w:val="nil"/>
              <w:left w:val="nil"/>
              <w:bottom w:val="single" w:color="auto" w:sz="4" w:space="0"/>
              <w:right w:val="nil"/>
            </w:tcBorders>
            <w:noWrap w:val="0"/>
            <w:vAlign w:val="center"/>
          </w:tcPr>
          <w:p w14:paraId="599F287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tc>
      </w:tr>
      <w:tr w14:paraId="472CC2CF">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6F16D62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序号</w:t>
            </w:r>
          </w:p>
        </w:tc>
        <w:tc>
          <w:tcPr>
            <w:tcW w:w="1241" w:type="dxa"/>
            <w:tcBorders>
              <w:top w:val="single" w:color="auto" w:sz="4" w:space="0"/>
              <w:left w:val="single" w:color="auto" w:sz="4" w:space="0"/>
              <w:bottom w:val="single" w:color="auto" w:sz="4" w:space="0"/>
              <w:right w:val="single" w:color="auto" w:sz="4" w:space="0"/>
            </w:tcBorders>
            <w:noWrap w:val="0"/>
            <w:vAlign w:val="center"/>
          </w:tcPr>
          <w:p w14:paraId="23AFBBC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设备名称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27A39E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品牌型号</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2F229B7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生产厂家</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14:paraId="69BCA63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单位</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0DA3FBA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数量</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3CE2F6F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投标单价</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040928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小计（元）</w:t>
            </w: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5B14230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交货安装时间</w:t>
            </w:r>
          </w:p>
        </w:tc>
      </w:tr>
      <w:tr w14:paraId="1BEF5039">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0AC0E10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3253F3E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21D96F4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37B2A10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288A6B5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66615E3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4A0B367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245E4A2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352E661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1046458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2A210E36">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76BB366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6EA71E6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46E76BD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0C27E0D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5838A66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8C7C2A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3334B51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5267AE1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5FC3C4F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5C05CEE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53CA3001">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44122C9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689A561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220C171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4B9D2D8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3D0ABE1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4E54C7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525357C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0A2C940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05DBC06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51D96E1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3979235F">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348E81E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27E4960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6A9AE11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07E87989">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7DE5C31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565FD359">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3157F7F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556FA49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2350509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6712AD7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4D8F5584">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3322F05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0A72975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18A0B1C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14C8CFB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64F0933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1F2637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23703A2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7F225B8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712251E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2ADEE5B9">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32B8294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36472CE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10A2438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332330A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3508135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8470B7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0498907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1D9CF32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319E8DA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52BD5E65">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4FB2EA29">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4D7A1F5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3A34F20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1182728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26F4454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1038A12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5E381B8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5FB804E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6FBB534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341A133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bl>
    <w:p w14:paraId="2E62CB7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1EBFE82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4675899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4F81C6E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35FF75A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42EDEFE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6D9A9BA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3FBB7DB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7487BE1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7627FF3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79F6B98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4F70AB4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72434077">
      <w:pPr>
        <w:keepNext w:val="0"/>
        <w:keepLines w:val="0"/>
        <w:pageBreakBefore w:val="0"/>
        <w:kinsoku/>
        <w:wordWrap w:val="0"/>
        <w:overflowPunct/>
        <w:topLinePunct w:val="0"/>
        <w:bidi w:val="0"/>
        <w:spacing w:line="360" w:lineRule="auto"/>
        <w:ind w:firstLine="1440" w:firstLineChars="6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3BF22388">
      <w:pPr>
        <w:pStyle w:val="14"/>
        <w:numPr>
          <w:ilvl w:val="0"/>
          <w:numId w:val="0"/>
        </w:numPr>
        <w:kinsoku w:val="0"/>
        <w:autoSpaceDE w:val="0"/>
        <w:autoSpaceDN w:val="0"/>
        <w:adjustRightInd w:val="0"/>
        <w:snapToGrid w:val="0"/>
        <w:spacing w:line="240" w:lineRule="auto"/>
        <w:jc w:val="left"/>
        <w:textAlignment w:val="baseline"/>
        <w:rPr>
          <w:rFonts w:hint="eastAsia"/>
          <w:lang w:val="zh-CN" w:eastAsia="zh-CN"/>
        </w:rPr>
        <w:sectPr>
          <w:pgSz w:w="16840" w:h="11907" w:orient="landscape"/>
          <w:pgMar w:top="1800" w:right="1440" w:bottom="1800" w:left="1440" w:header="878" w:footer="886" w:gutter="0"/>
          <w:pgNumType w:fmt="decimal"/>
          <w:cols w:space="720" w:num="1"/>
        </w:sectPr>
      </w:pPr>
    </w:p>
    <w:p w14:paraId="6D5519C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lang w:eastAsia="zh-CN"/>
        </w:rPr>
        <w:t>商务偏差表格式</w:t>
      </w:r>
    </w:p>
    <w:p w14:paraId="51240807">
      <w:pPr>
        <w:keepNext w:val="0"/>
        <w:keepLines w:val="0"/>
        <w:pageBreakBefore w:val="0"/>
        <w:kinsoku/>
        <w:wordWrap w:val="0"/>
        <w:overflowPunct/>
        <w:topLinePunct w:val="0"/>
        <w:bidi w:val="0"/>
        <w:ind w:firstLine="482"/>
        <w:jc w:val="both"/>
        <w:rPr>
          <w:rFonts w:hint="eastAsia" w:asciiTheme="minorEastAsia" w:hAnsiTheme="minorEastAsia" w:eastAsiaTheme="minorEastAsia" w:cstheme="minorEastAsia"/>
          <w:b/>
          <w:sz w:val="24"/>
          <w:szCs w:val="24"/>
          <w:lang w:eastAsia="zh-CN"/>
        </w:rPr>
      </w:pPr>
    </w:p>
    <w:p w14:paraId="7076D398">
      <w:pPr>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商务偏差表</w:t>
      </w:r>
    </w:p>
    <w:p w14:paraId="6E1DF87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3E5A63E5">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14:paraId="5494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jc w:val="center"/>
        </w:trPr>
        <w:tc>
          <w:tcPr>
            <w:tcW w:w="827" w:type="dxa"/>
            <w:tcBorders>
              <w:top w:val="single" w:color="auto" w:sz="4" w:space="0"/>
              <w:left w:val="single" w:color="auto" w:sz="4" w:space="0"/>
              <w:bottom w:val="single" w:color="auto" w:sz="4" w:space="0"/>
              <w:right w:val="single" w:color="auto" w:sz="4" w:space="0"/>
            </w:tcBorders>
            <w:noWrap w:val="0"/>
            <w:vAlign w:val="center"/>
          </w:tcPr>
          <w:p w14:paraId="56F960F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0"/>
            <w:vAlign w:val="bottom"/>
          </w:tcPr>
          <w:p w14:paraId="7DA8564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招标文件</w:t>
            </w:r>
          </w:p>
          <w:p w14:paraId="7E1E390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0"/>
            <w:vAlign w:val="bottom"/>
          </w:tcPr>
          <w:p w14:paraId="5CB77A9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投标文件商务条款</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2DDDBB5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4F240D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14:paraId="785A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73AA205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A53D62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5475950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66D099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013760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4869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0C319C4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587B4C8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17C959F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E7D9EC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C78D77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794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0990148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952EA8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2D386E1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5553D16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3ECB98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766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2B62AB2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421D4D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70170E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B4F037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B03192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64C4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14CF032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C9A0CB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0CEA47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066BCA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D39B11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294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170173F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1D9DE7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9297A5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C0DB76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9B3D7E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224C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68B93F2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C5B94D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55568FB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DAABA9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43C262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6F01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0B6FCCA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E54D10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02E96C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2D633E8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7B758A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561A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35F9155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D96268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5FA13F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2172F84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AD8244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5152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0E95F0B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6D353B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CA809E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2B110E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EB6504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9C3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1EB1592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390059C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5E818F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331594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881D79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bl>
    <w:p w14:paraId="7861588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投标人（公章）：法定代表人（负责人）或授权代表（签字）：</w:t>
      </w:r>
    </w:p>
    <w:p w14:paraId="4326051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日期</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51BB2CCE">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13B2839B">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729DF292">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7441170B">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1FE993F1">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07626EEC">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5B5C9A67">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2D60483A">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1EEBC45B">
      <w:pPr>
        <w:keepNext w:val="0"/>
        <w:keepLines w:val="0"/>
        <w:pageBreakBefore w:val="0"/>
        <w:kinsoku/>
        <w:wordWrap w:val="0"/>
        <w:overflowPunct/>
        <w:topLinePunct w:val="0"/>
        <w:bidi w:val="0"/>
        <w:spacing w:after="120" w:line="360" w:lineRule="auto"/>
        <w:jc w:val="both"/>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关于符合本国产品标准的声明函（项目包含货物时适用）</w:t>
      </w:r>
    </w:p>
    <w:p w14:paraId="5D360E87">
      <w:pPr>
        <w:keepNext w:val="0"/>
        <w:keepLines w:val="0"/>
        <w:pageBreakBefore w:val="0"/>
        <w:kinsoku/>
        <w:wordWrap w:val="0"/>
        <w:overflowPunct/>
        <w:topLinePunct w:val="0"/>
        <w:bidi w:val="0"/>
        <w:spacing w:after="120" w:line="360" w:lineRule="auto"/>
        <w:jc w:val="center"/>
        <w:rPr>
          <w:rFonts w:hint="eastAsia" w:asciiTheme="minorEastAsia" w:hAnsiTheme="minorEastAsia" w:eastAsiaTheme="minorEastAsia" w:cstheme="minorEastAsia"/>
          <w:b w:val="0"/>
          <w:bCs/>
          <w:sz w:val="32"/>
          <w:szCs w:val="32"/>
          <w:lang w:val="en-US" w:eastAsia="zh-CN"/>
        </w:rPr>
      </w:pPr>
      <w:r>
        <w:rPr>
          <w:rFonts w:hint="eastAsia" w:ascii="黑体" w:hAnsi="黑体" w:eastAsia="黑体" w:cs="黑体"/>
          <w:b w:val="0"/>
          <w:bCs/>
          <w:sz w:val="32"/>
          <w:szCs w:val="32"/>
          <w:lang w:val="en-US" w:eastAsia="zh-CN"/>
        </w:rPr>
        <w:t>关于符合本国产品标准的声明函</w:t>
      </w:r>
    </w:p>
    <w:p w14:paraId="7CC07E83">
      <w:pPr>
        <w:keepNext w:val="0"/>
        <w:keepLines w:val="0"/>
        <w:pageBreakBefore w:val="0"/>
        <w:kinsoku/>
        <w:wordWrap w:val="0"/>
        <w:overflowPunct/>
        <w:topLinePunct w:val="0"/>
        <w:bidi w:val="0"/>
        <w:spacing w:after="120" w:line="360" w:lineRule="auto"/>
        <w:jc w:val="center"/>
        <w:rPr>
          <w:rFonts w:hint="eastAsia" w:asciiTheme="minorEastAsia" w:hAnsiTheme="minorEastAsia" w:eastAsiaTheme="minorEastAsia" w:cstheme="minorEastAsia"/>
          <w:b/>
          <w:sz w:val="32"/>
          <w:szCs w:val="32"/>
          <w:lang w:val="en-US" w:eastAsia="zh-CN"/>
        </w:rPr>
      </w:pPr>
    </w:p>
    <w:p w14:paraId="25CDA745">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本公司（单位）郑重声明，根据《国务院办公厅关于在政府采购中实施本国产品标准及相关政策的通知》（国办发〔2025〕34号）的规定，本公司（单位）提供的以下产品属于本国产品。具体情况如下：</w:t>
      </w:r>
    </w:p>
    <w:p w14:paraId="25041B2D">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w:t>
      </w:r>
      <w:r>
        <w:rPr>
          <w:rFonts w:hint="eastAsia" w:asciiTheme="minorEastAsia" w:hAnsiTheme="minorEastAsia" w:eastAsiaTheme="minorEastAsia" w:cstheme="minorEastAsia"/>
          <w:b w:val="0"/>
          <w:bCs/>
          <w:sz w:val="24"/>
          <w:szCs w:val="24"/>
          <w:u w:val="single"/>
          <w:lang w:val="en-US" w:eastAsia="zh-CN"/>
        </w:rPr>
        <w:t>（产品名称1）</w:t>
      </w:r>
      <w:r>
        <w:rPr>
          <w:rFonts w:hint="eastAsia" w:ascii="宋体" w:hAnsi="宋体" w:eastAsia="宋体" w:cs="宋体"/>
          <w:b w:val="0"/>
          <w:bCs/>
          <w:sz w:val="24"/>
          <w:szCs w:val="24"/>
          <w:lang w:val="en-US" w:eastAsia="zh-CN"/>
        </w:rPr>
        <w:t>①</w:t>
      </w:r>
      <w:r>
        <w:rPr>
          <w:rFonts w:hint="eastAsia" w:asciiTheme="minorEastAsia" w:hAnsiTheme="minorEastAsia" w:eastAsiaTheme="minorEastAsia" w:cstheme="minorEastAsia"/>
          <w:b w:val="0"/>
          <w:bCs/>
          <w:sz w:val="24"/>
          <w:szCs w:val="24"/>
          <w:lang w:val="en-US" w:eastAsia="zh-CN"/>
        </w:rPr>
        <w:t>，生产厂为</w:t>
      </w:r>
      <w:r>
        <w:rPr>
          <w:rFonts w:hint="eastAsia" w:asciiTheme="minorEastAsia" w:hAnsiTheme="minorEastAsia" w:eastAsiaTheme="minorEastAsia" w:cstheme="minorEastAsia"/>
          <w:b w:val="0"/>
          <w:bCs/>
          <w:sz w:val="24"/>
          <w:szCs w:val="24"/>
          <w:u w:val="single"/>
          <w:lang w:val="en-US" w:eastAsia="zh-CN"/>
        </w:rPr>
        <w:t>（厂名）</w:t>
      </w:r>
      <w:r>
        <w:rPr>
          <w:rFonts w:hint="eastAsia" w:ascii="宋体" w:hAnsi="宋体" w:eastAsia="宋体" w:cs="宋体"/>
          <w:b w:val="0"/>
          <w:bCs/>
          <w:sz w:val="24"/>
          <w:szCs w:val="24"/>
          <w:lang w:val="en-US" w:eastAsia="zh-CN"/>
        </w:rPr>
        <w:t>②</w:t>
      </w:r>
      <w:r>
        <w:rPr>
          <w:rFonts w:hint="eastAsia" w:asciiTheme="minorEastAsia" w:hAnsiTheme="minorEastAsia" w:eastAsiaTheme="minorEastAsia" w:cstheme="minorEastAsia"/>
          <w:b w:val="0"/>
          <w:bCs/>
          <w:sz w:val="24"/>
          <w:szCs w:val="24"/>
          <w:lang w:val="en-US" w:eastAsia="zh-CN"/>
        </w:rPr>
        <w:t>，厂址为</w:t>
      </w:r>
      <w:r>
        <w:rPr>
          <w:rFonts w:hint="eastAsia" w:asciiTheme="minorEastAsia" w:hAnsiTheme="minorEastAsia" w:eastAsiaTheme="minorEastAsia" w:cstheme="minorEastAsia"/>
          <w:b w:val="0"/>
          <w:bCs/>
          <w:sz w:val="24"/>
          <w:szCs w:val="24"/>
          <w:u w:val="single"/>
          <w:lang w:val="en-US" w:eastAsia="zh-CN"/>
        </w:rPr>
        <w:t>（生产厂址）</w:t>
      </w:r>
      <w:r>
        <w:rPr>
          <w:rFonts w:hint="eastAsia" w:asciiTheme="minorEastAsia" w:hAnsiTheme="minorEastAsia" w:eastAsiaTheme="minorEastAsia" w:cstheme="minorEastAsia"/>
          <w:b w:val="0"/>
          <w:bCs/>
          <w:sz w:val="24"/>
          <w:szCs w:val="24"/>
          <w:lang w:val="en-US" w:eastAsia="zh-CN"/>
        </w:rPr>
        <w:t>。</w:t>
      </w:r>
      <w:r>
        <w:rPr>
          <w:rFonts w:hint="eastAsia" w:asciiTheme="minorEastAsia" w:hAnsiTheme="minorEastAsia" w:eastAsiaTheme="minorEastAsia" w:cstheme="minorEastAsia"/>
          <w:b w:val="0"/>
          <w:bCs/>
          <w:sz w:val="24"/>
          <w:szCs w:val="24"/>
          <w:u w:val="single"/>
          <w:lang w:val="en-US" w:eastAsia="zh-CN"/>
        </w:rPr>
        <w:t>（产品名称1）</w:t>
      </w:r>
      <w:r>
        <w:rPr>
          <w:rFonts w:hint="eastAsia" w:asciiTheme="minorEastAsia" w:hAnsiTheme="minorEastAsia" w:eastAsiaTheme="minorEastAsia" w:cstheme="minorEastAsia"/>
          <w:b w:val="0"/>
          <w:bCs/>
          <w:sz w:val="24"/>
          <w:szCs w:val="24"/>
          <w:lang w:val="en-US" w:eastAsia="zh-CN"/>
        </w:rPr>
        <w:t>的中国境内生产的组件成本占比≥</w:t>
      </w:r>
      <w:r>
        <w:rPr>
          <w:rFonts w:hint="eastAsia" w:asciiTheme="minorEastAsia" w:hAnsiTheme="minorEastAsia" w:eastAsiaTheme="minorEastAsia" w:cstheme="minorEastAsia"/>
          <w:b w:val="0"/>
          <w:bCs/>
          <w:sz w:val="24"/>
          <w:szCs w:val="24"/>
          <w:u w:val="single"/>
          <w:lang w:val="en-US" w:eastAsia="zh-CN"/>
        </w:rPr>
        <w:t>（规定比例）</w:t>
      </w:r>
      <w:r>
        <w:rPr>
          <w:rFonts w:hint="eastAsia" w:ascii="宋体" w:hAnsi="宋体" w:eastAsia="宋体" w:cs="宋体"/>
          <w:b w:val="0"/>
          <w:bCs/>
          <w:sz w:val="24"/>
          <w:szCs w:val="24"/>
          <w:lang w:val="en-US" w:eastAsia="zh-CN"/>
        </w:rPr>
        <w:t>③</w:t>
      </w:r>
      <w:r>
        <w:rPr>
          <w:rFonts w:hint="eastAsia" w:asciiTheme="minorEastAsia" w:hAnsiTheme="minorEastAsia" w:eastAsiaTheme="minorEastAsia" w:cstheme="minorEastAsia"/>
          <w:b w:val="0"/>
          <w:bCs/>
          <w:sz w:val="24"/>
          <w:szCs w:val="24"/>
          <w:lang w:val="en-US" w:eastAsia="zh-CN"/>
        </w:rPr>
        <w:t>。（产品名称1）的</w:t>
      </w:r>
      <w:r>
        <w:rPr>
          <w:rFonts w:hint="eastAsia" w:asciiTheme="minorEastAsia" w:hAnsiTheme="minorEastAsia" w:eastAsiaTheme="minorEastAsia" w:cstheme="minorEastAsia"/>
          <w:b w:val="0"/>
          <w:bCs/>
          <w:sz w:val="24"/>
          <w:szCs w:val="24"/>
          <w:u w:val="single"/>
          <w:lang w:val="en-US" w:eastAsia="zh-CN"/>
        </w:rPr>
        <w:t>（关键组件）</w:t>
      </w:r>
      <w:r>
        <w:rPr>
          <w:rFonts w:hint="eastAsia" w:ascii="宋体" w:hAnsi="宋体" w:eastAsia="宋体" w:cs="宋体"/>
          <w:b w:val="0"/>
          <w:bCs/>
          <w:sz w:val="24"/>
          <w:szCs w:val="24"/>
          <w:lang w:val="en-US" w:eastAsia="zh-CN"/>
        </w:rPr>
        <w:t>④</w:t>
      </w:r>
      <w:r>
        <w:rPr>
          <w:rFonts w:hint="eastAsia" w:asciiTheme="minorEastAsia" w:hAnsiTheme="minorEastAsia" w:eastAsiaTheme="minorEastAsia" w:cstheme="minorEastAsia"/>
          <w:b w:val="0"/>
          <w:bCs/>
          <w:sz w:val="24"/>
          <w:szCs w:val="24"/>
          <w:lang w:val="en-US" w:eastAsia="zh-CN"/>
        </w:rPr>
        <w:t>在中国境内生产。</w:t>
      </w:r>
      <w:r>
        <w:rPr>
          <w:rFonts w:hint="eastAsia" w:asciiTheme="minorEastAsia" w:hAnsiTheme="minorEastAsia" w:eastAsiaTheme="minorEastAsia" w:cstheme="minorEastAsia"/>
          <w:b w:val="0"/>
          <w:bCs/>
          <w:sz w:val="24"/>
          <w:szCs w:val="24"/>
          <w:u w:val="single"/>
          <w:lang w:val="en-US" w:eastAsia="zh-CN"/>
        </w:rPr>
        <w:t>（产品名称1）</w:t>
      </w:r>
      <w:r>
        <w:rPr>
          <w:rFonts w:hint="eastAsia" w:asciiTheme="minorEastAsia" w:hAnsiTheme="minorEastAsia" w:eastAsiaTheme="minorEastAsia" w:cstheme="minorEastAsia"/>
          <w:b w:val="0"/>
          <w:bCs/>
          <w:sz w:val="24"/>
          <w:szCs w:val="24"/>
          <w:lang w:val="en-US" w:eastAsia="zh-CN"/>
        </w:rPr>
        <w:t>的</w:t>
      </w:r>
      <w:r>
        <w:rPr>
          <w:rFonts w:hint="eastAsia" w:asciiTheme="minorEastAsia" w:hAnsiTheme="minorEastAsia" w:eastAsiaTheme="minorEastAsia" w:cstheme="minorEastAsia"/>
          <w:b w:val="0"/>
          <w:bCs/>
          <w:sz w:val="24"/>
          <w:szCs w:val="24"/>
          <w:u w:val="single"/>
          <w:lang w:val="en-US" w:eastAsia="zh-CN"/>
        </w:rPr>
        <w:t>（关键工序）</w:t>
      </w:r>
      <w:r>
        <w:rPr>
          <w:rFonts w:hint="eastAsia" w:ascii="宋体" w:hAnsi="宋体" w:eastAsia="宋体" w:cs="宋体"/>
          <w:b w:val="0"/>
          <w:bCs/>
          <w:sz w:val="24"/>
          <w:szCs w:val="24"/>
          <w:lang w:val="en-US" w:eastAsia="zh-CN"/>
        </w:rPr>
        <w:t>⑤</w:t>
      </w:r>
      <w:r>
        <w:rPr>
          <w:rFonts w:hint="eastAsia" w:asciiTheme="minorEastAsia" w:hAnsiTheme="minorEastAsia" w:eastAsiaTheme="minorEastAsia" w:cstheme="minorEastAsia"/>
          <w:b w:val="0"/>
          <w:bCs/>
          <w:sz w:val="24"/>
          <w:szCs w:val="24"/>
          <w:lang w:val="en-US" w:eastAsia="zh-CN"/>
        </w:rPr>
        <w:t>在中国境内完成。</w:t>
      </w:r>
    </w:p>
    <w:p w14:paraId="2387080C">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产品名称2），生产厂为（厂名），厂址为（生产厂址）。（产品名称2）的中国境内生产的组件成本占比≥（规定比例）。（产品名称2）的（关键组件）在中国境内生产。（产品名称2）的（关键工序）在中国境内完成。</w:t>
      </w:r>
    </w:p>
    <w:p w14:paraId="3CF5DA25">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w:t>
      </w:r>
    </w:p>
    <w:p w14:paraId="36D70C11">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本公司（单位）对上述声明内容的真实性负责。如有虚假，愿承担相应法律责任。</w:t>
      </w:r>
    </w:p>
    <w:p w14:paraId="5A9E3C2D">
      <w:pPr>
        <w:keepNext w:val="0"/>
        <w:keepLines w:val="0"/>
        <w:pageBreakBefore w:val="0"/>
        <w:kinsoku/>
        <w:wordWrap w:val="0"/>
        <w:overflowPunct/>
        <w:topLinePunct w:val="0"/>
        <w:bidi w:val="0"/>
        <w:spacing w:after="120" w:line="360" w:lineRule="auto"/>
        <w:ind w:firstLine="4320" w:firstLineChars="1800"/>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val="0"/>
          <w:bCs/>
          <w:sz w:val="24"/>
          <w:szCs w:val="24"/>
          <w:lang w:val="en-US" w:eastAsia="zh-CN"/>
        </w:rPr>
        <w:t>公司（单位）名称（盖章）：　                                        日期：　     年　  月　  日</w:t>
      </w:r>
      <w:r>
        <w:rPr>
          <w:rFonts w:hint="eastAsia" w:asciiTheme="minorEastAsia" w:hAnsiTheme="minorEastAsia" w:eastAsiaTheme="minorEastAsia" w:cstheme="minorEastAsia"/>
          <w:b/>
          <w:sz w:val="24"/>
          <w:szCs w:val="24"/>
          <w:lang w:val="en-US" w:eastAsia="zh-CN"/>
        </w:rPr>
        <w:t>         </w:t>
      </w:r>
    </w:p>
    <w:p w14:paraId="2A21D916">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注：</w:t>
      </w:r>
      <w:r>
        <w:rPr>
          <w:rFonts w:hint="eastAsia" w:ascii="宋体" w:hAnsi="宋体" w:eastAsia="宋体" w:cs="宋体"/>
          <w:b w:val="0"/>
          <w:bCs/>
          <w:sz w:val="24"/>
          <w:szCs w:val="24"/>
          <w:lang w:val="en-US" w:eastAsia="zh-CN"/>
        </w:rPr>
        <w:t>①</w:t>
      </w:r>
      <w:r>
        <w:rPr>
          <w:rFonts w:hint="eastAsia" w:asciiTheme="minorEastAsia" w:hAnsiTheme="minorEastAsia" w:eastAsiaTheme="minorEastAsia" w:cstheme="minorEastAsia"/>
          <w:b w:val="0"/>
          <w:bCs/>
          <w:sz w:val="24"/>
          <w:szCs w:val="24"/>
          <w:lang w:val="en-US" w:eastAsia="zh-CN"/>
        </w:rPr>
        <w:t>产品如有型号，请在“产品名称”栏一并填写。</w:t>
      </w:r>
    </w:p>
    <w:p w14:paraId="54623B0F">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宋体" w:hAnsi="宋体" w:eastAsia="宋体" w:cs="宋体"/>
          <w:b w:val="0"/>
          <w:bCs/>
          <w:sz w:val="24"/>
          <w:szCs w:val="24"/>
          <w:lang w:val="en-US" w:eastAsia="zh-CN"/>
        </w:rPr>
        <w:t>②</w:t>
      </w:r>
      <w:r>
        <w:rPr>
          <w:rFonts w:hint="eastAsia" w:asciiTheme="minorEastAsia" w:hAnsiTheme="minorEastAsia" w:eastAsiaTheme="minorEastAsia" w:cstheme="minorEastAsia"/>
          <w:b w:val="0"/>
          <w:bCs/>
          <w:sz w:val="24"/>
          <w:szCs w:val="24"/>
          <w:lang w:val="en-US" w:eastAsia="zh-CN"/>
        </w:rPr>
        <w:t>生产厂名与厂址应与生产厂营业执照载明的相关信息保持一致。</w:t>
      </w:r>
    </w:p>
    <w:p w14:paraId="5BC3F44B">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宋体" w:hAnsi="宋体" w:eastAsia="宋体" w:cs="宋体"/>
          <w:b w:val="0"/>
          <w:bCs/>
          <w:sz w:val="24"/>
          <w:szCs w:val="24"/>
          <w:lang w:val="en-US" w:eastAsia="zh-CN"/>
        </w:rPr>
        <w:t>③</w:t>
      </w:r>
      <w:r>
        <w:rPr>
          <w:rFonts w:hint="eastAsia" w:asciiTheme="minorEastAsia" w:hAnsiTheme="minorEastAsia" w:eastAsiaTheme="minorEastAsia" w:cstheme="minorEastAsia"/>
          <w:b w:val="0"/>
          <w:bCs/>
          <w:sz w:val="24"/>
          <w:szCs w:val="24"/>
          <w:lang w:val="en-US" w:eastAsia="zh-CN"/>
        </w:rPr>
        <w:t>该产品的中国境内生产的组件成本占比相关要求实施前，“规定比例”栏可不填，下同。</w:t>
      </w:r>
    </w:p>
    <w:p w14:paraId="24FB3A5E">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宋体" w:hAnsi="宋体" w:eastAsia="宋体" w:cs="宋体"/>
          <w:b w:val="0"/>
          <w:bCs/>
          <w:sz w:val="24"/>
          <w:szCs w:val="24"/>
          <w:lang w:val="en-US" w:eastAsia="zh-CN"/>
        </w:rPr>
        <w:t>④</w:t>
      </w:r>
      <w:r>
        <w:rPr>
          <w:rFonts w:hint="eastAsia" w:asciiTheme="minorEastAsia" w:hAnsiTheme="minorEastAsia" w:eastAsiaTheme="minorEastAsia" w:cstheme="minorEastAsia"/>
          <w:b w:val="0"/>
          <w:bCs/>
          <w:sz w:val="24"/>
          <w:szCs w:val="24"/>
          <w:lang w:val="en-US" w:eastAsia="zh-CN"/>
        </w:rPr>
        <w:t>该产品的关键组件要求实施前，“关键组件”栏可不填，下同。</w:t>
      </w:r>
    </w:p>
    <w:p w14:paraId="2219B36F">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r>
        <w:rPr>
          <w:rFonts w:hint="eastAsia" w:ascii="宋体" w:hAnsi="宋体" w:eastAsia="宋体" w:cs="宋体"/>
          <w:b w:val="0"/>
          <w:bCs/>
          <w:sz w:val="24"/>
          <w:szCs w:val="24"/>
          <w:lang w:val="en-US" w:eastAsia="zh-CN"/>
        </w:rPr>
        <w:t>⑤</w:t>
      </w:r>
      <w:r>
        <w:rPr>
          <w:rFonts w:hint="eastAsia" w:asciiTheme="minorEastAsia" w:hAnsiTheme="minorEastAsia" w:eastAsiaTheme="minorEastAsia" w:cstheme="minorEastAsia"/>
          <w:b w:val="0"/>
          <w:bCs/>
          <w:sz w:val="24"/>
          <w:szCs w:val="24"/>
          <w:lang w:val="en-US" w:eastAsia="zh-CN"/>
        </w:rPr>
        <w:t>该产品的关键工序要求实施前，“关键工序”栏可不填，下同。</w:t>
      </w:r>
    </w:p>
    <w:p w14:paraId="7CE66539">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60C448B0">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24A9CC02">
      <w:pPr>
        <w:keepNext w:val="0"/>
        <w:keepLines w:val="0"/>
        <w:pageBreakBefore w:val="0"/>
        <w:numPr>
          <w:ilvl w:val="0"/>
          <w:numId w:val="0"/>
        </w:numPr>
        <w:kinsoku/>
        <w:wordWrap w:val="0"/>
        <w:overflowPunct/>
        <w:topLinePunct w:val="0"/>
        <w:bidi w:val="0"/>
        <w:spacing w:line="360" w:lineRule="auto"/>
        <w:jc w:val="both"/>
        <w:rPr>
          <w:rFonts w:hint="default" w:ascii="宋体" w:hAnsi="宋体"/>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rPr>
        <w:t>5.售</w:t>
      </w:r>
      <w:r>
        <w:rPr>
          <w:rFonts w:hint="eastAsia" w:asciiTheme="minorEastAsia" w:hAnsiTheme="minorEastAsia" w:eastAsiaTheme="minorEastAsia" w:cstheme="minorEastAsia"/>
          <w:b/>
          <w:sz w:val="24"/>
          <w:szCs w:val="24"/>
          <w:highlight w:val="none"/>
          <w:lang w:eastAsia="zh-CN"/>
        </w:rPr>
        <w:t>后服务</w:t>
      </w:r>
      <w:r>
        <w:rPr>
          <w:rFonts w:hint="eastAsia" w:asciiTheme="minorEastAsia" w:hAnsiTheme="minorEastAsia" w:eastAsiaTheme="minorEastAsia" w:cstheme="minorEastAsia"/>
          <w:b/>
          <w:sz w:val="24"/>
          <w:szCs w:val="24"/>
          <w:highlight w:val="none"/>
          <w:lang w:val="en-US" w:eastAsia="zh-CN"/>
        </w:rPr>
        <w:t>方案</w:t>
      </w:r>
    </w:p>
    <w:p w14:paraId="58C2070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highlight w:val="none"/>
          <w:lang w:eastAsia="zh-CN"/>
        </w:rPr>
      </w:pPr>
      <w:r>
        <w:rPr>
          <w:rFonts w:hint="eastAsia" w:asciiTheme="minorEastAsia" w:hAnsiTheme="minorEastAsia" w:eastAsiaTheme="minorEastAsia" w:cstheme="minorEastAsia"/>
          <w:b/>
          <w:sz w:val="24"/>
          <w:szCs w:val="24"/>
          <w:highlight w:val="none"/>
          <w:lang w:val="en-US" w:eastAsia="zh-CN"/>
        </w:rPr>
        <w:t>6.</w:t>
      </w:r>
      <w:r>
        <w:rPr>
          <w:rFonts w:hint="eastAsia" w:asciiTheme="minorEastAsia" w:hAnsiTheme="minorEastAsia" w:eastAsiaTheme="minorEastAsia" w:cstheme="minorEastAsia"/>
          <w:b/>
          <w:sz w:val="24"/>
          <w:szCs w:val="24"/>
          <w:highlight w:val="none"/>
          <w:lang w:eastAsia="zh-CN"/>
        </w:rPr>
        <w:t>投标人业绩</w:t>
      </w:r>
    </w:p>
    <w:p w14:paraId="4324DF9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rPr>
        <w:t>7.调研证明</w:t>
      </w:r>
    </w:p>
    <w:p w14:paraId="100B5DB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highlight w:val="none"/>
          <w:lang w:val="en-US" w:eastAsia="zh-CN"/>
        </w:rPr>
        <w:t>8</w:t>
      </w:r>
      <w:r>
        <w:rPr>
          <w:rFonts w:hint="eastAsia" w:asciiTheme="minorEastAsia" w:hAnsiTheme="minorEastAsia" w:eastAsiaTheme="minorEastAsia" w:cstheme="minorEastAsia"/>
          <w:b/>
          <w:sz w:val="24"/>
          <w:szCs w:val="24"/>
          <w:lang w:val="en-US" w:eastAsia="zh-CN"/>
        </w:rPr>
        <w:t>.</w:t>
      </w:r>
      <w:r>
        <w:rPr>
          <w:rFonts w:hint="eastAsia" w:asciiTheme="minorEastAsia" w:hAnsiTheme="minorEastAsia" w:eastAsiaTheme="minorEastAsia" w:cstheme="minorEastAsia"/>
          <w:b/>
          <w:sz w:val="24"/>
          <w:szCs w:val="24"/>
          <w:lang w:eastAsia="zh-CN"/>
        </w:rPr>
        <w:t>节能产品、环境标志产品明细表</w:t>
      </w:r>
    </w:p>
    <w:p w14:paraId="74D82A84">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p>
    <w:p w14:paraId="0AB69C8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p>
    <w:p w14:paraId="0E5C93D9">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节能产品明细表</w:t>
      </w:r>
    </w:p>
    <w:p w14:paraId="1375CAE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810"/>
        <w:gridCol w:w="1125"/>
        <w:gridCol w:w="1110"/>
        <w:gridCol w:w="1380"/>
        <w:gridCol w:w="780"/>
        <w:gridCol w:w="720"/>
        <w:gridCol w:w="705"/>
      </w:tblGrid>
      <w:tr w14:paraId="23B4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04" w:type="dxa"/>
            <w:tcBorders>
              <w:top w:val="single" w:color="auto" w:sz="4" w:space="0"/>
              <w:left w:val="single" w:color="auto" w:sz="4" w:space="0"/>
              <w:bottom w:val="single" w:color="auto" w:sz="4" w:space="0"/>
              <w:right w:val="single" w:color="auto" w:sz="4" w:space="0"/>
            </w:tcBorders>
            <w:noWrap w:val="0"/>
            <w:vAlign w:val="top"/>
          </w:tcPr>
          <w:p w14:paraId="0F9A247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810" w:type="dxa"/>
            <w:tcBorders>
              <w:top w:val="single" w:color="auto" w:sz="4" w:space="0"/>
              <w:left w:val="single" w:color="auto" w:sz="4" w:space="0"/>
              <w:bottom w:val="single" w:color="auto" w:sz="4" w:space="0"/>
              <w:right w:val="single" w:color="auto" w:sz="4" w:space="0"/>
            </w:tcBorders>
            <w:noWrap w:val="0"/>
            <w:vAlign w:val="top"/>
          </w:tcPr>
          <w:p w14:paraId="4D3EE25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25" w:type="dxa"/>
            <w:tcBorders>
              <w:top w:val="single" w:color="auto" w:sz="4" w:space="0"/>
              <w:left w:val="single" w:color="auto" w:sz="4" w:space="0"/>
              <w:bottom w:val="single" w:color="auto" w:sz="4" w:space="0"/>
              <w:right w:val="single" w:color="auto" w:sz="4" w:space="0"/>
            </w:tcBorders>
            <w:noWrap w:val="0"/>
            <w:vAlign w:val="top"/>
          </w:tcPr>
          <w:p w14:paraId="675A5EEC">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品牌</w:t>
            </w:r>
          </w:p>
          <w:p w14:paraId="2DE6076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110" w:type="dxa"/>
            <w:tcBorders>
              <w:top w:val="single" w:color="auto" w:sz="4" w:space="0"/>
              <w:left w:val="single" w:color="auto" w:sz="4" w:space="0"/>
              <w:bottom w:val="single" w:color="auto" w:sz="4" w:space="0"/>
              <w:right w:val="single" w:color="auto" w:sz="4" w:space="0"/>
            </w:tcBorders>
            <w:noWrap w:val="0"/>
            <w:vAlign w:val="top"/>
          </w:tcPr>
          <w:p w14:paraId="63B3C8F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节字标</w:t>
            </w:r>
          </w:p>
          <w:p w14:paraId="7B83E19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志认证</w:t>
            </w:r>
          </w:p>
          <w:p w14:paraId="2A4F7DE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证书号</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141F063A">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国家节能产品认证证书有效截止日期</w:t>
            </w:r>
          </w:p>
        </w:tc>
        <w:tc>
          <w:tcPr>
            <w:tcW w:w="780" w:type="dxa"/>
            <w:tcBorders>
              <w:top w:val="single" w:color="auto" w:sz="4" w:space="0"/>
              <w:left w:val="single" w:color="auto" w:sz="4" w:space="0"/>
              <w:bottom w:val="single" w:color="auto" w:sz="4" w:space="0"/>
              <w:right w:val="single" w:color="auto" w:sz="4" w:space="0"/>
            </w:tcBorders>
            <w:noWrap w:val="0"/>
            <w:vAlign w:val="top"/>
          </w:tcPr>
          <w:p w14:paraId="398EEB8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val="0"/>
            <w:vAlign w:val="top"/>
          </w:tcPr>
          <w:p w14:paraId="23770AB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val="0"/>
            <w:vAlign w:val="top"/>
          </w:tcPr>
          <w:p w14:paraId="4EE556AE">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14:paraId="1D44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14:paraId="3CCD4B0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14:paraId="3B2ECFD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1C3F272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239C134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714D481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1EF6CC1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2C23A12B">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10651F5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r w14:paraId="1FE4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14:paraId="46751D7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14:paraId="16358987">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76A8117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63C61C7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08E4C31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6A94A09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403C440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086E01B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r w14:paraId="1521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14:paraId="5ED5148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14:paraId="69374B3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7A0EC816">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5797C24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1AB5B38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3162538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42D436A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674BEB1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bl>
    <w:p w14:paraId="6099353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107705A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p>
    <w:p w14:paraId="67B3D9D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环境标志产品明细表</w:t>
      </w:r>
    </w:p>
    <w:p w14:paraId="30A960B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780"/>
        <w:gridCol w:w="1110"/>
        <w:gridCol w:w="1125"/>
        <w:gridCol w:w="1380"/>
        <w:gridCol w:w="750"/>
        <w:gridCol w:w="720"/>
        <w:gridCol w:w="705"/>
      </w:tblGrid>
      <w:tr w14:paraId="099B1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34" w:type="dxa"/>
            <w:tcBorders>
              <w:top w:val="single" w:color="auto" w:sz="4" w:space="0"/>
              <w:left w:val="single" w:color="auto" w:sz="4" w:space="0"/>
              <w:bottom w:val="single" w:color="auto" w:sz="4" w:space="0"/>
              <w:right w:val="single" w:color="auto" w:sz="4" w:space="0"/>
            </w:tcBorders>
            <w:noWrap w:val="0"/>
            <w:vAlign w:val="top"/>
          </w:tcPr>
          <w:p w14:paraId="3E2D3E1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780" w:type="dxa"/>
            <w:tcBorders>
              <w:top w:val="single" w:color="auto" w:sz="4" w:space="0"/>
              <w:left w:val="single" w:color="auto" w:sz="4" w:space="0"/>
              <w:bottom w:val="single" w:color="auto" w:sz="4" w:space="0"/>
              <w:right w:val="single" w:color="auto" w:sz="4" w:space="0"/>
            </w:tcBorders>
            <w:noWrap w:val="0"/>
            <w:vAlign w:val="top"/>
          </w:tcPr>
          <w:p w14:paraId="1BBCBEE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10" w:type="dxa"/>
            <w:tcBorders>
              <w:top w:val="single" w:color="auto" w:sz="4" w:space="0"/>
              <w:left w:val="single" w:color="auto" w:sz="4" w:space="0"/>
              <w:bottom w:val="single" w:color="auto" w:sz="4" w:space="0"/>
              <w:right w:val="single" w:color="auto" w:sz="4" w:space="0"/>
            </w:tcBorders>
            <w:noWrap w:val="0"/>
            <w:vAlign w:val="top"/>
          </w:tcPr>
          <w:p w14:paraId="695B515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品牌</w:t>
            </w:r>
          </w:p>
          <w:p w14:paraId="00E8B77E">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125" w:type="dxa"/>
            <w:tcBorders>
              <w:top w:val="single" w:color="auto" w:sz="4" w:space="0"/>
              <w:left w:val="single" w:color="auto" w:sz="4" w:space="0"/>
              <w:bottom w:val="single" w:color="auto" w:sz="4" w:space="0"/>
              <w:right w:val="single" w:color="auto" w:sz="4" w:space="0"/>
            </w:tcBorders>
            <w:noWrap w:val="0"/>
            <w:vAlign w:val="top"/>
          </w:tcPr>
          <w:p w14:paraId="23F69A0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中国环境标志认证证书编号</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25268F1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认证证书有效截止日期</w:t>
            </w:r>
          </w:p>
        </w:tc>
        <w:tc>
          <w:tcPr>
            <w:tcW w:w="750" w:type="dxa"/>
            <w:tcBorders>
              <w:top w:val="single" w:color="auto" w:sz="4" w:space="0"/>
              <w:left w:val="single" w:color="auto" w:sz="4" w:space="0"/>
              <w:bottom w:val="single" w:color="auto" w:sz="4" w:space="0"/>
              <w:right w:val="single" w:color="auto" w:sz="4" w:space="0"/>
            </w:tcBorders>
            <w:noWrap w:val="0"/>
            <w:vAlign w:val="top"/>
          </w:tcPr>
          <w:p w14:paraId="45D20F6B">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val="0"/>
            <w:vAlign w:val="top"/>
          </w:tcPr>
          <w:p w14:paraId="58E4757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val="0"/>
            <w:vAlign w:val="top"/>
          </w:tcPr>
          <w:p w14:paraId="04E6FBC6">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14:paraId="2102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14:paraId="6314DD67">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428D1D6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5BFA50E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0EC8E516">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7FA28E7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14:paraId="55D04C2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7E29923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268A653A">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r w14:paraId="0BBC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14:paraId="67320C5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5D5C5D9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24A29D7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6F6CBDB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78407117">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14:paraId="2A009B0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7810EB2E">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46964C9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r w14:paraId="6D6B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14:paraId="7084CEBB">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5755C4E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2AF31F6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7C57D10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1AF129F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14:paraId="3E8ABF3C">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4B97E75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06C8F42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bl>
    <w:p w14:paraId="454A715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7EABF0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填报要求：</w:t>
      </w:r>
    </w:p>
    <w:p w14:paraId="20390387">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1.本表的设备名称、品牌型号、金额应与货物分项报价一览表一致。</w:t>
      </w:r>
    </w:p>
    <w:p w14:paraId="2F983EA3">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2.节能产品是指财政部和国家发展和改革委员会公布的《节能产品政府采购品目清单》中的产品。投标人须在投标文件中附该产品节能证书，否则评标委员会有权不予认可。</w:t>
      </w:r>
    </w:p>
    <w:p w14:paraId="4CFC28EF">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3.环境标志产品是指财政部、生态环境部发布的《环境标志产品政府采购品目清单》中的产品。投标人须在投标文件中附该产品环保证书，否则评委委员会有权不予认可。</w:t>
      </w:r>
    </w:p>
    <w:p w14:paraId="261556D1">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4.请投标人正确填写本表，所填内容将作为评审的依据。其内容或数据应与对应的证明资料相符。</w:t>
      </w:r>
    </w:p>
    <w:p w14:paraId="17507685">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bCs/>
          <w:sz w:val="24"/>
          <w:szCs w:val="24"/>
          <w:lang w:eastAsia="zh-CN"/>
        </w:rPr>
        <w:t>5.没有相关产品可不提供本表。</w:t>
      </w:r>
    </w:p>
    <w:p w14:paraId="3311F49D">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14C82BD">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71296D3C">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3B79E6F">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F39BFD0">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E0F715B">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663B187B">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58FC171">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0821EDB">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2E7122E">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496AEF1">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BF0F9AA">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7B0152A">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4C45FF8">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070F7498">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6DAC0B9">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631EA4A">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C3BC2FD">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134B17C">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71EC206">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AC942DB">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6FC5F7AD">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066DA02">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E56DD7C">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DB84E4E">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DBE8487">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B651631">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702B796">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F378CEC">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43F12BF">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F3010B4">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AB5D771">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760C8AE5">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6B1F1646">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797A5CB">
      <w:pPr>
        <w:pStyle w:val="14"/>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C478A1F">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p>
    <w:p w14:paraId="14D933A4">
      <w:pPr>
        <w:pStyle w:val="6"/>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eastAsia="Arial" w:cs="Arial"/>
          <w:b/>
          <w:snapToGrid w:val="0"/>
          <w:color w:val="000000"/>
          <w:kern w:val="0"/>
          <w:sz w:val="24"/>
          <w:szCs w:val="24"/>
          <w:lang w:val="en-US" w:eastAsia="zh-CN" w:bidi="ar-SA"/>
        </w:rPr>
      </w:pPr>
    </w:p>
    <w:p w14:paraId="4D9CF449">
      <w:pPr>
        <w:pStyle w:val="6"/>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r>
        <w:rPr>
          <w:rFonts w:hint="eastAsia" w:eastAsia="Arial" w:cs="Arial"/>
          <w:b/>
          <w:snapToGrid w:val="0"/>
          <w:color w:val="000000"/>
          <w:kern w:val="0"/>
          <w:sz w:val="24"/>
          <w:szCs w:val="24"/>
          <w:lang w:val="en-US" w:eastAsia="zh-CN" w:bidi="ar-SA"/>
        </w:rPr>
        <w:t>9.</w:t>
      </w:r>
      <w:r>
        <w:rPr>
          <w:rFonts w:hint="eastAsia" w:ascii="宋体" w:hAnsi="宋体" w:eastAsia="Arial" w:cs="Arial"/>
          <w:b/>
          <w:snapToGrid w:val="0"/>
          <w:color w:val="000000"/>
          <w:kern w:val="0"/>
          <w:sz w:val="24"/>
          <w:szCs w:val="24"/>
          <w:lang w:val="en-US" w:eastAsia="zh-CN" w:bidi="ar-SA"/>
        </w:rPr>
        <w:t>小企业、监狱企业或残疾人福利性单位声明函</w:t>
      </w:r>
      <w:r>
        <w:rPr>
          <w:rFonts w:hint="eastAsia" w:eastAsia="Arial" w:cs="Arial"/>
          <w:b/>
          <w:snapToGrid w:val="0"/>
          <w:color w:val="000000"/>
          <w:kern w:val="0"/>
          <w:sz w:val="24"/>
          <w:szCs w:val="24"/>
          <w:lang w:val="en-US" w:eastAsia="zh-CN" w:bidi="ar-SA"/>
        </w:rPr>
        <w:t>（对于专门面向中小企业采购的项目必须提供，不专门面向的项目可选择提供）</w:t>
      </w:r>
    </w:p>
    <w:p w14:paraId="20B967E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14:paraId="0B1D673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t>中小企业声明函（货物）格式</w:t>
      </w:r>
    </w:p>
    <w:p w14:paraId="7DF5D80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133772E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0"/>
          <w:sz w:val="24"/>
          <w:szCs w:val="24"/>
        </w:rPr>
        <w:t>库﹝2020﹞46号）的规定，本公司（联合体）参加（单位名称）的（项目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pacing w:val="14"/>
          <w:sz w:val="24"/>
          <w:szCs w:val="24"/>
        </w:rPr>
        <w:t>采购活动，</w:t>
      </w:r>
      <w:r>
        <w:rPr>
          <w:rFonts w:hint="eastAsia" w:asciiTheme="minorEastAsia" w:hAnsiTheme="minorEastAsia" w:eastAsiaTheme="minorEastAsia" w:cstheme="minorEastAsia"/>
          <w:spacing w:val="-86"/>
          <w:sz w:val="24"/>
          <w:szCs w:val="24"/>
          <w:lang w:val="en-US" w:eastAsia="zh-CN"/>
        </w:rPr>
        <w:t>提</w:t>
      </w:r>
      <w:r>
        <w:rPr>
          <w:rFonts w:hint="eastAsia" w:asciiTheme="minorEastAsia" w:hAnsiTheme="minorEastAsia" w:eastAsiaTheme="minorEastAsia" w:cstheme="minorEastAsia"/>
          <w:spacing w:val="14"/>
          <w:sz w:val="24"/>
          <w:szCs w:val="24"/>
        </w:rPr>
        <w:t>供的货物全部由符合政策要求的</w:t>
      </w:r>
      <w:r>
        <w:rPr>
          <w:rFonts w:hint="eastAsia" w:asciiTheme="minorEastAsia" w:hAnsiTheme="minorEastAsia" w:eastAsiaTheme="minorEastAsia" w:cstheme="minorEastAsia"/>
          <w:spacing w:val="13"/>
          <w:sz w:val="24"/>
          <w:szCs w:val="24"/>
        </w:rPr>
        <w:t>中小企业制造。相关企业（含联合体</w:t>
      </w:r>
      <w:r>
        <w:rPr>
          <w:rFonts w:hint="eastAsia" w:asciiTheme="minorEastAsia" w:hAnsiTheme="minorEastAsia" w:eastAsiaTheme="minorEastAsia" w:cstheme="minorEastAsia"/>
          <w:spacing w:val="8"/>
          <w:sz w:val="24"/>
          <w:szCs w:val="24"/>
        </w:rPr>
        <w:t>中的中小企业、签订分包意向协议的中小企业）的具体情况如下：</w:t>
      </w:r>
    </w:p>
    <w:p w14:paraId="3135387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1"/>
          <w:sz w:val="24"/>
          <w:szCs w:val="24"/>
          <w:u w:val="single" w:color="auto"/>
        </w:rPr>
        <w:t>）</w:t>
      </w:r>
      <w:r>
        <w:rPr>
          <w:rFonts w:hint="eastAsia" w:asciiTheme="minorEastAsia" w:hAnsiTheme="minorEastAsia" w:eastAsiaTheme="minorEastAsia" w:cstheme="minorEastAsia"/>
          <w:spacing w:val="-41"/>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pacing w:val="3"/>
          <w:sz w:val="24"/>
          <w:szCs w:val="24"/>
          <w:u w:val="single" w:color="auto"/>
        </w:rPr>
        <w:t>称</w:t>
      </w:r>
      <w:r>
        <w:rPr>
          <w:rFonts w:hint="eastAsia" w:asciiTheme="minorEastAsia" w:hAnsiTheme="minorEastAsia" w:eastAsiaTheme="minorEastAsia" w:cstheme="minorEastAsia"/>
          <w:spacing w:val="-40"/>
          <w:sz w:val="24"/>
          <w:szCs w:val="24"/>
          <w:u w:val="single" w:color="auto"/>
        </w:rPr>
        <w:t>）</w:t>
      </w:r>
      <w:r>
        <w:rPr>
          <w:rFonts w:hint="eastAsia" w:asciiTheme="minorEastAsia" w:hAnsiTheme="minorEastAsia" w:eastAsiaTheme="minorEastAsia" w:cstheme="minorEastAsia"/>
          <w:spacing w:val="-40"/>
          <w:sz w:val="24"/>
          <w:szCs w:val="24"/>
        </w:rPr>
        <w:t>，</w:t>
      </w:r>
      <w:r>
        <w:rPr>
          <w:rFonts w:hint="eastAsia" w:asciiTheme="minorEastAsia" w:hAnsiTheme="minorEastAsia" w:eastAsiaTheme="minorEastAsia" w:cstheme="minorEastAsia"/>
          <w:spacing w:val="3"/>
          <w:sz w:val="24"/>
          <w:szCs w:val="24"/>
        </w:rPr>
        <w:t>从业人员</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3"/>
          <w:sz w:val="24"/>
          <w:szCs w:val="24"/>
        </w:rPr>
        <w:t>人，</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3"/>
          <w:sz w:val="24"/>
          <w:szCs w:val="24"/>
        </w:rPr>
        <w:t>，属于</w:t>
      </w:r>
      <w:r>
        <w:rPr>
          <w:rFonts w:hint="eastAsia" w:asciiTheme="minorEastAsia" w:hAnsiTheme="minorEastAsia" w:eastAsiaTheme="minorEastAsia" w:cstheme="minorEastAsia"/>
          <w:spacing w:val="2"/>
          <w:sz w:val="24"/>
          <w:szCs w:val="24"/>
          <w:u w:val="single" w:color="auto"/>
        </w:rPr>
        <w:t>（中型企业、小型企业、微型企业</w:t>
      </w:r>
      <w:r>
        <w:rPr>
          <w:rFonts w:hint="eastAsia" w:asciiTheme="minorEastAsia" w:hAnsiTheme="minorEastAsia" w:eastAsiaTheme="minorEastAsia" w:cstheme="minorEastAsia"/>
          <w:spacing w:val="-51"/>
          <w:sz w:val="24"/>
          <w:szCs w:val="24"/>
          <w:u w:val="single" w:color="auto"/>
        </w:rPr>
        <w:t>）</w:t>
      </w:r>
      <w:r>
        <w:rPr>
          <w:rFonts w:hint="eastAsia" w:asciiTheme="minorEastAsia" w:hAnsiTheme="minorEastAsia" w:eastAsiaTheme="minorEastAsia" w:cstheme="minorEastAsia"/>
          <w:spacing w:val="-51"/>
          <w:sz w:val="24"/>
          <w:szCs w:val="24"/>
        </w:rPr>
        <w:t>；</w:t>
      </w:r>
    </w:p>
    <w:p w14:paraId="5AA4C4B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3"/>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3"/>
          <w:sz w:val="24"/>
          <w:szCs w:val="24"/>
          <w:u w:val="single" w:color="auto"/>
        </w:rPr>
        <w:t>）</w:t>
      </w:r>
      <w:r>
        <w:rPr>
          <w:rFonts w:hint="eastAsia" w:asciiTheme="minorEastAsia" w:hAnsiTheme="minorEastAsia" w:eastAsiaTheme="minorEastAsia" w:cstheme="minorEastAsia"/>
          <w:spacing w:val="-43"/>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pacing w:val="-5"/>
          <w:sz w:val="24"/>
          <w:szCs w:val="24"/>
          <w:u w:val="single" w:color="auto"/>
        </w:rPr>
        <w:t>称</w:t>
      </w:r>
      <w:r>
        <w:rPr>
          <w:rFonts w:hint="eastAsia" w:asciiTheme="minorEastAsia" w:hAnsiTheme="minorEastAsia" w:eastAsiaTheme="minorEastAsia" w:cstheme="minorEastAsia"/>
          <w:spacing w:val="-59"/>
          <w:w w:val="94"/>
          <w:sz w:val="24"/>
          <w:szCs w:val="24"/>
          <w:u w:val="single" w:color="auto"/>
        </w:rPr>
        <w:t>）</w:t>
      </w:r>
      <w:r>
        <w:rPr>
          <w:rFonts w:hint="eastAsia" w:asciiTheme="minorEastAsia" w:hAnsiTheme="minorEastAsia" w:eastAsiaTheme="minorEastAsia" w:cstheme="minorEastAsia"/>
          <w:spacing w:val="-59"/>
          <w:w w:val="94"/>
          <w:sz w:val="24"/>
          <w:szCs w:val="24"/>
        </w:rPr>
        <w:t>，</w:t>
      </w:r>
      <w:r>
        <w:rPr>
          <w:rFonts w:hint="eastAsia" w:asciiTheme="minorEastAsia" w:hAnsiTheme="minorEastAsia" w:eastAsiaTheme="minorEastAsia" w:cstheme="minorEastAsia"/>
          <w:spacing w:val="-5"/>
          <w:sz w:val="24"/>
          <w:szCs w:val="24"/>
        </w:rPr>
        <w:t>从业人员</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5"/>
          <w:sz w:val="24"/>
          <w:szCs w:val="24"/>
        </w:rPr>
        <w:t>人，营业收入为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5"/>
          <w:sz w:val="24"/>
          <w:szCs w:val="24"/>
        </w:rPr>
        <w:t>万元，资产总额为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5"/>
          <w:sz w:val="24"/>
          <w:szCs w:val="24"/>
        </w:rPr>
        <w:t>万元，属于</w:t>
      </w:r>
      <w:r>
        <w:rPr>
          <w:rFonts w:hint="eastAsia" w:asciiTheme="minorEastAsia" w:hAnsiTheme="minorEastAsia" w:eastAsiaTheme="minorEastAsia" w:cstheme="minorEastAsia"/>
          <w:spacing w:val="-5"/>
          <w:sz w:val="24"/>
          <w:szCs w:val="24"/>
          <w:u w:val="single" w:color="auto"/>
        </w:rPr>
        <w:t>（中</w:t>
      </w:r>
      <w:r>
        <w:rPr>
          <w:rFonts w:hint="eastAsia" w:asciiTheme="minorEastAsia" w:hAnsiTheme="minorEastAsia" w:eastAsiaTheme="minorEastAsia" w:cstheme="minorEastAsia"/>
          <w:spacing w:val="9"/>
          <w:sz w:val="24"/>
          <w:szCs w:val="24"/>
          <w:u w:val="single" w:color="auto"/>
        </w:rPr>
        <w:t>型企业、小型企业、微型企业</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p>
    <w:p w14:paraId="1195845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76D64FC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14:paraId="42EAD73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以上企业，不属于大企业的分支机构，不存在控股股东为大企业的情形，也不存在与大企业的负责人为同一人的情形。</w:t>
      </w:r>
    </w:p>
    <w:p w14:paraId="07084CD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本企业对上述声明内容的真实性负责。如有虚假，将依法承担相应责任。</w:t>
      </w:r>
    </w:p>
    <w:p w14:paraId="5C6F171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p>
    <w:p w14:paraId="012EAAE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0553E3D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3838" w:firstLineChars="19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p>
    <w:p w14:paraId="4C4C61CB">
      <w:pPr>
        <w:keepNext w:val="0"/>
        <w:keepLines w:val="0"/>
        <w:pageBreakBefore w:val="0"/>
        <w:kinsoku/>
        <w:wordWrap w:val="0"/>
        <w:overflowPunct/>
        <w:topLinePunct w:val="0"/>
        <w:bidi w:val="0"/>
        <w:spacing w:line="360" w:lineRule="auto"/>
        <w:ind w:firstLine="3600" w:firstLineChars="15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56310C1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10080" w:firstLineChars="4200"/>
        <w:jc w:val="both"/>
        <w:textAlignment w:val="baseline"/>
        <w:rPr>
          <w:rFonts w:hint="eastAsia" w:asciiTheme="minorEastAsia" w:hAnsiTheme="minorEastAsia" w:eastAsiaTheme="minorEastAsia" w:cstheme="minorEastAsia"/>
          <w:sz w:val="24"/>
          <w:szCs w:val="24"/>
        </w:rPr>
      </w:pPr>
    </w:p>
    <w:p w14:paraId="5998907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0178848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sz w:val="24"/>
          <w:szCs w:val="24"/>
          <w:lang w:eastAsia="zh-CN"/>
        </w:rPr>
      </w:pPr>
      <w:r>
        <w:rPr>
          <w:rFonts w:hint="eastAsia" w:asciiTheme="minorEastAsia" w:hAnsiTheme="minorEastAsia" w:eastAsiaTheme="minorEastAsia" w:cstheme="minorEastAsia"/>
          <w:spacing w:val="9"/>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r>
        <w:rPr>
          <w:rFonts w:hint="eastAsia" w:asciiTheme="minorEastAsia" w:hAnsiTheme="minorEastAsia" w:eastAsiaTheme="minorEastAsia" w:cstheme="minorEastAsia"/>
          <w:spacing w:val="9"/>
          <w:sz w:val="24"/>
          <w:szCs w:val="24"/>
          <w:lang w:eastAsia="zh-CN"/>
        </w:rPr>
        <w:t>。</w:t>
      </w:r>
    </w:p>
    <w:p w14:paraId="1440E7B1">
      <w:pPr>
        <w:pStyle w:val="34"/>
        <w:rPr>
          <w:rFonts w:hint="eastAsia" w:asciiTheme="minorEastAsia" w:hAnsiTheme="minorEastAsia" w:eastAsiaTheme="minorEastAsia" w:cstheme="minorEastAsia"/>
          <w:spacing w:val="9"/>
          <w:sz w:val="24"/>
          <w:szCs w:val="24"/>
          <w:lang w:eastAsia="zh-CN"/>
        </w:rPr>
        <w:sectPr>
          <w:pgSz w:w="11907" w:h="16840"/>
          <w:pgMar w:top="1440" w:right="1800" w:bottom="1440" w:left="1800" w:header="878" w:footer="886" w:gutter="0"/>
          <w:pgNumType w:fmt="decimal"/>
          <w:cols w:space="720" w:num="1"/>
        </w:sectPr>
      </w:pPr>
    </w:p>
    <w:p w14:paraId="4C5D37E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t>残疾人福利性单位声明函格式</w:t>
      </w:r>
    </w:p>
    <w:p w14:paraId="1CB3FA1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26741176">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14:paraId="7D27FD0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14:paraId="1E0D831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14:paraId="5D98E7F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且本单位参加单位的项目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14:paraId="1EBE742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14:paraId="0D1C82E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6FB9C7B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7C74625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14:paraId="4FAE7930">
      <w:pPr>
        <w:keepNext w:val="0"/>
        <w:keepLines w:val="0"/>
        <w:pageBreakBefore w:val="0"/>
        <w:widowControl w:val="0"/>
        <w:kinsoku/>
        <w:wordWrap w:val="0"/>
        <w:overflowPunct/>
        <w:topLinePunct w:val="0"/>
        <w:autoSpaceDE w:val="0"/>
        <w:autoSpaceDN w:val="0"/>
        <w:bidi w:val="0"/>
        <w:adjustRightInd w:val="0"/>
        <w:spacing w:line="360" w:lineRule="auto"/>
        <w:ind w:firstLine="5152" w:firstLineChars="23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C416C0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0E71918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15F9105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056955E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17E7A09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2388E83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1AB6243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771FC4F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29736E4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3A8A9BC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422AE35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14:paraId="6E06450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14:paraId="2041D29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2B56039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14:paraId="3233903C">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14:paraId="64BDE594">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14:paraId="71414050">
      <w:pPr>
        <w:keepNext w:val="0"/>
        <w:keepLines w:val="0"/>
        <w:pageBreakBefore w:val="0"/>
        <w:kinsoku/>
        <w:wordWrap w:val="0"/>
        <w:overflowPunct/>
        <w:topLinePunct w:val="0"/>
        <w:bidi w:val="0"/>
        <w:spacing w:line="360" w:lineRule="auto"/>
        <w:ind w:firstLine="4320" w:firstLineChars="18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30DCEEF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b/>
          <w:bCs/>
          <w:snapToGrid w:val="0"/>
          <w:color w:val="000000"/>
          <w:spacing w:val="8"/>
          <w:kern w:val="0"/>
          <w:position w:val="26"/>
          <w:sz w:val="24"/>
          <w:szCs w:val="24"/>
          <w:lang w:val="en-US" w:eastAsia="zh-CN" w:bidi="ar-SA"/>
        </w:rPr>
      </w:pPr>
    </w:p>
    <w:p w14:paraId="73096B9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b/>
          <w:bCs/>
          <w:snapToGrid w:val="0"/>
          <w:color w:val="000000"/>
          <w:spacing w:val="8"/>
          <w:kern w:val="0"/>
          <w:position w:val="26"/>
          <w:sz w:val="24"/>
          <w:szCs w:val="24"/>
          <w:lang w:val="en-US" w:eastAsia="en-US" w:bidi="ar-SA"/>
        </w:rPr>
      </w:pPr>
      <w:r>
        <w:rPr>
          <w:rFonts w:hint="eastAsia" w:asciiTheme="minorEastAsia" w:hAnsiTheme="minorEastAsia" w:eastAsiaTheme="minorEastAsia" w:cstheme="minorEastAsia"/>
          <w:b/>
          <w:bCs/>
          <w:snapToGrid w:val="0"/>
          <w:color w:val="000000"/>
          <w:spacing w:val="8"/>
          <w:kern w:val="0"/>
          <w:position w:val="26"/>
          <w:sz w:val="24"/>
          <w:szCs w:val="24"/>
          <w:lang w:val="en-US" w:eastAsia="zh-CN" w:bidi="ar-SA"/>
        </w:rPr>
        <w:t>10.招标文件要求的其它材料及投标人认为有必要提供的材料。</w:t>
      </w:r>
    </w:p>
    <w:sectPr>
      <w:headerReference r:id="rId15" w:type="default"/>
      <w:footerReference r:id="rId16" w:type="default"/>
      <w:pgSz w:w="11907" w:h="16840"/>
      <w:pgMar w:top="1440" w:right="1800" w:bottom="1440" w:left="18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华文楷体">
    <w:altName w:val="宋体"/>
    <w:panose1 w:val="02010600040101010101"/>
    <w:charset w:val="86"/>
    <w:family w:val="auto"/>
    <w:pitch w:val="default"/>
    <w:sig w:usb0="00000000" w:usb1="00000000" w:usb2="00000016" w:usb3="00000000" w:csb0="6006009F" w:csb1="DFD70000"/>
  </w:font>
  <w:font w:name="ˎ̥">
    <w:altName w:val="微软雅黑"/>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4B4FA">
    <w:pPr>
      <w:spacing w:line="189" w:lineRule="auto"/>
      <w:ind w:left="4547"/>
      <w:rPr>
        <w:rFonts w:ascii="Arial" w:hAnsi="Arial" w:eastAsia="Arial" w:cs="Arial"/>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01AC21">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501AC21">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05918">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383344">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4383344">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381FC">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863919">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B863919">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7A577">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D765D">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96D765D">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70508">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87CAEF">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887CAEF">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003EE">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CBF8FE">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1ACBF8FE">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598C0">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DC9BF">
    <w:pPr>
      <w:pStyle w:val="1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C14F2">
    <w:pPr>
      <w:pStyle w:val="1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3F878">
    <w:pPr>
      <w:pStyle w:val="13"/>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E38BA">
    <w:pPr>
      <w:pStyle w:val="1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81CE3">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B4317B"/>
    <w:multiLevelType w:val="singleLevel"/>
    <w:tmpl w:val="CEB4317B"/>
    <w:lvl w:ilvl="0" w:tentative="0">
      <w:start w:val="5"/>
      <w:numFmt w:val="decimal"/>
      <w:lvlText w:val="%1."/>
      <w:lvlJc w:val="left"/>
      <w:pPr>
        <w:tabs>
          <w:tab w:val="left" w:pos="312"/>
        </w:tabs>
      </w:pPr>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F5E03D5D"/>
    <w:multiLevelType w:val="singleLevel"/>
    <w:tmpl w:val="F5E03D5D"/>
    <w:lvl w:ilvl="0" w:tentative="0">
      <w:start w:val="1"/>
      <w:numFmt w:val="decimal"/>
      <w:suff w:val="nothing"/>
      <w:lvlText w:val="%1"/>
      <w:lvlJc w:val="left"/>
      <w:pPr>
        <w:tabs>
          <w:tab w:val="left" w:pos="0"/>
        </w:tabs>
        <w:ind w:left="454" w:hanging="454"/>
      </w:pPr>
      <w:rPr>
        <w:rFonts w:hint="default"/>
      </w:rPr>
    </w:lvl>
  </w:abstractNum>
  <w:abstractNum w:abstractNumId="3">
    <w:nsid w:val="FFEFC674"/>
    <w:multiLevelType w:val="singleLevel"/>
    <w:tmpl w:val="FFEFC674"/>
    <w:lvl w:ilvl="0" w:tentative="0">
      <w:start w:val="1"/>
      <w:numFmt w:val="decimal"/>
      <w:suff w:val="nothing"/>
      <w:lvlText w:val="（%1）"/>
      <w:lvlJc w:val="left"/>
    </w:lvl>
  </w:abstractNum>
  <w:abstractNum w:abstractNumId="4">
    <w:nsid w:val="3CFF97C4"/>
    <w:multiLevelType w:val="singleLevel"/>
    <w:tmpl w:val="3CFF97C4"/>
    <w:lvl w:ilvl="0" w:tentative="0">
      <w:start w:val="1"/>
      <w:numFmt w:val="chineseCounting"/>
      <w:suff w:val="nothing"/>
      <w:lvlText w:val="%1、"/>
      <w:lvlJc w:val="left"/>
      <w:rPr>
        <w:rFonts w:hint="eastAsia"/>
      </w:rPr>
    </w:lvl>
  </w:abstractNum>
  <w:abstractNum w:abstractNumId="5">
    <w:nsid w:val="475E0B2E"/>
    <w:multiLevelType w:val="singleLevel"/>
    <w:tmpl w:val="475E0B2E"/>
    <w:lvl w:ilvl="0" w:tentative="0">
      <w:start w:val="1"/>
      <w:numFmt w:val="decimal"/>
      <w:suff w:val="nothing"/>
      <w:lvlText w:val="%1、"/>
      <w:lvlJc w:val="left"/>
    </w:lvl>
  </w:abstractNum>
  <w:abstractNum w:abstractNumId="6">
    <w:nsid w:val="5D7BE5FA"/>
    <w:multiLevelType w:val="singleLevel"/>
    <w:tmpl w:val="5D7BE5FA"/>
    <w:lvl w:ilvl="0" w:tentative="0">
      <w:start w:val="1"/>
      <w:numFmt w:val="decimal"/>
      <w:suff w:val="nothing"/>
      <w:lvlText w:val="%1、"/>
      <w:lvlJc w:val="left"/>
    </w:lvl>
  </w:abstractNum>
  <w:abstractNum w:abstractNumId="7">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32"/>
      <w:suff w:val="nothing"/>
      <w:lvlText w:val="%1%2　"/>
      <w:lvlJc w:val="left"/>
      <w:pPr>
        <w:ind w:left="0" w:firstLine="0"/>
      </w:pPr>
      <w:rPr>
        <w:rFonts w:hint="eastAsia" w:ascii="黑体" w:hAnsi="Times New Roman" w:eastAsia="黑体"/>
        <w:b w:val="0"/>
        <w:i w:val="0"/>
        <w:sz w:val="21"/>
      </w:rPr>
    </w:lvl>
    <w:lvl w:ilvl="2" w:tentative="0">
      <w:start w:val="1"/>
      <w:numFmt w:val="decimal"/>
      <w:pStyle w:val="31"/>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8">
    <w:nsid w:val="74883D03"/>
    <w:multiLevelType w:val="singleLevel"/>
    <w:tmpl w:val="74883D03"/>
    <w:lvl w:ilvl="0" w:tentative="0">
      <w:start w:val="1"/>
      <w:numFmt w:val="decimal"/>
      <w:lvlText w:val="%1."/>
      <w:lvlJc w:val="left"/>
      <w:pPr>
        <w:tabs>
          <w:tab w:val="left" w:pos="312"/>
        </w:tabs>
      </w:pPr>
    </w:lvl>
  </w:abstractNum>
  <w:abstractNum w:abstractNumId="9">
    <w:nsid w:val="7A0F6431"/>
    <w:multiLevelType w:val="singleLevel"/>
    <w:tmpl w:val="7A0F6431"/>
    <w:lvl w:ilvl="0" w:tentative="0">
      <w:start w:val="1"/>
      <w:numFmt w:val="decimal"/>
      <w:suff w:val="space"/>
      <w:lvlText w:val="%1."/>
      <w:lvlJc w:val="left"/>
    </w:lvl>
  </w:abstractNum>
  <w:num w:numId="1">
    <w:abstractNumId w:val="7"/>
  </w:num>
  <w:num w:numId="2">
    <w:abstractNumId w:val="0"/>
  </w:num>
  <w:num w:numId="3">
    <w:abstractNumId w:val="2"/>
  </w:num>
  <w:num w:numId="4">
    <w:abstractNumId w:val="4"/>
  </w:num>
  <w:num w:numId="5">
    <w:abstractNumId w:val="8"/>
  </w:num>
  <w:num w:numId="6">
    <w:abstractNumId w:val="5"/>
  </w:num>
  <w:num w:numId="7">
    <w:abstractNumId w:val="6"/>
  </w:num>
  <w:num w:numId="8">
    <w:abstractNumId w:val="9"/>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MWVlZWVkY2UzNDQwNDJlMDFiNjgyOGQxYmM0ZWZkYWEifQ=="/>
  </w:docVars>
  <w:rsids>
    <w:rsidRoot w:val="00000000"/>
    <w:rsid w:val="00621C19"/>
    <w:rsid w:val="0096273C"/>
    <w:rsid w:val="00D24FF0"/>
    <w:rsid w:val="014E35A1"/>
    <w:rsid w:val="01C02D71"/>
    <w:rsid w:val="023E759B"/>
    <w:rsid w:val="02427F54"/>
    <w:rsid w:val="027730B6"/>
    <w:rsid w:val="027D6FA2"/>
    <w:rsid w:val="029C3A3B"/>
    <w:rsid w:val="02FA03F5"/>
    <w:rsid w:val="03053967"/>
    <w:rsid w:val="03080D45"/>
    <w:rsid w:val="03217B69"/>
    <w:rsid w:val="039A65F4"/>
    <w:rsid w:val="03C26B83"/>
    <w:rsid w:val="03CC315E"/>
    <w:rsid w:val="03DF5A69"/>
    <w:rsid w:val="044921B6"/>
    <w:rsid w:val="046E59EF"/>
    <w:rsid w:val="04C01E68"/>
    <w:rsid w:val="050D556D"/>
    <w:rsid w:val="051A2871"/>
    <w:rsid w:val="05234F67"/>
    <w:rsid w:val="05545C1C"/>
    <w:rsid w:val="055748A3"/>
    <w:rsid w:val="059A3EA8"/>
    <w:rsid w:val="0654565B"/>
    <w:rsid w:val="06593C39"/>
    <w:rsid w:val="06787E06"/>
    <w:rsid w:val="06AF4861"/>
    <w:rsid w:val="06B0495B"/>
    <w:rsid w:val="06C93A28"/>
    <w:rsid w:val="06E37C8B"/>
    <w:rsid w:val="06E772CF"/>
    <w:rsid w:val="06F83227"/>
    <w:rsid w:val="076721B4"/>
    <w:rsid w:val="08805332"/>
    <w:rsid w:val="08A35757"/>
    <w:rsid w:val="08CB596A"/>
    <w:rsid w:val="092D385C"/>
    <w:rsid w:val="09684744"/>
    <w:rsid w:val="09A129E2"/>
    <w:rsid w:val="09CC6764"/>
    <w:rsid w:val="09D7556A"/>
    <w:rsid w:val="09E3271C"/>
    <w:rsid w:val="0A29644D"/>
    <w:rsid w:val="0A437032"/>
    <w:rsid w:val="0A633B33"/>
    <w:rsid w:val="0AB46C2A"/>
    <w:rsid w:val="0ABC7CF1"/>
    <w:rsid w:val="0ABE6FC5"/>
    <w:rsid w:val="0AD86A92"/>
    <w:rsid w:val="0B3B7AF5"/>
    <w:rsid w:val="0B3C24F6"/>
    <w:rsid w:val="0BAF08E4"/>
    <w:rsid w:val="0BC76E66"/>
    <w:rsid w:val="0BF0521B"/>
    <w:rsid w:val="0C70413C"/>
    <w:rsid w:val="0CB101B0"/>
    <w:rsid w:val="0CBD4DA7"/>
    <w:rsid w:val="0CF900A3"/>
    <w:rsid w:val="0D9A718E"/>
    <w:rsid w:val="0DA859D3"/>
    <w:rsid w:val="0DD30B7C"/>
    <w:rsid w:val="0E307EEE"/>
    <w:rsid w:val="0E657812"/>
    <w:rsid w:val="0EA261D9"/>
    <w:rsid w:val="0EE83F9D"/>
    <w:rsid w:val="0F0D035A"/>
    <w:rsid w:val="0FB87AA7"/>
    <w:rsid w:val="0FD03EC2"/>
    <w:rsid w:val="0FE34B24"/>
    <w:rsid w:val="102C0845"/>
    <w:rsid w:val="104F3F68"/>
    <w:rsid w:val="10757E0D"/>
    <w:rsid w:val="10B145AD"/>
    <w:rsid w:val="113E7D24"/>
    <w:rsid w:val="115A7068"/>
    <w:rsid w:val="11620280"/>
    <w:rsid w:val="117B59FC"/>
    <w:rsid w:val="117D2D56"/>
    <w:rsid w:val="11B43A6A"/>
    <w:rsid w:val="11B5429E"/>
    <w:rsid w:val="121A79BB"/>
    <w:rsid w:val="122675E2"/>
    <w:rsid w:val="12417927"/>
    <w:rsid w:val="126E021D"/>
    <w:rsid w:val="126F5143"/>
    <w:rsid w:val="12C549DA"/>
    <w:rsid w:val="12D9220E"/>
    <w:rsid w:val="12FD5FFB"/>
    <w:rsid w:val="1380268A"/>
    <w:rsid w:val="13C5707D"/>
    <w:rsid w:val="13F07810"/>
    <w:rsid w:val="1446371A"/>
    <w:rsid w:val="14571FA0"/>
    <w:rsid w:val="14632D00"/>
    <w:rsid w:val="146A5814"/>
    <w:rsid w:val="14EC3DCF"/>
    <w:rsid w:val="14FB5517"/>
    <w:rsid w:val="15037E2D"/>
    <w:rsid w:val="156B2323"/>
    <w:rsid w:val="15AC3C0A"/>
    <w:rsid w:val="15B05882"/>
    <w:rsid w:val="15E04F64"/>
    <w:rsid w:val="15E12BB1"/>
    <w:rsid w:val="164A7458"/>
    <w:rsid w:val="16F45CE8"/>
    <w:rsid w:val="16FC049F"/>
    <w:rsid w:val="174C193E"/>
    <w:rsid w:val="17566556"/>
    <w:rsid w:val="179B0D80"/>
    <w:rsid w:val="17B072B9"/>
    <w:rsid w:val="17B27393"/>
    <w:rsid w:val="17C9557C"/>
    <w:rsid w:val="17E20058"/>
    <w:rsid w:val="183D23CB"/>
    <w:rsid w:val="18510AEB"/>
    <w:rsid w:val="18610CDC"/>
    <w:rsid w:val="19161B44"/>
    <w:rsid w:val="19B220A8"/>
    <w:rsid w:val="19D075C2"/>
    <w:rsid w:val="19D46BD3"/>
    <w:rsid w:val="19E002E7"/>
    <w:rsid w:val="19E260C0"/>
    <w:rsid w:val="1A464AA0"/>
    <w:rsid w:val="1A6B22E0"/>
    <w:rsid w:val="1A9F789A"/>
    <w:rsid w:val="1AAC0209"/>
    <w:rsid w:val="1AC47924"/>
    <w:rsid w:val="1AF57E02"/>
    <w:rsid w:val="1B4A0A55"/>
    <w:rsid w:val="1B4F168F"/>
    <w:rsid w:val="1B6F0841"/>
    <w:rsid w:val="1BDA4AC1"/>
    <w:rsid w:val="1C1A79BC"/>
    <w:rsid w:val="1CB15FAA"/>
    <w:rsid w:val="1D391455"/>
    <w:rsid w:val="1D72498F"/>
    <w:rsid w:val="1D8E63E4"/>
    <w:rsid w:val="1D9226F7"/>
    <w:rsid w:val="1D9D7C75"/>
    <w:rsid w:val="1E0754FF"/>
    <w:rsid w:val="1E172727"/>
    <w:rsid w:val="1E2712E1"/>
    <w:rsid w:val="1E447917"/>
    <w:rsid w:val="1E7249AF"/>
    <w:rsid w:val="1E824F42"/>
    <w:rsid w:val="1EFE79F8"/>
    <w:rsid w:val="1F225822"/>
    <w:rsid w:val="1F830D3F"/>
    <w:rsid w:val="1F8737CC"/>
    <w:rsid w:val="1FE25607"/>
    <w:rsid w:val="1FE61854"/>
    <w:rsid w:val="1FE710C6"/>
    <w:rsid w:val="1FF31541"/>
    <w:rsid w:val="203945B9"/>
    <w:rsid w:val="20F10837"/>
    <w:rsid w:val="210939CE"/>
    <w:rsid w:val="212D6A29"/>
    <w:rsid w:val="21475FF8"/>
    <w:rsid w:val="214D162F"/>
    <w:rsid w:val="217E2260"/>
    <w:rsid w:val="21DC7625"/>
    <w:rsid w:val="21E33D7D"/>
    <w:rsid w:val="22937C80"/>
    <w:rsid w:val="229A51D3"/>
    <w:rsid w:val="22AC2870"/>
    <w:rsid w:val="22AE004D"/>
    <w:rsid w:val="22E737AC"/>
    <w:rsid w:val="23287C3C"/>
    <w:rsid w:val="23C6058D"/>
    <w:rsid w:val="23D34A58"/>
    <w:rsid w:val="24C8734D"/>
    <w:rsid w:val="24E94D19"/>
    <w:rsid w:val="25052271"/>
    <w:rsid w:val="255045B2"/>
    <w:rsid w:val="256253DA"/>
    <w:rsid w:val="25722260"/>
    <w:rsid w:val="257A4289"/>
    <w:rsid w:val="25A83616"/>
    <w:rsid w:val="25D07317"/>
    <w:rsid w:val="26000E53"/>
    <w:rsid w:val="260373D2"/>
    <w:rsid w:val="263A5FE5"/>
    <w:rsid w:val="265713EE"/>
    <w:rsid w:val="266177F8"/>
    <w:rsid w:val="2670389D"/>
    <w:rsid w:val="26734FA1"/>
    <w:rsid w:val="267811A0"/>
    <w:rsid w:val="275229C9"/>
    <w:rsid w:val="278C7E70"/>
    <w:rsid w:val="27E32A7D"/>
    <w:rsid w:val="27EF7E63"/>
    <w:rsid w:val="27F6032D"/>
    <w:rsid w:val="2878615A"/>
    <w:rsid w:val="289B002D"/>
    <w:rsid w:val="2944096C"/>
    <w:rsid w:val="29462E99"/>
    <w:rsid w:val="29736536"/>
    <w:rsid w:val="29C94933"/>
    <w:rsid w:val="29EF5E58"/>
    <w:rsid w:val="2A5E573D"/>
    <w:rsid w:val="2A832D34"/>
    <w:rsid w:val="2A870159"/>
    <w:rsid w:val="2ABA04F6"/>
    <w:rsid w:val="2AD7512C"/>
    <w:rsid w:val="2B296C36"/>
    <w:rsid w:val="2B32017A"/>
    <w:rsid w:val="2B4C1378"/>
    <w:rsid w:val="2B886128"/>
    <w:rsid w:val="2BD35370"/>
    <w:rsid w:val="2BDB6CED"/>
    <w:rsid w:val="2C9507A1"/>
    <w:rsid w:val="2CA1464D"/>
    <w:rsid w:val="2CB368C6"/>
    <w:rsid w:val="2CE542E8"/>
    <w:rsid w:val="2D4C797B"/>
    <w:rsid w:val="2D854259"/>
    <w:rsid w:val="2DB7418D"/>
    <w:rsid w:val="2DD5743D"/>
    <w:rsid w:val="2DF6291A"/>
    <w:rsid w:val="2E037ECE"/>
    <w:rsid w:val="2E123636"/>
    <w:rsid w:val="2EA95800"/>
    <w:rsid w:val="2EAB387A"/>
    <w:rsid w:val="2EDE4089"/>
    <w:rsid w:val="2EFD22A6"/>
    <w:rsid w:val="2F795793"/>
    <w:rsid w:val="2F7E5B21"/>
    <w:rsid w:val="2FAF3423"/>
    <w:rsid w:val="301C54B3"/>
    <w:rsid w:val="305F18E8"/>
    <w:rsid w:val="311741D6"/>
    <w:rsid w:val="3119309A"/>
    <w:rsid w:val="31287138"/>
    <w:rsid w:val="312A5594"/>
    <w:rsid w:val="312C625F"/>
    <w:rsid w:val="31C81974"/>
    <w:rsid w:val="31F3422D"/>
    <w:rsid w:val="32121533"/>
    <w:rsid w:val="32230959"/>
    <w:rsid w:val="3236567B"/>
    <w:rsid w:val="32A92D2C"/>
    <w:rsid w:val="32E56480"/>
    <w:rsid w:val="3322495F"/>
    <w:rsid w:val="333E1891"/>
    <w:rsid w:val="337450B5"/>
    <w:rsid w:val="33814F8D"/>
    <w:rsid w:val="344C700B"/>
    <w:rsid w:val="34C22FEC"/>
    <w:rsid w:val="34EB0670"/>
    <w:rsid w:val="34F86C33"/>
    <w:rsid w:val="357069B7"/>
    <w:rsid w:val="357D65D2"/>
    <w:rsid w:val="35FC07ED"/>
    <w:rsid w:val="36116E2B"/>
    <w:rsid w:val="36266C69"/>
    <w:rsid w:val="36A91F93"/>
    <w:rsid w:val="36B765C5"/>
    <w:rsid w:val="37207EEF"/>
    <w:rsid w:val="374E72FE"/>
    <w:rsid w:val="37512649"/>
    <w:rsid w:val="37C036A0"/>
    <w:rsid w:val="37D664EB"/>
    <w:rsid w:val="37E776C2"/>
    <w:rsid w:val="383C09C6"/>
    <w:rsid w:val="38704382"/>
    <w:rsid w:val="388B2F38"/>
    <w:rsid w:val="399D1B1E"/>
    <w:rsid w:val="3A046503"/>
    <w:rsid w:val="3A6D7BE3"/>
    <w:rsid w:val="3B35724B"/>
    <w:rsid w:val="3B760FA8"/>
    <w:rsid w:val="3BB63ADA"/>
    <w:rsid w:val="3BDC4EDA"/>
    <w:rsid w:val="3C37498E"/>
    <w:rsid w:val="3C860462"/>
    <w:rsid w:val="3C94450B"/>
    <w:rsid w:val="3CD83A9C"/>
    <w:rsid w:val="3D051AB3"/>
    <w:rsid w:val="3D13022E"/>
    <w:rsid w:val="3D8031C9"/>
    <w:rsid w:val="3D9C0E9C"/>
    <w:rsid w:val="3DDE7B24"/>
    <w:rsid w:val="3E233D5C"/>
    <w:rsid w:val="3E353902"/>
    <w:rsid w:val="3E60285C"/>
    <w:rsid w:val="3E7A6E5F"/>
    <w:rsid w:val="3E7F6A33"/>
    <w:rsid w:val="3E807399"/>
    <w:rsid w:val="3E923BF9"/>
    <w:rsid w:val="3ED454B4"/>
    <w:rsid w:val="3F0A4EA1"/>
    <w:rsid w:val="3F487C50"/>
    <w:rsid w:val="3F814E1B"/>
    <w:rsid w:val="3FC65745"/>
    <w:rsid w:val="3FCE3BC4"/>
    <w:rsid w:val="40274071"/>
    <w:rsid w:val="405D1A2A"/>
    <w:rsid w:val="407F405E"/>
    <w:rsid w:val="409370B0"/>
    <w:rsid w:val="40CC09EA"/>
    <w:rsid w:val="40D41902"/>
    <w:rsid w:val="410F0A26"/>
    <w:rsid w:val="41104A55"/>
    <w:rsid w:val="415779FB"/>
    <w:rsid w:val="41884B35"/>
    <w:rsid w:val="41C71300"/>
    <w:rsid w:val="423849B8"/>
    <w:rsid w:val="435F746A"/>
    <w:rsid w:val="4372309F"/>
    <w:rsid w:val="44093E52"/>
    <w:rsid w:val="444E5D13"/>
    <w:rsid w:val="446F3136"/>
    <w:rsid w:val="44790C24"/>
    <w:rsid w:val="44C640B0"/>
    <w:rsid w:val="453A628D"/>
    <w:rsid w:val="45C83D08"/>
    <w:rsid w:val="45CF0C25"/>
    <w:rsid w:val="45DD7715"/>
    <w:rsid w:val="46922AB2"/>
    <w:rsid w:val="46F245F5"/>
    <w:rsid w:val="47503B46"/>
    <w:rsid w:val="476F2CBE"/>
    <w:rsid w:val="47C562E2"/>
    <w:rsid w:val="47C81344"/>
    <w:rsid w:val="47E44403"/>
    <w:rsid w:val="480A1F47"/>
    <w:rsid w:val="483B0352"/>
    <w:rsid w:val="48860FCF"/>
    <w:rsid w:val="488A3088"/>
    <w:rsid w:val="48DF1625"/>
    <w:rsid w:val="48E61E39"/>
    <w:rsid w:val="48F078C5"/>
    <w:rsid w:val="492A21C9"/>
    <w:rsid w:val="49320965"/>
    <w:rsid w:val="493A0D1C"/>
    <w:rsid w:val="49465728"/>
    <w:rsid w:val="49735B01"/>
    <w:rsid w:val="49AC2E6D"/>
    <w:rsid w:val="4A3F3154"/>
    <w:rsid w:val="4A4562D3"/>
    <w:rsid w:val="4A52328E"/>
    <w:rsid w:val="4B050440"/>
    <w:rsid w:val="4B227F62"/>
    <w:rsid w:val="4B6545C2"/>
    <w:rsid w:val="4BBC369E"/>
    <w:rsid w:val="4BBD3428"/>
    <w:rsid w:val="4C2E4987"/>
    <w:rsid w:val="4CEC4659"/>
    <w:rsid w:val="4D493511"/>
    <w:rsid w:val="4DF21FC2"/>
    <w:rsid w:val="4DF932EA"/>
    <w:rsid w:val="4E201C1D"/>
    <w:rsid w:val="4E234053"/>
    <w:rsid w:val="4E391CB6"/>
    <w:rsid w:val="4E3B35B6"/>
    <w:rsid w:val="4E473770"/>
    <w:rsid w:val="4E7A34EC"/>
    <w:rsid w:val="4E861641"/>
    <w:rsid w:val="4EE76F22"/>
    <w:rsid w:val="4F7B5B39"/>
    <w:rsid w:val="4FAB04B3"/>
    <w:rsid w:val="4FB426AD"/>
    <w:rsid w:val="4FEE2DC9"/>
    <w:rsid w:val="505847DA"/>
    <w:rsid w:val="51346287"/>
    <w:rsid w:val="5177581D"/>
    <w:rsid w:val="51850890"/>
    <w:rsid w:val="519F1DA4"/>
    <w:rsid w:val="525210BA"/>
    <w:rsid w:val="52A90328"/>
    <w:rsid w:val="52C55AAA"/>
    <w:rsid w:val="52DC3333"/>
    <w:rsid w:val="52DD2582"/>
    <w:rsid w:val="53036690"/>
    <w:rsid w:val="53204D14"/>
    <w:rsid w:val="53376A7B"/>
    <w:rsid w:val="533D001D"/>
    <w:rsid w:val="537441A1"/>
    <w:rsid w:val="53B1020C"/>
    <w:rsid w:val="54065481"/>
    <w:rsid w:val="557169CF"/>
    <w:rsid w:val="55747B81"/>
    <w:rsid w:val="557D5D2A"/>
    <w:rsid w:val="559C4962"/>
    <w:rsid w:val="559D556E"/>
    <w:rsid w:val="55A41C2D"/>
    <w:rsid w:val="561C2985"/>
    <w:rsid w:val="56682D63"/>
    <w:rsid w:val="56825BFB"/>
    <w:rsid w:val="5683243F"/>
    <w:rsid w:val="56905D0D"/>
    <w:rsid w:val="56A87D95"/>
    <w:rsid w:val="56FB4C08"/>
    <w:rsid w:val="574153BB"/>
    <w:rsid w:val="57BB3407"/>
    <w:rsid w:val="583A22FC"/>
    <w:rsid w:val="58901BCF"/>
    <w:rsid w:val="589A668A"/>
    <w:rsid w:val="58AC00F0"/>
    <w:rsid w:val="58C46E3D"/>
    <w:rsid w:val="58D971B2"/>
    <w:rsid w:val="59042C0B"/>
    <w:rsid w:val="59272568"/>
    <w:rsid w:val="59576FB6"/>
    <w:rsid w:val="59853B23"/>
    <w:rsid w:val="59BC1D1A"/>
    <w:rsid w:val="59C142A0"/>
    <w:rsid w:val="59C641E6"/>
    <w:rsid w:val="59D65347"/>
    <w:rsid w:val="5A2E3043"/>
    <w:rsid w:val="5A9763C3"/>
    <w:rsid w:val="5A9920D7"/>
    <w:rsid w:val="5AEA63E6"/>
    <w:rsid w:val="5B2C7B17"/>
    <w:rsid w:val="5BCB0AF4"/>
    <w:rsid w:val="5BE8603E"/>
    <w:rsid w:val="5C2D5181"/>
    <w:rsid w:val="5C3D1C65"/>
    <w:rsid w:val="5C9B1B86"/>
    <w:rsid w:val="5CA02E79"/>
    <w:rsid w:val="5CCD16A8"/>
    <w:rsid w:val="5CEA5B79"/>
    <w:rsid w:val="5D150553"/>
    <w:rsid w:val="5D3550FB"/>
    <w:rsid w:val="5D902A97"/>
    <w:rsid w:val="5D926D13"/>
    <w:rsid w:val="5E1F4E78"/>
    <w:rsid w:val="5E3606EF"/>
    <w:rsid w:val="5E8D2007"/>
    <w:rsid w:val="5EDA32DC"/>
    <w:rsid w:val="5EF43E59"/>
    <w:rsid w:val="5F321771"/>
    <w:rsid w:val="5F3A0F0C"/>
    <w:rsid w:val="5F412CC2"/>
    <w:rsid w:val="5F493CC1"/>
    <w:rsid w:val="5FB075B7"/>
    <w:rsid w:val="5FE2771E"/>
    <w:rsid w:val="600E6D7C"/>
    <w:rsid w:val="60203E6F"/>
    <w:rsid w:val="6062071A"/>
    <w:rsid w:val="607F1E09"/>
    <w:rsid w:val="60BD2923"/>
    <w:rsid w:val="60E01F29"/>
    <w:rsid w:val="618C2692"/>
    <w:rsid w:val="61C045F8"/>
    <w:rsid w:val="61E60EAB"/>
    <w:rsid w:val="622D31D4"/>
    <w:rsid w:val="62A74B0A"/>
    <w:rsid w:val="62AD7F75"/>
    <w:rsid w:val="62E015B0"/>
    <w:rsid w:val="63510510"/>
    <w:rsid w:val="639D4CC6"/>
    <w:rsid w:val="63BE1249"/>
    <w:rsid w:val="63F00D8A"/>
    <w:rsid w:val="642053CC"/>
    <w:rsid w:val="642108EC"/>
    <w:rsid w:val="646A5DEF"/>
    <w:rsid w:val="646F5EF6"/>
    <w:rsid w:val="64D84562"/>
    <w:rsid w:val="65785E0F"/>
    <w:rsid w:val="658A75F4"/>
    <w:rsid w:val="658F1538"/>
    <w:rsid w:val="65CA4D39"/>
    <w:rsid w:val="65CF7A95"/>
    <w:rsid w:val="65F512B7"/>
    <w:rsid w:val="66104D83"/>
    <w:rsid w:val="66A23F66"/>
    <w:rsid w:val="672526A7"/>
    <w:rsid w:val="67F97B21"/>
    <w:rsid w:val="680D3662"/>
    <w:rsid w:val="68222C97"/>
    <w:rsid w:val="68333F9A"/>
    <w:rsid w:val="683858D3"/>
    <w:rsid w:val="68645FE7"/>
    <w:rsid w:val="687B29DF"/>
    <w:rsid w:val="69413090"/>
    <w:rsid w:val="69855FCD"/>
    <w:rsid w:val="69BC17E8"/>
    <w:rsid w:val="69BE4592"/>
    <w:rsid w:val="69CB3F4C"/>
    <w:rsid w:val="69DD77FF"/>
    <w:rsid w:val="6A4F2876"/>
    <w:rsid w:val="6A6E08AB"/>
    <w:rsid w:val="6A99334D"/>
    <w:rsid w:val="6AE37CE3"/>
    <w:rsid w:val="6AEE3503"/>
    <w:rsid w:val="6B0625EA"/>
    <w:rsid w:val="6B5442BA"/>
    <w:rsid w:val="6C580C23"/>
    <w:rsid w:val="6C593408"/>
    <w:rsid w:val="6C68544B"/>
    <w:rsid w:val="6C785167"/>
    <w:rsid w:val="6CC60283"/>
    <w:rsid w:val="6D0715D4"/>
    <w:rsid w:val="6D5F72F2"/>
    <w:rsid w:val="6DA86A73"/>
    <w:rsid w:val="6DDB2C74"/>
    <w:rsid w:val="6E0E0C0F"/>
    <w:rsid w:val="6E8E7670"/>
    <w:rsid w:val="6EAD7631"/>
    <w:rsid w:val="6EEB0447"/>
    <w:rsid w:val="6F3D091C"/>
    <w:rsid w:val="6FAF3250"/>
    <w:rsid w:val="6FC71762"/>
    <w:rsid w:val="70017401"/>
    <w:rsid w:val="70312E6C"/>
    <w:rsid w:val="703F6560"/>
    <w:rsid w:val="70443146"/>
    <w:rsid w:val="70725ED5"/>
    <w:rsid w:val="709652CC"/>
    <w:rsid w:val="70B362F9"/>
    <w:rsid w:val="70E83A97"/>
    <w:rsid w:val="70FC3328"/>
    <w:rsid w:val="71653340"/>
    <w:rsid w:val="716E10FE"/>
    <w:rsid w:val="717D2348"/>
    <w:rsid w:val="71C322E3"/>
    <w:rsid w:val="71F347D3"/>
    <w:rsid w:val="71FC098F"/>
    <w:rsid w:val="72415D05"/>
    <w:rsid w:val="7296241B"/>
    <w:rsid w:val="732A300A"/>
    <w:rsid w:val="73803FEB"/>
    <w:rsid w:val="73A744CA"/>
    <w:rsid w:val="73CE2CA8"/>
    <w:rsid w:val="741A21EA"/>
    <w:rsid w:val="743A4414"/>
    <w:rsid w:val="747F7695"/>
    <w:rsid w:val="748C5DD6"/>
    <w:rsid w:val="75072B6B"/>
    <w:rsid w:val="752A5628"/>
    <w:rsid w:val="754A398B"/>
    <w:rsid w:val="757E338E"/>
    <w:rsid w:val="75857AA3"/>
    <w:rsid w:val="758D5DE2"/>
    <w:rsid w:val="75943299"/>
    <w:rsid w:val="76017BAF"/>
    <w:rsid w:val="760C3862"/>
    <w:rsid w:val="767A5F36"/>
    <w:rsid w:val="76837B47"/>
    <w:rsid w:val="76B97261"/>
    <w:rsid w:val="772D4414"/>
    <w:rsid w:val="7744228A"/>
    <w:rsid w:val="77846D70"/>
    <w:rsid w:val="781E668F"/>
    <w:rsid w:val="783D01A1"/>
    <w:rsid w:val="788C166D"/>
    <w:rsid w:val="78AC0934"/>
    <w:rsid w:val="78BD4DDD"/>
    <w:rsid w:val="78E40C19"/>
    <w:rsid w:val="78E700F4"/>
    <w:rsid w:val="78EE7B24"/>
    <w:rsid w:val="7907377A"/>
    <w:rsid w:val="792E7F96"/>
    <w:rsid w:val="793B1352"/>
    <w:rsid w:val="79AB21E7"/>
    <w:rsid w:val="79CC501C"/>
    <w:rsid w:val="79F12DE4"/>
    <w:rsid w:val="7ACC7B06"/>
    <w:rsid w:val="7B0E17E2"/>
    <w:rsid w:val="7B0F0E96"/>
    <w:rsid w:val="7B3E48AE"/>
    <w:rsid w:val="7BF46F77"/>
    <w:rsid w:val="7C6203C7"/>
    <w:rsid w:val="7C6C06C0"/>
    <w:rsid w:val="7C8244F1"/>
    <w:rsid w:val="7CB47DAA"/>
    <w:rsid w:val="7D076A17"/>
    <w:rsid w:val="7D462131"/>
    <w:rsid w:val="7DA6130C"/>
    <w:rsid w:val="7DC974CD"/>
    <w:rsid w:val="7DFE6849"/>
    <w:rsid w:val="7E4B00B1"/>
    <w:rsid w:val="7E4E0C26"/>
    <w:rsid w:val="7E6E6B4B"/>
    <w:rsid w:val="7EA62275"/>
    <w:rsid w:val="7F034C8E"/>
    <w:rsid w:val="7F235328"/>
    <w:rsid w:val="7F640382"/>
    <w:rsid w:val="7FB30C7B"/>
    <w:rsid w:val="7FB34697"/>
    <w:rsid w:val="7FBD0C23"/>
    <w:rsid w:val="7FC279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bCs/>
      <w:kern w:val="44"/>
      <w:sz w:val="33"/>
      <w:szCs w:val="33"/>
      <w:lang w:val="en-US" w:eastAsia="zh-CN" w:bidi="ar"/>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next w:val="1"/>
    <w:qFormat/>
    <w:uiPriority w:val="0"/>
    <w:rPr>
      <w:rFonts w:ascii="宋体" w:hAnsi="宋体" w:eastAsia="宋体" w:cs="宋体"/>
      <w:sz w:val="31"/>
      <w:szCs w:val="31"/>
      <w:lang w:val="en-US" w:eastAsia="en-US" w:bidi="ar-SA"/>
    </w:rPr>
  </w:style>
  <w:style w:type="paragraph" w:styleId="7">
    <w:name w:val="Body Text Indent"/>
    <w:basedOn w:val="1"/>
    <w:qFormat/>
    <w:uiPriority w:val="99"/>
    <w:pPr>
      <w:spacing w:after="120" w:afterLines="0"/>
      <w:ind w:left="420" w:leftChars="200"/>
    </w:pPr>
    <w:rPr>
      <w:kern w:val="2"/>
      <w:sz w:val="21"/>
      <w:lang w:eastAsia="zh-CN" w:bidi="ar-SA"/>
    </w:rPr>
  </w:style>
  <w:style w:type="paragraph" w:styleId="8">
    <w:name w:val="Plain Text"/>
    <w:basedOn w:val="1"/>
    <w:qFormat/>
    <w:uiPriority w:val="0"/>
    <w:rPr>
      <w:rFonts w:ascii="宋体" w:hAnsi="Courier New" w:cs="Courier New"/>
      <w:szCs w:val="21"/>
    </w:rPr>
  </w:style>
  <w:style w:type="paragraph" w:styleId="9">
    <w:name w:val="Date"/>
    <w:basedOn w:val="1"/>
    <w:next w:val="1"/>
    <w:qFormat/>
    <w:uiPriority w:val="0"/>
    <w:rPr>
      <w:kern w:val="2"/>
      <w:sz w:val="21"/>
      <w:lang w:eastAsia="zh-CN" w:bidi="ar-SA"/>
    </w:rPr>
  </w:style>
  <w:style w:type="paragraph" w:styleId="10">
    <w:name w:val="Body Text Indent 2"/>
    <w:basedOn w:val="1"/>
    <w:qFormat/>
    <w:uiPriority w:val="99"/>
    <w:pPr>
      <w:spacing w:line="360" w:lineRule="auto"/>
      <w:ind w:left="1140"/>
    </w:pPr>
    <w:rPr>
      <w:rFonts w:ascii="宋体"/>
      <w:kern w:val="0"/>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envelope return"/>
    <w:basedOn w:val="1"/>
    <w:qFormat/>
    <w:uiPriority w:val="0"/>
    <w:pPr>
      <w:snapToGrid w:val="0"/>
    </w:pPr>
    <w:rPr>
      <w:rFonts w:ascii="Arial" w:hAnsi="Arial"/>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footnote text"/>
    <w:basedOn w:val="1"/>
    <w:qFormat/>
    <w:uiPriority w:val="0"/>
    <w:pPr>
      <w:snapToGrid w:val="0"/>
      <w:jc w:val="left"/>
    </w:pPr>
    <w:rPr>
      <w:sz w:val="18"/>
      <w:szCs w:val="18"/>
    </w:rPr>
  </w:style>
  <w:style w:type="paragraph" w:styleId="15">
    <w:name w:val="toc 2"/>
    <w:basedOn w:val="1"/>
    <w:next w:val="1"/>
    <w:qFormat/>
    <w:uiPriority w:val="39"/>
    <w:pPr>
      <w:spacing w:line="360" w:lineRule="auto"/>
      <w:ind w:left="200" w:leftChars="200"/>
    </w:pPr>
  </w:style>
  <w:style w:type="paragraph" w:styleId="16">
    <w:name w:val="Body Text 2"/>
    <w:basedOn w:val="1"/>
    <w:next w:val="8"/>
    <w:qFormat/>
    <w:uiPriority w:val="0"/>
    <w:pPr>
      <w:spacing w:after="120" w:line="480" w:lineRule="auto"/>
    </w:pPr>
    <w:rPr>
      <w:rFonts w:ascii="Tahoma" w:hAnsi="Tahoma"/>
    </w:rPr>
  </w:style>
  <w:style w:type="paragraph" w:styleId="17">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9">
    <w:name w:val="Body Text First Indent"/>
    <w:basedOn w:val="6"/>
    <w:next w:val="20"/>
    <w:qFormat/>
    <w:uiPriority w:val="0"/>
    <w:pPr>
      <w:ind w:firstLine="420" w:firstLineChars="100"/>
      <w:jc w:val="left"/>
    </w:pPr>
    <w:rPr>
      <w:szCs w:val="20"/>
    </w:rPr>
  </w:style>
  <w:style w:type="paragraph" w:styleId="20">
    <w:name w:val="Body Text First Indent 2"/>
    <w:basedOn w:val="7"/>
    <w:next w:val="9"/>
    <w:qFormat/>
    <w:uiPriority w:val="0"/>
    <w:pPr>
      <w:ind w:firstLine="200" w:firstLineChars="200"/>
    </w:pPr>
    <w:rPr>
      <w:kern w:val="2"/>
      <w:sz w:val="28"/>
      <w:lang w:eastAsia="zh-CN" w:bidi="ar-SA"/>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FollowedHyperlink"/>
    <w:basedOn w:val="23"/>
    <w:qFormat/>
    <w:uiPriority w:val="0"/>
    <w:rPr>
      <w:color w:val="444444"/>
      <w:sz w:val="16"/>
      <w:szCs w:val="16"/>
      <w:u w:val="none"/>
    </w:rPr>
  </w:style>
  <w:style w:type="character" w:styleId="25">
    <w:name w:val="Emphasis"/>
    <w:basedOn w:val="23"/>
    <w:qFormat/>
    <w:uiPriority w:val="0"/>
    <w:rPr>
      <w:i/>
    </w:rPr>
  </w:style>
  <w:style w:type="character" w:styleId="26">
    <w:name w:val="Hyperlink"/>
    <w:basedOn w:val="23"/>
    <w:qFormat/>
    <w:uiPriority w:val="0"/>
    <w:rPr>
      <w:color w:val="0000FF"/>
      <w:u w:val="single"/>
    </w:rPr>
  </w:style>
  <w:style w:type="paragraph" w:customStyle="1" w:styleId="27">
    <w:name w:val="Default"/>
    <w:next w:val="28"/>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paragraph" w:customStyle="1" w:styleId="28">
    <w:name w:val="表格文字"/>
    <w:basedOn w:val="29"/>
    <w:qFormat/>
    <w:uiPriority w:val="99"/>
    <w:pPr>
      <w:jc w:val="left"/>
    </w:pPr>
    <w:rPr>
      <w:rFonts w:ascii="宋体" w:hAnsi="宋体"/>
      <w:bCs/>
      <w:spacing w:val="-4"/>
      <w:kern w:val="0"/>
      <w:sz w:val="32"/>
      <w:szCs w:val="32"/>
      <w:lang w:val="zh-CN"/>
    </w:rPr>
  </w:style>
  <w:style w:type="paragraph" w:customStyle="1" w:styleId="29">
    <w:name w:val="正文2"/>
    <w:basedOn w:val="1"/>
    <w:qFormat/>
    <w:uiPriority w:val="0"/>
    <w:pPr>
      <w:spacing w:before="156" w:line="360" w:lineRule="auto"/>
      <w:ind w:firstLine="510" w:firstLineChars="200"/>
    </w:pPr>
    <w:rPr>
      <w:rFonts w:ascii="Calibri" w:hAnsi="Calibri"/>
      <w:kern w:val="0"/>
      <w:sz w:val="24"/>
    </w:rPr>
  </w:style>
  <w:style w:type="paragraph" w:customStyle="1" w:styleId="3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1">
    <w:name w:val="一级条标题"/>
    <w:basedOn w:val="32"/>
    <w:next w:val="33"/>
    <w:qFormat/>
    <w:uiPriority w:val="99"/>
    <w:pPr>
      <w:numPr>
        <w:ilvl w:val="2"/>
      </w:numPr>
      <w:outlineLvl w:val="2"/>
    </w:pPr>
    <w:rPr>
      <w:rFonts w:ascii="Calibri"/>
    </w:rPr>
  </w:style>
  <w:style w:type="paragraph" w:customStyle="1" w:styleId="32">
    <w:name w:val="章标题"/>
    <w:next w:val="1"/>
    <w:qFormat/>
    <w:uiPriority w:val="99"/>
    <w:pPr>
      <w:numPr>
        <w:ilvl w:val="1"/>
        <w:numId w:val="1"/>
      </w:numPr>
      <w:spacing w:beforeLines="50" w:afterLines="50"/>
      <w:jc w:val="both"/>
      <w:outlineLvl w:val="1"/>
    </w:pPr>
    <w:rPr>
      <w:rFonts w:ascii="黑体" w:hAnsi="Calibri" w:eastAsia="黑体" w:cs="Times New Roman"/>
      <w:kern w:val="2"/>
      <w:sz w:val="21"/>
      <w:szCs w:val="21"/>
      <w:lang w:val="en-US" w:eastAsia="zh-CN" w:bidi="ar-SA"/>
    </w:rPr>
  </w:style>
  <w:style w:type="paragraph" w:customStyle="1" w:styleId="33">
    <w:name w:val="段"/>
    <w:next w:val="1"/>
    <w:qFormat/>
    <w:uiPriority w:val="0"/>
    <w:pPr>
      <w:autoSpaceDE w:val="0"/>
      <w:autoSpaceDN w:val="0"/>
      <w:ind w:firstLine="200" w:firstLineChars="200"/>
      <w:jc w:val="both"/>
    </w:pPr>
    <w:rPr>
      <w:rFonts w:ascii="宋体" w:hAnsi="Calibri" w:eastAsia="宋体" w:cs="宋体"/>
      <w:kern w:val="2"/>
      <w:sz w:val="21"/>
      <w:szCs w:val="21"/>
      <w:lang w:val="en-US" w:eastAsia="zh-CN" w:bidi="ar-SA"/>
    </w:rPr>
  </w:style>
  <w:style w:type="paragraph" w:customStyle="1" w:styleId="34">
    <w:name w:val="自动更正"/>
    <w:qFormat/>
    <w:uiPriority w:val="99"/>
    <w:pPr>
      <w:widowControl w:val="0"/>
    </w:pPr>
    <w:rPr>
      <w:rFonts w:ascii="Times New Roman" w:hAnsi="Times New Roman" w:eastAsia="宋体" w:cs="Times New Roman"/>
      <w:kern w:val="2"/>
      <w:sz w:val="24"/>
      <w:szCs w:val="24"/>
      <w:lang w:val="en-US" w:eastAsia="zh-CN" w:bidi="ar-SA"/>
    </w:rPr>
  </w:style>
  <w:style w:type="table" w:customStyle="1" w:styleId="35">
    <w:name w:val="Table Normal"/>
    <w:semiHidden/>
    <w:unhideWhenUsed/>
    <w:qFormat/>
    <w:uiPriority w:val="0"/>
    <w:tblPr>
      <w:tblCellMar>
        <w:top w:w="0" w:type="dxa"/>
        <w:left w:w="0" w:type="dxa"/>
        <w:bottom w:w="0" w:type="dxa"/>
        <w:right w:w="0" w:type="dxa"/>
      </w:tblCellMar>
    </w:tblPr>
  </w:style>
  <w:style w:type="paragraph" w:customStyle="1" w:styleId="36">
    <w:name w:val="Table Text"/>
    <w:basedOn w:val="1"/>
    <w:semiHidden/>
    <w:qFormat/>
    <w:uiPriority w:val="0"/>
    <w:rPr>
      <w:rFonts w:ascii="Arial" w:hAnsi="Arial" w:eastAsia="Arial" w:cs="Arial"/>
      <w:sz w:val="21"/>
      <w:szCs w:val="21"/>
      <w:lang w:val="en-US" w:eastAsia="en-US" w:bidi="ar-SA"/>
    </w:rPr>
  </w:style>
  <w:style w:type="paragraph" w:customStyle="1" w:styleId="37">
    <w:name w:val="Char Char10 Char Char Char Char"/>
    <w:basedOn w:val="1"/>
    <w:next w:val="38"/>
    <w:qFormat/>
    <w:uiPriority w:val="99"/>
    <w:pPr>
      <w:autoSpaceDE w:val="0"/>
      <w:autoSpaceDN w:val="0"/>
      <w:jc w:val="left"/>
    </w:pPr>
    <w:rPr>
      <w:rFonts w:ascii="宋体" w:hAnsi="宋体" w:cs="宋体"/>
      <w:lang w:val="zh-CN" w:bidi="zh-CN"/>
    </w:rPr>
  </w:style>
  <w:style w:type="paragraph" w:customStyle="1" w:styleId="38">
    <w:name w:val="xl87"/>
    <w:basedOn w:val="1"/>
    <w:next w:val="39"/>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ˎ̥" w:hAnsi="ˎ̥" w:cs="宋体"/>
      <w:sz w:val="18"/>
      <w:szCs w:val="18"/>
      <w:lang w:eastAsia="zh-CN" w:bidi="ar-SA"/>
    </w:rPr>
  </w:style>
  <w:style w:type="paragraph" w:customStyle="1" w:styleId="39">
    <w:name w:val="xl72"/>
    <w:basedOn w:val="1"/>
    <w:next w:val="40"/>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2"/>
      <w:szCs w:val="22"/>
      <w:lang w:eastAsia="zh-CN" w:bidi="ar-SA"/>
    </w:rPr>
  </w:style>
  <w:style w:type="paragraph" w:customStyle="1" w:styleId="40">
    <w:name w:val="Date1"/>
    <w:basedOn w:val="1"/>
    <w:next w:val="1"/>
    <w:qFormat/>
    <w:uiPriority w:val="0"/>
    <w:rPr>
      <w:kern w:val="2"/>
      <w:lang w:eastAsia="zh-CN"/>
    </w:rPr>
  </w:style>
  <w:style w:type="paragraph" w:customStyle="1" w:styleId="41">
    <w:name w:val="MessageHeader"/>
    <w:basedOn w:val="1"/>
    <w:qFormat/>
    <w:uiPriority w:val="0"/>
    <w:pPr>
      <w:pBdr>
        <w:top w:val="single" w:color="000000" w:sz="6" w:space="1"/>
        <w:left w:val="single" w:color="000000" w:sz="6" w:space="1"/>
        <w:bottom w:val="single" w:color="000000" w:sz="6" w:space="1"/>
        <w:right w:val="single" w:color="000000" w:sz="6" w:space="1"/>
      </w:pBdr>
      <w:ind w:left="1080" w:leftChars="500" w:hanging="1080" w:hangingChars="500"/>
      <w:jc w:val="both"/>
      <w:textAlignment w:val="baseline"/>
    </w:pPr>
    <w:rPr>
      <w:rFonts w:ascii="Calibri Light" w:hAnsi="Calibri Light" w:eastAsia="宋体"/>
      <w:kern w:val="2"/>
      <w:sz w:val="21"/>
      <w:szCs w:val="24"/>
      <w:lang w:val="en-US" w:eastAsia="zh-CN" w:bidi="ar-SA"/>
    </w:rPr>
  </w:style>
  <w:style w:type="character" w:customStyle="1" w:styleId="42">
    <w:name w:val="hover18"/>
    <w:basedOn w:val="23"/>
    <w:qFormat/>
    <w:uiPriority w:val="0"/>
  </w:style>
  <w:style w:type="paragraph" w:customStyle="1" w:styleId="43">
    <w:name w:val="列出段落1"/>
    <w:basedOn w:val="1"/>
    <w:qFormat/>
    <w:uiPriority w:val="0"/>
    <w:pPr>
      <w:ind w:firstLine="420" w:firstLineChars="200"/>
    </w:pPr>
    <w:rPr>
      <w:szCs w:val="21"/>
    </w:rPr>
  </w:style>
  <w:style w:type="paragraph" w:customStyle="1" w:styleId="44">
    <w:name w:val="样式1"/>
    <w:basedOn w:val="1"/>
    <w:qFormat/>
    <w:uiPriority w:val="0"/>
    <w:pPr>
      <w:spacing w:line="240" w:lineRule="auto"/>
      <w:jc w:val="both"/>
    </w:pPr>
    <w:rPr>
      <w:rFonts w:ascii="宋体"/>
      <w:sz w:val="21"/>
      <w:szCs w:val="21"/>
    </w:rPr>
  </w:style>
  <w:style w:type="character" w:customStyle="1" w:styleId="45">
    <w:name w:val="first-child"/>
    <w:basedOn w:val="23"/>
    <w:qFormat/>
    <w:uiPriority w:val="0"/>
  </w:style>
  <w:style w:type="character" w:customStyle="1" w:styleId="46">
    <w:name w:val="layui-layer-tabnow"/>
    <w:basedOn w:val="23"/>
    <w:qFormat/>
    <w:uiPriority w:val="0"/>
    <w:rPr>
      <w:bdr w:val="single" w:color="CCCCCC" w:sz="6" w:space="0"/>
      <w:shd w:val="clear" w:fill="FFFFFF"/>
    </w:rPr>
  </w:style>
  <w:style w:type="paragraph" w:customStyle="1" w:styleId="47">
    <w:name w:val="正文缩进1"/>
    <w:basedOn w:val="1"/>
    <w:qFormat/>
    <w:uiPriority w:val="0"/>
    <w:pPr>
      <w:widowControl/>
      <w:ind w:firstLine="420"/>
      <w:jc w:val="left"/>
    </w:pPr>
    <w:rPr>
      <w:rFonts w:ascii="Times New Roman" w:hAnsi="Times New Roman"/>
      <w:kern w:val="0"/>
      <w:szCs w:val="20"/>
    </w:rPr>
  </w:style>
  <w:style w:type="paragraph" w:customStyle="1" w:styleId="48">
    <w:name w:val="首行缩进"/>
    <w:basedOn w:val="1"/>
    <w:qFormat/>
    <w:uiPriority w:val="99"/>
    <w:pPr>
      <w:ind w:firstLine="480" w:firstLineChars="200"/>
    </w:pPr>
    <w:rPr>
      <w:szCs w:val="24"/>
      <w:lang w:val="zh-CN"/>
    </w:rPr>
  </w:style>
  <w:style w:type="paragraph" w:customStyle="1" w:styleId="49">
    <w:name w:val="表格格式（中册）"/>
    <w:basedOn w:val="1"/>
    <w:qFormat/>
    <w:uiPriority w:val="0"/>
    <w:rPr>
      <w:rFonts w:ascii="Times New Roman" w:hAnsi="Times New Roman" w:eastAsia="宋体" w:cs="Times New Roman"/>
      <w:sz w:val="24"/>
      <w:szCs w:val="24"/>
    </w:rPr>
  </w:style>
  <w:style w:type="paragraph" w:customStyle="1" w:styleId="50">
    <w:name w:val="索引 11"/>
    <w:basedOn w:val="1"/>
    <w:next w:val="1"/>
    <w:qFormat/>
    <w:uiPriority w:val="99"/>
    <w:pPr>
      <w:spacing w:line="360" w:lineRule="auto"/>
    </w:pPr>
    <w:rPr>
      <w:rFonts w:ascii="仿宋_GB2312" w:eastAsia="仿宋_GB2312"/>
      <w:szCs w:val="20"/>
    </w:rPr>
  </w:style>
  <w:style w:type="paragraph" w:customStyle="1" w:styleId="51">
    <w:name w:val="纯文本1"/>
    <w:basedOn w:val="1"/>
    <w:qFormat/>
    <w:uiPriority w:val="99"/>
    <w:rPr>
      <w:rFonts w:ascii="宋体" w:hAnsi="Courier New"/>
      <w:szCs w:val="22"/>
    </w:rPr>
  </w:style>
  <w:style w:type="paragraph" w:styleId="5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86</Pages>
  <Words>10419</Words>
  <Characters>12025</Characters>
  <TotalTime>1</TotalTime>
  <ScaleCrop>false</ScaleCrop>
  <LinksUpToDate>false</LinksUpToDate>
  <CharactersWithSpaces>12379</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2023-09-08T09:17:00Z</dcterms:created>
  <dc:creator>尹皓</dc:creator>
  <cp:lastModifiedBy>WPS_1468317985</cp:lastModifiedBy>
  <cp:lastPrinted>2024-04-07T03:01:00Z</cp:lastPrinted>
  <dcterms:modified xsi:type="dcterms:W3CDTF">2026-09-02T00:37:02Z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2052-12.1.0.18608</vt:lpwstr>
  </property>
  <property fmtid="{D5CDD505-2E9C-101B-9397-08002B2CF9AE}" pid="5" name="ICV">
    <vt:lpwstr>9BA2A45E6AAF4CE390BE4327F18DDA77_13</vt:lpwstr>
  </property>
  <property fmtid="{D5CDD505-2E9C-101B-9397-08002B2CF9AE}" pid="6" name="KSOTemplateDocerSaveRecord">
    <vt:lpwstr>eyJoZGlkIjoiMTRjNjlkNzI2Y2NhOWEyYmRkZThmYzk3NjRhZjU3ZmMiLCJ1c2VySWQiOiIyNTQzOTEwNzAifQ==</vt:lpwstr>
  </property>
</Properties>
</file>