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firstLineChars="0"/>
        <w:rPr>
          <w:rFonts w:hint="eastAsia" w:ascii="宋体" w:hAnsi="宋体" w:eastAsia="宋体" w:cs="宋体"/>
          <w:sz w:val="22"/>
          <w:szCs w:val="28"/>
          <w:highlight w:val="none"/>
          <w:shd w:val="clear" w:color="auto" w:fill="FFFFFF"/>
        </w:rPr>
      </w:pPr>
      <w:bookmarkStart w:id="0" w:name="_Toc27673"/>
    </w:p>
    <w:p>
      <w:pPr>
        <w:pStyle w:val="6"/>
        <w:ind w:firstLine="0" w:firstLineChars="0"/>
        <w:jc w:val="center"/>
        <w:rPr>
          <w:rStyle w:val="35"/>
          <w:rFonts w:hint="eastAsia" w:ascii="宋体" w:hAnsi="宋体" w:eastAsia="宋体" w:cs="宋体"/>
          <w:b/>
          <w:kern w:val="2"/>
          <w:sz w:val="40"/>
          <w:szCs w:val="40"/>
          <w:highlight w:val="none"/>
          <w:lang w:val="en-US" w:eastAsia="zh-CN" w:bidi="ar-SA"/>
        </w:rPr>
      </w:pPr>
    </w:p>
    <w:p>
      <w:pPr>
        <w:pStyle w:val="6"/>
        <w:ind w:firstLine="0" w:firstLineChars="0"/>
        <w:jc w:val="center"/>
        <w:rPr>
          <w:rFonts w:hint="eastAsia" w:ascii="宋体" w:hAnsi="宋体" w:eastAsia="宋体" w:cs="宋体"/>
          <w:sz w:val="52"/>
          <w:szCs w:val="52"/>
          <w:highlight w:val="none"/>
          <w:shd w:val="clear" w:color="auto" w:fill="FFFFFF"/>
        </w:rPr>
      </w:pPr>
      <w:r>
        <w:rPr>
          <w:rStyle w:val="35"/>
          <w:rFonts w:hint="eastAsia" w:ascii="宋体" w:hAnsi="宋体" w:cs="宋体"/>
          <w:b/>
          <w:kern w:val="2"/>
          <w:sz w:val="52"/>
          <w:szCs w:val="52"/>
          <w:highlight w:val="none"/>
          <w:lang w:val="en-US" w:eastAsia="zh-CN" w:bidi="ar-SA"/>
        </w:rPr>
        <w:t>鹤壁市淇滨中学操场维修改造项目</w:t>
      </w:r>
    </w:p>
    <w:p>
      <w:pPr>
        <w:rPr>
          <w:rFonts w:hint="eastAsia" w:ascii="宋体" w:hAnsi="宋体" w:eastAsia="宋体" w:cs="宋体"/>
          <w:highlight w:val="none"/>
          <w:shd w:val="clear" w:color="auto" w:fill="FFFFFF"/>
        </w:rPr>
      </w:pPr>
    </w:p>
    <w:p>
      <w:pPr>
        <w:pStyle w:val="6"/>
        <w:rPr>
          <w:rFonts w:hint="eastAsia" w:ascii="宋体" w:hAnsi="宋体" w:eastAsia="宋体" w:cs="宋体"/>
          <w:highlight w:val="none"/>
        </w:rPr>
      </w:pPr>
    </w:p>
    <w:p>
      <w:pPr>
        <w:rPr>
          <w:rFonts w:hint="eastAsia" w:ascii="宋体" w:hAnsi="宋体" w:eastAsia="宋体" w:cs="宋体"/>
          <w:highlight w:val="none"/>
        </w:rPr>
      </w:pPr>
    </w:p>
    <w:p>
      <w:pPr>
        <w:pStyle w:val="6"/>
        <w:rPr>
          <w:rFonts w:hint="eastAsia" w:ascii="宋体" w:hAnsi="宋体" w:eastAsia="宋体" w:cs="宋体"/>
          <w:highlight w:val="none"/>
        </w:rPr>
      </w:pPr>
    </w:p>
    <w:p>
      <w:pPr>
        <w:rPr>
          <w:rFonts w:hint="eastAsia" w:ascii="宋体" w:hAnsi="宋体" w:eastAsia="宋体" w:cs="宋体"/>
          <w:highlight w:val="none"/>
        </w:rPr>
      </w:pPr>
    </w:p>
    <w:p>
      <w:pPr>
        <w:pStyle w:val="6"/>
        <w:rPr>
          <w:rFonts w:hint="eastAsia" w:ascii="宋体" w:hAnsi="宋体" w:eastAsia="宋体" w:cs="宋体"/>
          <w:highlight w:val="none"/>
        </w:rPr>
      </w:pPr>
    </w:p>
    <w:p>
      <w:pPr>
        <w:pStyle w:val="6"/>
        <w:ind w:left="0" w:leftChars="0" w:firstLine="0" w:firstLineChars="0"/>
        <w:rPr>
          <w:rFonts w:hint="eastAsia" w:ascii="宋体" w:hAnsi="宋体" w:eastAsia="宋体" w:cs="宋体"/>
          <w:highlight w:val="none"/>
        </w:rPr>
      </w:pPr>
    </w:p>
    <w:p>
      <w:pPr>
        <w:jc w:val="center"/>
        <w:rPr>
          <w:rFonts w:hint="eastAsia" w:ascii="宋体" w:hAnsi="宋体" w:eastAsia="宋体" w:cs="宋体"/>
          <w:b/>
          <w:bCs w:val="0"/>
          <w:sz w:val="72"/>
          <w:szCs w:val="72"/>
          <w:highlight w:val="none"/>
          <w:shd w:val="clear" w:color="auto" w:fill="FFFFFF"/>
        </w:rPr>
      </w:pPr>
      <w:r>
        <w:rPr>
          <w:rFonts w:hint="eastAsia" w:ascii="宋体" w:hAnsi="宋体" w:eastAsia="宋体" w:cs="宋体"/>
          <w:b/>
          <w:bCs w:val="0"/>
          <w:sz w:val="72"/>
          <w:szCs w:val="72"/>
          <w:highlight w:val="none"/>
          <w:shd w:val="clear" w:color="auto" w:fill="FFFFFF"/>
        </w:rPr>
        <w:t>竞争性磋商文件</w:t>
      </w:r>
    </w:p>
    <w:p>
      <w:pPr>
        <w:rPr>
          <w:rFonts w:hint="eastAsia" w:ascii="宋体" w:hAnsi="宋体" w:eastAsia="宋体" w:cs="宋体"/>
          <w:highlight w:val="none"/>
          <w:shd w:val="clear" w:color="auto" w:fill="FFFFFF"/>
        </w:rPr>
      </w:pPr>
    </w:p>
    <w:p>
      <w:pPr>
        <w:rPr>
          <w:rFonts w:hint="eastAsia" w:ascii="宋体" w:hAnsi="宋体" w:eastAsia="宋体" w:cs="宋体"/>
          <w:highlight w:val="none"/>
          <w:shd w:val="clear" w:color="auto" w:fill="FFFFFF"/>
        </w:rPr>
      </w:pPr>
    </w:p>
    <w:p>
      <w:pPr>
        <w:jc w:val="both"/>
        <w:rPr>
          <w:rFonts w:hint="eastAsia" w:ascii="宋体" w:hAnsi="宋体" w:eastAsia="宋体" w:cs="宋体"/>
          <w:highlight w:val="none"/>
          <w:shd w:val="clear" w:color="auto" w:fill="FFFFFF"/>
        </w:rPr>
      </w:pPr>
      <w:r>
        <w:rPr>
          <w:rFonts w:hint="eastAsia" w:ascii="宋体" w:hAnsi="宋体" w:eastAsia="宋体" w:cs="宋体"/>
          <w:b/>
          <w:bCs/>
          <w:color w:val="auto"/>
          <w:highlight w:val="none"/>
        </w:rPr>
        <w:drawing>
          <wp:anchor distT="0" distB="0" distL="114300" distR="114300" simplePos="0" relativeHeight="251664384" behindDoc="0" locked="0" layoutInCell="1" allowOverlap="1">
            <wp:simplePos x="0" y="0"/>
            <wp:positionH relativeFrom="column">
              <wp:posOffset>2323465</wp:posOffset>
            </wp:positionH>
            <wp:positionV relativeFrom="paragraph">
              <wp:posOffset>24130</wp:posOffset>
            </wp:positionV>
            <wp:extent cx="1499870" cy="1494790"/>
            <wp:effectExtent l="0" t="0" r="0" b="10795"/>
            <wp:wrapNone/>
            <wp:docPr id="9" name="图片 9" descr="微信图片_2020061611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00616113040"/>
                    <pic:cNvPicPr>
                      <a:picLocks noChangeAspect="1"/>
                    </pic:cNvPicPr>
                  </pic:nvPicPr>
                  <pic:blipFill>
                    <a:blip r:embed="rId16" cstate="print"/>
                    <a:stretch>
                      <a:fillRect/>
                    </a:stretch>
                  </pic:blipFill>
                  <pic:spPr>
                    <a:xfrm>
                      <a:off x="0" y="0"/>
                      <a:ext cx="1499870" cy="1494790"/>
                    </a:xfrm>
                    <a:prstGeom prst="rect">
                      <a:avLst/>
                    </a:prstGeom>
                    <a:noFill/>
                    <a:ln>
                      <a:noFill/>
                    </a:ln>
                  </pic:spPr>
                </pic:pic>
              </a:graphicData>
            </a:graphic>
          </wp:anchor>
        </w:drawing>
      </w:r>
    </w:p>
    <w:p>
      <w:pPr>
        <w:rPr>
          <w:rFonts w:hint="eastAsia" w:ascii="宋体" w:hAnsi="宋体" w:eastAsia="宋体" w:cs="宋体"/>
          <w:highlight w:val="none"/>
          <w:shd w:val="clear" w:color="auto" w:fill="FFFFFF"/>
        </w:rPr>
      </w:pPr>
    </w:p>
    <w:p>
      <w:pPr>
        <w:rPr>
          <w:rFonts w:hint="eastAsia" w:ascii="宋体" w:hAnsi="宋体" w:eastAsia="宋体" w:cs="宋体"/>
          <w:highlight w:val="none"/>
          <w:shd w:val="clear" w:color="auto" w:fill="FFFFFF"/>
        </w:rPr>
      </w:pPr>
    </w:p>
    <w:p>
      <w:pPr>
        <w:pStyle w:val="7"/>
        <w:ind w:left="0" w:leftChars="0" w:firstLine="0" w:firstLineChars="0"/>
        <w:rPr>
          <w:rFonts w:hint="eastAsia" w:ascii="宋体" w:hAnsi="宋体" w:eastAsia="宋体" w:cs="宋体"/>
          <w:highlight w:val="none"/>
        </w:rPr>
      </w:pPr>
    </w:p>
    <w:p>
      <w:pPr>
        <w:pStyle w:val="6"/>
        <w:ind w:firstLine="210"/>
        <w:rPr>
          <w:rFonts w:hint="eastAsia" w:ascii="宋体" w:hAnsi="宋体" w:eastAsia="宋体" w:cs="宋体"/>
          <w:highlight w:val="none"/>
        </w:rPr>
      </w:pPr>
    </w:p>
    <w:p>
      <w:pPr>
        <w:pStyle w:val="6"/>
        <w:ind w:firstLine="0" w:firstLineChars="0"/>
        <w:rPr>
          <w:rFonts w:hint="eastAsia" w:ascii="宋体" w:hAnsi="宋体" w:eastAsia="宋体" w:cs="宋体"/>
          <w:highlight w:val="none"/>
          <w:shd w:val="clear" w:color="auto" w:fill="FFFFFF"/>
        </w:rPr>
      </w:pPr>
    </w:p>
    <w:p>
      <w:pPr>
        <w:rPr>
          <w:rFonts w:hint="eastAsia" w:ascii="宋体" w:hAnsi="宋体" w:eastAsia="宋体" w:cs="宋体"/>
          <w:highlight w:val="none"/>
          <w:shd w:val="clear" w:color="auto" w:fill="FFFFFF"/>
        </w:rPr>
      </w:pPr>
    </w:p>
    <w:p>
      <w:pPr>
        <w:rPr>
          <w:rFonts w:hint="eastAsia" w:ascii="宋体" w:hAnsi="宋体" w:eastAsia="宋体" w:cs="宋体"/>
          <w:highlight w:val="none"/>
          <w:shd w:val="clear" w:color="auto" w:fill="FFFFFF"/>
        </w:rPr>
      </w:pPr>
    </w:p>
    <w:p>
      <w:pPr>
        <w:rPr>
          <w:rFonts w:hint="eastAsia" w:ascii="宋体" w:hAnsi="宋体" w:eastAsia="宋体" w:cs="宋体"/>
          <w:highlight w:val="none"/>
          <w:shd w:val="clear" w:color="auto" w:fill="FFFFFF"/>
        </w:rPr>
      </w:pPr>
    </w:p>
    <w:p>
      <w:pPr>
        <w:pStyle w:val="6"/>
        <w:rPr>
          <w:rFonts w:hint="eastAsia" w:ascii="宋体" w:hAnsi="宋体" w:eastAsia="宋体" w:cs="宋体"/>
          <w:highlight w:val="none"/>
          <w:shd w:val="clear" w:color="auto" w:fill="FFFFFF"/>
        </w:rPr>
      </w:pPr>
    </w:p>
    <w:p>
      <w:pPr>
        <w:pStyle w:val="7"/>
        <w:rPr>
          <w:rFonts w:hint="eastAsia" w:ascii="宋体" w:hAnsi="宋体" w:eastAsia="宋体" w:cs="宋体"/>
          <w:highlight w:val="none"/>
        </w:rPr>
      </w:pPr>
    </w:p>
    <w:p>
      <w:pPr>
        <w:tabs>
          <w:tab w:val="left" w:pos="6990"/>
        </w:tabs>
        <w:bidi w:val="0"/>
        <w:snapToGrid w:val="0"/>
        <w:spacing w:line="600" w:lineRule="atLeast"/>
        <w:ind w:firstLine="2249" w:firstLineChars="700"/>
        <w:jc w:val="both"/>
        <w:textAlignment w:val="baseline"/>
        <w:rPr>
          <w:rStyle w:val="35"/>
          <w:rFonts w:hint="eastAsia" w:ascii="宋体" w:hAnsi="宋体" w:eastAsia="宋体" w:cs="宋体"/>
          <w:b/>
          <w:kern w:val="2"/>
          <w:sz w:val="32"/>
          <w:szCs w:val="32"/>
          <w:highlight w:val="none"/>
          <w:lang w:val="en-US" w:eastAsia="zh-CN" w:bidi="ar-SA"/>
        </w:rPr>
      </w:pPr>
      <w:r>
        <w:rPr>
          <w:rStyle w:val="35"/>
          <w:rFonts w:hint="eastAsia" w:ascii="宋体" w:hAnsi="宋体" w:eastAsia="宋体" w:cs="宋体"/>
          <w:b/>
          <w:kern w:val="2"/>
          <w:sz w:val="32"/>
          <w:szCs w:val="32"/>
          <w:highlight w:val="none"/>
          <w:lang w:val="en-US" w:eastAsia="zh-CN" w:bidi="ar-SA"/>
        </w:rPr>
        <w:t>采 购 人：</w:t>
      </w:r>
      <w:r>
        <w:rPr>
          <w:rStyle w:val="35"/>
          <w:rFonts w:hint="eastAsia" w:ascii="宋体" w:hAnsi="宋体" w:cs="宋体"/>
          <w:b/>
          <w:kern w:val="2"/>
          <w:sz w:val="32"/>
          <w:szCs w:val="32"/>
          <w:highlight w:val="none"/>
          <w:lang w:val="en-US" w:eastAsia="zh-CN" w:bidi="ar-SA"/>
        </w:rPr>
        <w:t>鹤壁市淇滨中学</w:t>
      </w:r>
    </w:p>
    <w:p>
      <w:pPr>
        <w:tabs>
          <w:tab w:val="left" w:pos="1470"/>
        </w:tabs>
        <w:bidi w:val="0"/>
        <w:snapToGrid w:val="0"/>
        <w:spacing w:line="600" w:lineRule="atLeast"/>
        <w:jc w:val="center"/>
        <w:textAlignment w:val="baseline"/>
        <w:rPr>
          <w:rStyle w:val="35"/>
          <w:rFonts w:hint="eastAsia" w:ascii="宋体" w:hAnsi="宋体" w:eastAsia="宋体" w:cs="宋体"/>
          <w:b/>
          <w:kern w:val="2"/>
          <w:sz w:val="32"/>
          <w:szCs w:val="32"/>
          <w:highlight w:val="none"/>
          <w:lang w:val="en-US" w:eastAsia="zh-CN" w:bidi="ar-SA"/>
        </w:rPr>
      </w:pPr>
      <w:r>
        <w:rPr>
          <w:rStyle w:val="35"/>
          <w:rFonts w:hint="eastAsia" w:ascii="宋体" w:hAnsi="宋体" w:eastAsia="宋体" w:cs="宋体"/>
          <w:b/>
          <w:kern w:val="2"/>
          <w:sz w:val="32"/>
          <w:szCs w:val="32"/>
          <w:highlight w:val="none"/>
          <w:lang w:val="en-US" w:eastAsia="zh-CN" w:bidi="ar-SA"/>
        </w:rPr>
        <w:t xml:space="preserve"> 代理机构：中大宇辰项目管理有限公司 </w:t>
      </w:r>
    </w:p>
    <w:p>
      <w:pPr>
        <w:pStyle w:val="36"/>
        <w:widowControl/>
        <w:bidi w:val="0"/>
        <w:snapToGrid w:val="0"/>
        <w:spacing w:line="600" w:lineRule="atLeast"/>
        <w:jc w:val="both"/>
        <w:textAlignment w:val="baseline"/>
        <w:rPr>
          <w:rFonts w:hint="eastAsia" w:ascii="宋体" w:hAnsi="宋体" w:eastAsia="宋体" w:cs="宋体"/>
          <w:kern w:val="0"/>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1304" w:bottom="1134" w:left="1304" w:header="851" w:footer="992" w:gutter="0"/>
          <w:pgNumType w:fmt="numberInDash" w:start="0"/>
          <w:cols w:space="720" w:num="1"/>
          <w:titlePg/>
          <w:docGrid w:type="lines" w:linePitch="312" w:charSpace="0"/>
        </w:sectPr>
      </w:pPr>
      <w:r>
        <w:rPr>
          <w:rStyle w:val="35"/>
          <w:rFonts w:hint="eastAsia" w:ascii="宋体" w:hAnsi="宋体" w:eastAsia="宋体" w:cs="宋体"/>
          <w:b/>
          <w:kern w:val="2"/>
          <w:sz w:val="32"/>
          <w:szCs w:val="32"/>
          <w:highlight w:val="none"/>
          <w:lang w:val="en-US" w:eastAsia="zh-CN" w:bidi="ar-SA"/>
        </w:rPr>
        <w:t xml:space="preserve">              </w:t>
      </w:r>
      <w:r>
        <w:rPr>
          <w:rStyle w:val="35"/>
          <w:rFonts w:hint="eastAsia" w:ascii="宋体" w:hAnsi="宋体" w:eastAsia="宋体" w:cs="宋体"/>
          <w:b/>
          <w:kern w:val="2"/>
          <w:sz w:val="32"/>
          <w:szCs w:val="32"/>
          <w:highlight w:val="none"/>
          <w:lang w:bidi="ar-SA"/>
        </w:rPr>
        <w:t>日    期：</w:t>
      </w:r>
      <w:r>
        <w:rPr>
          <w:rStyle w:val="35"/>
          <w:rFonts w:hint="eastAsia" w:ascii="宋体" w:hAnsi="宋体" w:eastAsia="宋体" w:cs="宋体"/>
          <w:b/>
          <w:spacing w:val="32"/>
          <w:kern w:val="2"/>
          <w:sz w:val="32"/>
          <w:szCs w:val="32"/>
          <w:highlight w:val="none"/>
          <w:lang w:bidi="ar-SA"/>
        </w:rPr>
        <w:t>二零二三年</w:t>
      </w:r>
      <w:r>
        <w:rPr>
          <w:rStyle w:val="35"/>
          <w:rFonts w:hint="eastAsia" w:cs="宋体"/>
          <w:b/>
          <w:spacing w:val="32"/>
          <w:kern w:val="2"/>
          <w:sz w:val="32"/>
          <w:szCs w:val="32"/>
          <w:highlight w:val="none"/>
          <w:lang w:eastAsia="zh-CN" w:bidi="ar-SA"/>
        </w:rPr>
        <w:t>九</w:t>
      </w:r>
      <w:r>
        <w:rPr>
          <w:rStyle w:val="35"/>
          <w:rFonts w:hint="eastAsia" w:ascii="宋体" w:hAnsi="宋体" w:eastAsia="宋体" w:cs="宋体"/>
          <w:b/>
          <w:spacing w:val="32"/>
          <w:kern w:val="2"/>
          <w:sz w:val="32"/>
          <w:szCs w:val="32"/>
          <w:highlight w:val="none"/>
          <w:lang w:bidi="ar-SA"/>
        </w:rPr>
        <w:t>月</w:t>
      </w:r>
    </w:p>
    <w:p>
      <w:pPr>
        <w:pStyle w:val="14"/>
        <w:tabs>
          <w:tab w:val="right" w:leader="dot" w:pos="9638"/>
        </w:tabs>
        <w:adjustRightInd w:val="0"/>
        <w:snapToGrid w:val="0"/>
        <w:spacing w:line="600" w:lineRule="atLeast"/>
        <w:jc w:val="both"/>
        <w:rPr>
          <w:rFonts w:hint="eastAsia" w:ascii="宋体" w:hAnsi="宋体" w:eastAsia="宋体" w:cs="宋体"/>
          <w:b/>
          <w:bCs/>
          <w:sz w:val="36"/>
          <w:szCs w:val="36"/>
          <w:highlight w:val="none"/>
        </w:rPr>
      </w:pPr>
    </w:p>
    <w:p>
      <w:pPr>
        <w:pStyle w:val="14"/>
        <w:tabs>
          <w:tab w:val="right" w:leader="dot" w:pos="9638"/>
        </w:tabs>
        <w:adjustRightInd w:val="0"/>
        <w:snapToGrid w:val="0"/>
        <w:spacing w:line="600" w:lineRule="atLeast"/>
        <w:jc w:val="center"/>
        <w:rPr>
          <w:rFonts w:hint="eastAsia" w:ascii="宋体" w:hAnsi="宋体" w:eastAsia="宋体" w:cs="宋体"/>
          <w:highlight w:val="none"/>
        </w:rPr>
      </w:pPr>
      <w:r>
        <w:rPr>
          <w:rFonts w:hint="eastAsia" w:ascii="宋体" w:hAnsi="宋体" w:eastAsia="宋体" w:cs="宋体"/>
          <w:b/>
          <w:bCs/>
          <w:sz w:val="36"/>
          <w:szCs w:val="36"/>
          <w:highlight w:val="none"/>
        </w:rPr>
        <w:t>目  录</w:t>
      </w:r>
    </w:p>
    <w:p>
      <w:pPr>
        <w:pStyle w:val="6"/>
        <w:rPr>
          <w:rFonts w:hint="eastAsia" w:ascii="宋体" w:hAnsi="宋体" w:eastAsia="宋体" w:cs="宋体"/>
          <w:highlight w:val="none"/>
        </w:rPr>
      </w:pPr>
    </w:p>
    <w:p>
      <w:pPr>
        <w:pStyle w:val="14"/>
        <w:tabs>
          <w:tab w:val="right" w:leader="dot" w:pos="8820"/>
        </w:tabs>
        <w:spacing w:line="500" w:lineRule="exact"/>
        <w:rPr>
          <w:rFonts w:hint="eastAsia" w:ascii="宋体" w:hAnsi="宋体" w:eastAsia="宋体" w:cs="宋体"/>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"1-2" \h \u </w:instrText>
      </w:r>
      <w:r>
        <w:rPr>
          <w:rFonts w:hint="eastAsia" w:ascii="宋体" w:hAnsi="宋体" w:eastAsia="宋体" w:cs="宋体"/>
          <w:sz w:val="28"/>
          <w:szCs w:val="28"/>
          <w:highlight w:val="none"/>
        </w:rPr>
        <w:fldChar w:fldCharType="separate"/>
      </w: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_Toc4920 </w:instrText>
      </w:r>
      <w:r>
        <w:rPr>
          <w:rFonts w:hint="eastAsia" w:ascii="宋体" w:hAnsi="宋体" w:eastAsia="宋体" w:cs="宋体"/>
          <w:szCs w:val="28"/>
          <w:highlight w:val="none"/>
        </w:rPr>
        <w:fldChar w:fldCharType="separate"/>
      </w:r>
      <w:r>
        <w:rPr>
          <w:rStyle w:val="25"/>
          <w:rFonts w:hint="eastAsia" w:ascii="宋体" w:hAnsi="宋体" w:eastAsia="宋体" w:cs="宋体"/>
          <w:sz w:val="21"/>
          <w:szCs w:val="40"/>
          <w:highlight w:val="none"/>
        </w:rPr>
        <w:t>第一章  竞争性磋商公告</w:t>
      </w:r>
      <w:r>
        <w:rPr>
          <w:rStyle w:val="25"/>
          <w:rFonts w:hint="eastAsia" w:ascii="宋体" w:hAnsi="宋体" w:eastAsia="宋体" w:cs="宋体"/>
          <w:sz w:val="21"/>
          <w:szCs w:val="24"/>
          <w:highlight w:val="none"/>
        </w:rPr>
        <w:tab/>
      </w:r>
      <w:r>
        <w:rPr>
          <w:rStyle w:val="25"/>
          <w:rFonts w:hint="eastAsia" w:ascii="宋体" w:hAnsi="宋体" w:eastAsia="宋体" w:cs="宋体"/>
          <w:sz w:val="21"/>
          <w:szCs w:val="24"/>
          <w:highlight w:val="none"/>
        </w:rPr>
        <w:fldChar w:fldCharType="begin"/>
      </w:r>
      <w:r>
        <w:rPr>
          <w:rStyle w:val="25"/>
          <w:rFonts w:hint="eastAsia" w:ascii="宋体" w:hAnsi="宋体" w:eastAsia="宋体" w:cs="宋体"/>
          <w:sz w:val="21"/>
          <w:szCs w:val="24"/>
          <w:highlight w:val="none"/>
        </w:rPr>
        <w:instrText xml:space="preserve"> PAGEREF _Toc4920 </w:instrText>
      </w:r>
      <w:r>
        <w:rPr>
          <w:rStyle w:val="25"/>
          <w:rFonts w:hint="eastAsia" w:ascii="宋体" w:hAnsi="宋体" w:eastAsia="宋体" w:cs="宋体"/>
          <w:sz w:val="21"/>
          <w:szCs w:val="24"/>
          <w:highlight w:val="none"/>
        </w:rPr>
        <w:fldChar w:fldCharType="separate"/>
      </w:r>
      <w:r>
        <w:rPr>
          <w:rStyle w:val="25"/>
          <w:rFonts w:hint="eastAsia" w:ascii="宋体" w:hAnsi="宋体" w:eastAsia="宋体" w:cs="宋体"/>
          <w:sz w:val="21"/>
          <w:szCs w:val="24"/>
          <w:highlight w:val="none"/>
        </w:rPr>
        <w:t>1</w:t>
      </w:r>
      <w:r>
        <w:rPr>
          <w:rStyle w:val="25"/>
          <w:rFonts w:hint="eastAsia" w:ascii="宋体" w:hAnsi="宋体" w:eastAsia="宋体" w:cs="宋体"/>
          <w:sz w:val="21"/>
          <w:szCs w:val="24"/>
          <w:highlight w:val="none"/>
        </w:rPr>
        <w:fldChar w:fldCharType="end"/>
      </w:r>
      <w:r>
        <w:rPr>
          <w:rFonts w:hint="eastAsia" w:ascii="宋体" w:hAnsi="宋体" w:eastAsia="宋体" w:cs="宋体"/>
          <w:szCs w:val="28"/>
          <w:highlight w:val="none"/>
        </w:rPr>
        <w:fldChar w:fldCharType="end"/>
      </w:r>
    </w:p>
    <w:p>
      <w:pPr>
        <w:rPr>
          <w:rFonts w:hint="eastAsia" w:ascii="宋体" w:hAnsi="宋体" w:eastAsia="宋体" w:cs="宋体"/>
          <w:highlight w:val="none"/>
        </w:rPr>
      </w:pPr>
    </w:p>
    <w:p>
      <w:pPr>
        <w:pStyle w:val="14"/>
        <w:tabs>
          <w:tab w:val="right" w:leader="dot" w:pos="8820"/>
        </w:tabs>
        <w:spacing w:line="500" w:lineRule="exact"/>
        <w:rPr>
          <w:rFonts w:hint="eastAsia" w:ascii="宋体" w:hAnsi="宋体" w:eastAsia="宋体" w:cs="宋体"/>
          <w:szCs w:val="28"/>
          <w:highlight w:val="none"/>
        </w:rPr>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_Toc4190 </w:instrText>
      </w:r>
      <w:r>
        <w:rPr>
          <w:rFonts w:hint="eastAsia" w:ascii="宋体" w:hAnsi="宋体" w:eastAsia="宋体" w:cs="宋体"/>
          <w:szCs w:val="28"/>
          <w:highlight w:val="none"/>
        </w:rPr>
        <w:fldChar w:fldCharType="separate"/>
      </w:r>
      <w:r>
        <w:rPr>
          <w:rFonts w:hint="eastAsia" w:ascii="宋体" w:hAnsi="宋体" w:eastAsia="宋体" w:cs="宋体"/>
          <w:kern w:val="0"/>
          <w:szCs w:val="32"/>
          <w:highlight w:val="none"/>
        </w:rPr>
        <w:t>第二章  竞争性磋商须知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_Toc4190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szCs w:val="28"/>
          <w:highlight w:val="none"/>
        </w:rPr>
        <w:fldChar w:fldCharType="end"/>
      </w:r>
    </w:p>
    <w:p>
      <w:pPr>
        <w:rPr>
          <w:rFonts w:hint="eastAsia" w:ascii="宋体" w:hAnsi="宋体" w:eastAsia="宋体" w:cs="宋体"/>
          <w:highlight w:val="none"/>
        </w:rPr>
      </w:pPr>
    </w:p>
    <w:p>
      <w:pPr>
        <w:pStyle w:val="14"/>
        <w:tabs>
          <w:tab w:val="right" w:leader="dot" w:pos="8820"/>
        </w:tabs>
        <w:spacing w:line="500" w:lineRule="exact"/>
        <w:rPr>
          <w:rFonts w:hint="eastAsia" w:ascii="宋体" w:hAnsi="宋体" w:eastAsia="宋体" w:cs="宋体"/>
          <w:szCs w:val="28"/>
          <w:highlight w:val="none"/>
          <w:lang w:val="en-US" w:eastAsia="zh-CN"/>
        </w:rPr>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_Toc27599 </w:instrText>
      </w:r>
      <w:r>
        <w:rPr>
          <w:rFonts w:hint="eastAsia" w:ascii="宋体" w:hAnsi="宋体" w:eastAsia="宋体" w:cs="宋体"/>
          <w:szCs w:val="28"/>
          <w:highlight w:val="none"/>
        </w:rPr>
        <w:fldChar w:fldCharType="separate"/>
      </w:r>
      <w:r>
        <w:rPr>
          <w:rFonts w:hint="eastAsia" w:ascii="宋体" w:hAnsi="宋体" w:eastAsia="宋体" w:cs="宋体"/>
          <w:highlight w:val="none"/>
          <w:lang w:val="zh-CN"/>
        </w:rPr>
        <w:t>第三章</w:t>
      </w:r>
      <w:r>
        <w:rPr>
          <w:rFonts w:hint="eastAsia" w:ascii="宋体" w:hAnsi="宋体" w:eastAsia="宋体" w:cs="宋体"/>
          <w:highlight w:val="none"/>
        </w:rPr>
        <w:t xml:space="preserve">  合同条款及格式</w:t>
      </w:r>
      <w:r>
        <w:rPr>
          <w:rFonts w:hint="eastAsia" w:ascii="宋体" w:hAnsi="宋体" w:eastAsia="宋体" w:cs="宋体"/>
          <w:highlight w:val="none"/>
        </w:rPr>
        <w:tab/>
      </w:r>
      <w:r>
        <w:rPr>
          <w:rFonts w:hint="eastAsia" w:ascii="宋体" w:hAnsi="宋体" w:eastAsia="宋体" w:cs="宋体"/>
          <w:highlight w:val="none"/>
          <w:lang w:val="en-US" w:eastAsia="zh-CN"/>
        </w:rPr>
        <w:t>2</w:t>
      </w:r>
      <w:r>
        <w:rPr>
          <w:rFonts w:hint="eastAsia" w:ascii="宋体" w:hAnsi="宋体" w:eastAsia="宋体" w:cs="宋体"/>
          <w:szCs w:val="28"/>
          <w:highlight w:val="none"/>
        </w:rPr>
        <w:fldChar w:fldCharType="end"/>
      </w:r>
      <w:r>
        <w:rPr>
          <w:rFonts w:hint="eastAsia" w:ascii="宋体" w:hAnsi="宋体" w:eastAsia="宋体" w:cs="宋体"/>
          <w:szCs w:val="28"/>
          <w:highlight w:val="none"/>
          <w:lang w:val="en-US" w:eastAsia="zh-CN"/>
        </w:rPr>
        <w:t>9</w:t>
      </w:r>
    </w:p>
    <w:p>
      <w:pPr>
        <w:rPr>
          <w:rFonts w:hint="eastAsia" w:ascii="宋体" w:hAnsi="宋体" w:eastAsia="宋体" w:cs="宋体"/>
          <w:highlight w:val="none"/>
        </w:rPr>
      </w:pPr>
    </w:p>
    <w:p>
      <w:pPr>
        <w:pStyle w:val="14"/>
        <w:tabs>
          <w:tab w:val="right" w:leader="dot" w:pos="8820"/>
        </w:tabs>
        <w:spacing w:line="500" w:lineRule="exact"/>
        <w:rPr>
          <w:rFonts w:hint="eastAsia" w:ascii="宋体" w:hAnsi="宋体" w:eastAsia="宋体" w:cs="宋体"/>
          <w:szCs w:val="28"/>
          <w:highlight w:val="none"/>
        </w:rPr>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_Toc11002 </w:instrText>
      </w:r>
      <w:r>
        <w:rPr>
          <w:rFonts w:hint="eastAsia" w:ascii="宋体" w:hAnsi="宋体" w:eastAsia="宋体" w:cs="宋体"/>
          <w:szCs w:val="28"/>
          <w:highlight w:val="none"/>
        </w:rPr>
        <w:fldChar w:fldCharType="separate"/>
      </w:r>
      <w:r>
        <w:rPr>
          <w:rFonts w:hint="eastAsia" w:ascii="宋体" w:hAnsi="宋体" w:eastAsia="宋体" w:cs="宋体"/>
          <w:bCs/>
          <w:szCs w:val="32"/>
          <w:highlight w:val="none"/>
        </w:rPr>
        <w:t xml:space="preserve">第四章  </w:t>
      </w:r>
      <w:r>
        <w:rPr>
          <w:rFonts w:hint="eastAsia" w:ascii="宋体" w:hAnsi="宋体" w:eastAsia="宋体" w:cs="宋体"/>
          <w:bCs/>
          <w:szCs w:val="21"/>
          <w:highlight w:val="none"/>
        </w:rPr>
        <w:t>技术部分</w:t>
      </w:r>
      <w:r>
        <w:rPr>
          <w:rFonts w:hint="eastAsia" w:ascii="宋体" w:hAnsi="宋体" w:eastAsia="宋体" w:cs="宋体"/>
          <w:bCs/>
          <w:szCs w:val="21"/>
          <w:highlight w:val="none"/>
          <w:lang w:eastAsia="zh-CN"/>
        </w:rPr>
        <w:t>标</w:t>
      </w:r>
      <w:r>
        <w:rPr>
          <w:rFonts w:hint="eastAsia" w:ascii="宋体" w:hAnsi="宋体" w:eastAsia="宋体" w:cs="宋体"/>
          <w:bCs/>
          <w:szCs w:val="21"/>
          <w:highlight w:val="none"/>
        </w:rPr>
        <w:t>准和要求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_Toc11002 </w:instrText>
      </w:r>
      <w:r>
        <w:rPr>
          <w:rFonts w:hint="eastAsia" w:ascii="宋体" w:hAnsi="宋体" w:eastAsia="宋体" w:cs="宋体"/>
          <w:highlight w:val="none"/>
        </w:rPr>
        <w:fldChar w:fldCharType="separate"/>
      </w:r>
      <w:r>
        <w:rPr>
          <w:rFonts w:hint="eastAsia" w:ascii="宋体" w:hAnsi="宋体" w:eastAsia="宋体" w:cs="宋体"/>
          <w:highlight w:val="none"/>
        </w:rPr>
        <w:t>54</w:t>
      </w:r>
      <w:r>
        <w:rPr>
          <w:rFonts w:hint="eastAsia" w:ascii="宋体" w:hAnsi="宋体" w:eastAsia="宋体" w:cs="宋体"/>
          <w:highlight w:val="none"/>
        </w:rPr>
        <w:fldChar w:fldCharType="end"/>
      </w:r>
      <w:r>
        <w:rPr>
          <w:rFonts w:hint="eastAsia" w:ascii="宋体" w:hAnsi="宋体" w:eastAsia="宋体" w:cs="宋体"/>
          <w:szCs w:val="28"/>
          <w:highlight w:val="none"/>
        </w:rPr>
        <w:fldChar w:fldCharType="end"/>
      </w:r>
    </w:p>
    <w:p>
      <w:pPr>
        <w:rPr>
          <w:rFonts w:hint="eastAsia" w:ascii="宋体" w:hAnsi="宋体" w:eastAsia="宋体" w:cs="宋体"/>
          <w:highlight w:val="none"/>
        </w:rPr>
      </w:pPr>
    </w:p>
    <w:p>
      <w:pPr>
        <w:pStyle w:val="14"/>
        <w:tabs>
          <w:tab w:val="right" w:leader="dot" w:pos="8820"/>
        </w:tabs>
        <w:spacing w:line="500" w:lineRule="exact"/>
        <w:rPr>
          <w:rFonts w:hint="eastAsia" w:ascii="宋体" w:hAnsi="宋体" w:eastAsia="宋体" w:cs="宋体"/>
          <w:szCs w:val="28"/>
          <w:highlight w:val="none"/>
          <w:lang w:val="en-US" w:eastAsia="zh-CN"/>
        </w:rPr>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_Toc25203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rPr>
        <w:t>第五章</w:t>
      </w:r>
      <w:r>
        <w:rPr>
          <w:rFonts w:hint="eastAsia" w:ascii="宋体" w:hAnsi="宋体" w:eastAsia="宋体" w:cs="宋体"/>
          <w:kern w:val="1"/>
          <w:szCs w:val="32"/>
          <w:highlight w:val="none"/>
        </w:rPr>
        <w:t xml:space="preserve">  响应文件格式</w:t>
      </w:r>
      <w:r>
        <w:rPr>
          <w:rFonts w:hint="eastAsia" w:ascii="宋体" w:hAnsi="宋体" w:eastAsia="宋体" w:cs="宋体"/>
          <w:highlight w:val="none"/>
        </w:rPr>
        <w:tab/>
      </w:r>
      <w:r>
        <w:rPr>
          <w:rFonts w:hint="eastAsia" w:ascii="宋体" w:hAnsi="宋体" w:eastAsia="宋体" w:cs="宋体"/>
          <w:highlight w:val="none"/>
          <w:lang w:val="en-US" w:eastAsia="zh-CN"/>
        </w:rPr>
        <w:t>5</w:t>
      </w:r>
      <w:r>
        <w:rPr>
          <w:rFonts w:hint="eastAsia" w:ascii="宋体" w:hAnsi="宋体" w:eastAsia="宋体" w:cs="宋体"/>
          <w:szCs w:val="28"/>
          <w:highlight w:val="none"/>
        </w:rPr>
        <w:fldChar w:fldCharType="end"/>
      </w:r>
      <w:r>
        <w:rPr>
          <w:rFonts w:hint="eastAsia" w:ascii="宋体" w:hAnsi="宋体" w:eastAsia="宋体" w:cs="宋体"/>
          <w:szCs w:val="28"/>
          <w:highlight w:val="none"/>
          <w:lang w:val="en-US" w:eastAsia="zh-CN"/>
        </w:rPr>
        <w:t>1</w:t>
      </w:r>
    </w:p>
    <w:p>
      <w:pPr>
        <w:rPr>
          <w:rFonts w:hint="eastAsia" w:ascii="宋体" w:hAnsi="宋体" w:eastAsia="宋体" w:cs="宋体"/>
          <w:highlight w:val="none"/>
          <w:lang w:val="en-US" w:eastAsia="zh-CN"/>
        </w:rPr>
      </w:pPr>
    </w:p>
    <w:p>
      <w:pPr>
        <w:pStyle w:val="2"/>
        <w:keepNext w:val="0"/>
        <w:keepLines w:val="0"/>
        <w:numPr>
          <w:ilvl w:val="0"/>
          <w:numId w:val="0"/>
        </w:numPr>
        <w:adjustRightInd w:val="0"/>
        <w:snapToGrid w:val="0"/>
        <w:spacing w:before="0" w:after="0" w:line="360" w:lineRule="auto"/>
        <w:jc w:val="center"/>
        <w:rPr>
          <w:rFonts w:hint="eastAsia" w:ascii="宋体" w:hAnsi="宋体" w:eastAsia="宋体" w:cs="宋体"/>
          <w:sz w:val="40"/>
          <w:szCs w:val="40"/>
          <w:highlight w:val="none"/>
        </w:rPr>
      </w:pPr>
      <w:r>
        <w:rPr>
          <w:rFonts w:hint="eastAsia" w:ascii="宋体" w:hAnsi="宋体" w:eastAsia="宋体" w:cs="宋体"/>
          <w:szCs w:val="28"/>
          <w:highlight w:val="none"/>
        </w:rPr>
        <w:fldChar w:fldCharType="end"/>
      </w:r>
      <w:r>
        <w:rPr>
          <w:rFonts w:hint="eastAsia" w:ascii="宋体" w:hAnsi="宋体" w:eastAsia="宋体" w:cs="宋体"/>
          <w:szCs w:val="40"/>
          <w:highlight w:val="none"/>
        </w:rPr>
        <w:t xml:space="preserve"> </w:t>
      </w:r>
    </w:p>
    <w:p>
      <w:pPr>
        <w:pStyle w:val="2"/>
        <w:keepNext w:val="0"/>
        <w:keepLines w:val="0"/>
        <w:numPr>
          <w:ilvl w:val="0"/>
          <w:numId w:val="0"/>
        </w:numPr>
        <w:adjustRightInd w:val="0"/>
        <w:snapToGrid w:val="0"/>
        <w:spacing w:before="0" w:after="0" w:line="390" w:lineRule="atLeast"/>
        <w:jc w:val="center"/>
        <w:rPr>
          <w:rFonts w:hint="eastAsia" w:ascii="宋体" w:hAnsi="宋体" w:eastAsia="宋体" w:cs="宋体"/>
          <w:sz w:val="40"/>
          <w:szCs w:val="40"/>
          <w:highlight w:val="none"/>
        </w:rPr>
      </w:pPr>
    </w:p>
    <w:p>
      <w:pPr>
        <w:pStyle w:val="2"/>
        <w:keepNext w:val="0"/>
        <w:keepLines w:val="0"/>
        <w:numPr>
          <w:ilvl w:val="0"/>
          <w:numId w:val="0"/>
        </w:numPr>
        <w:tabs>
          <w:tab w:val="left" w:pos="6003"/>
        </w:tabs>
        <w:adjustRightInd w:val="0"/>
        <w:snapToGrid w:val="0"/>
        <w:spacing w:before="0" w:after="0" w:line="390" w:lineRule="atLeast"/>
        <w:jc w:val="left"/>
        <w:rPr>
          <w:rFonts w:hint="eastAsia" w:ascii="宋体" w:hAnsi="宋体" w:eastAsia="宋体" w:cs="宋体"/>
          <w:szCs w:val="24"/>
          <w:highlight w:val="none"/>
        </w:rPr>
      </w:pPr>
      <w:r>
        <w:rPr>
          <w:rFonts w:hint="eastAsia" w:ascii="宋体" w:hAnsi="宋体" w:eastAsia="宋体" w:cs="宋体"/>
          <w:szCs w:val="24"/>
          <w:highlight w:val="none"/>
        </w:rPr>
        <w:tab/>
      </w:r>
      <w:r>
        <w:rPr>
          <w:rFonts w:hint="eastAsia" w:ascii="宋体" w:hAnsi="宋体" w:eastAsia="宋体" w:cs="宋体"/>
          <w:szCs w:val="24"/>
          <w:highlight w:val="none"/>
        </w:rPr>
        <w:tab/>
      </w:r>
    </w:p>
    <w:p>
      <w:pPr>
        <w:pStyle w:val="2"/>
        <w:keepNext w:val="0"/>
        <w:keepLines w:val="0"/>
        <w:numPr>
          <w:ilvl w:val="0"/>
          <w:numId w:val="0"/>
        </w:numPr>
        <w:adjustRightInd w:val="0"/>
        <w:snapToGrid w:val="0"/>
        <w:spacing w:before="0" w:after="0" w:line="390" w:lineRule="atLeast"/>
        <w:jc w:val="center"/>
        <w:rPr>
          <w:rFonts w:hint="eastAsia" w:ascii="宋体" w:hAnsi="宋体" w:eastAsia="宋体" w:cs="宋体"/>
          <w:sz w:val="40"/>
          <w:szCs w:val="40"/>
          <w:highlight w:val="none"/>
          <w:lang w:eastAsia="zh-CN"/>
        </w:rPr>
        <w:sectPr>
          <w:footerReference r:id="rId10" w:type="first"/>
          <w:footerReference r:id="rId9" w:type="default"/>
          <w:pgSz w:w="11906" w:h="16838"/>
          <w:pgMar w:top="1418" w:right="1555" w:bottom="1418" w:left="1531" w:header="851" w:footer="992" w:gutter="0"/>
          <w:pgNumType w:fmt="numberInDash" w:start="2"/>
          <w:cols w:space="720" w:num="1"/>
          <w:docGrid w:type="lines" w:linePitch="312" w:charSpace="0"/>
        </w:sectPr>
      </w:pPr>
      <w:bookmarkStart w:id="1" w:name="_Toc4920"/>
    </w:p>
    <w:p>
      <w:pPr>
        <w:pStyle w:val="2"/>
        <w:keepNext w:val="0"/>
        <w:keepLines w:val="0"/>
        <w:numPr>
          <w:ilvl w:val="0"/>
          <w:numId w:val="0"/>
        </w:numPr>
        <w:adjustRightInd w:val="0"/>
        <w:snapToGrid w:val="0"/>
        <w:spacing w:before="0" w:after="0" w:line="390" w:lineRule="atLeast"/>
        <w:jc w:val="center"/>
        <w:rPr>
          <w:rFonts w:hint="eastAsia" w:ascii="宋体" w:hAnsi="宋体" w:eastAsia="宋体" w:cs="宋体"/>
          <w:sz w:val="40"/>
          <w:szCs w:val="40"/>
          <w:highlight w:val="none"/>
          <w:lang w:eastAsia="zh-CN"/>
        </w:rPr>
      </w:pPr>
      <w:r>
        <w:rPr>
          <w:rFonts w:hint="eastAsia" w:ascii="宋体" w:hAnsi="宋体" w:eastAsia="宋体" w:cs="宋体"/>
          <w:sz w:val="40"/>
          <w:szCs w:val="40"/>
          <w:highlight w:val="none"/>
        </w:rPr>
        <w:t xml:space="preserve">第一章  </w:t>
      </w:r>
      <w:bookmarkEnd w:id="0"/>
      <w:bookmarkEnd w:id="1"/>
      <w:bookmarkStart w:id="2" w:name="OLE_LINK1"/>
      <w:r>
        <w:rPr>
          <w:rFonts w:hint="eastAsia" w:ascii="宋体" w:hAnsi="宋体" w:eastAsia="宋体" w:cs="宋体"/>
          <w:sz w:val="40"/>
          <w:szCs w:val="40"/>
          <w:highlight w:val="none"/>
          <w:lang w:eastAsia="zh-CN"/>
        </w:rPr>
        <w:t>竞争性磋商公告</w:t>
      </w:r>
    </w:p>
    <w:p>
      <w:pPr>
        <w:adjustRightInd w:val="0"/>
        <w:snapToGrid w:val="0"/>
        <w:spacing w:before="240" w:after="240" w:line="390" w:lineRule="atLeast"/>
        <w:jc w:val="center"/>
        <w:rPr>
          <w:rFonts w:hint="eastAsia" w:ascii="宋体" w:hAnsi="宋体" w:eastAsia="宋体" w:cs="宋体"/>
          <w:b/>
          <w:bCs/>
          <w:sz w:val="34"/>
          <w:szCs w:val="34"/>
          <w:highlight w:val="none"/>
        </w:rPr>
      </w:pPr>
      <w:bookmarkStart w:id="3" w:name="_Hlk35002635"/>
      <w:r>
        <w:rPr>
          <w:rFonts w:hint="eastAsia" w:ascii="宋体" w:hAnsi="宋体" w:cs="宋体"/>
          <w:b/>
          <w:bCs/>
          <w:sz w:val="34"/>
          <w:szCs w:val="34"/>
          <w:highlight w:val="none"/>
          <w:lang w:val="en-US" w:eastAsia="zh-CN"/>
        </w:rPr>
        <w:t>鹤壁市淇滨中学操场维修改造项目</w:t>
      </w:r>
      <w:r>
        <w:rPr>
          <w:rFonts w:hint="eastAsia" w:ascii="宋体" w:hAnsi="宋体" w:eastAsia="宋体" w:cs="宋体"/>
          <w:b/>
          <w:bCs/>
          <w:sz w:val="34"/>
          <w:szCs w:val="34"/>
          <w:highlight w:val="none"/>
        </w:rPr>
        <w:t>竞争性磋商公告</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36" w:type="dxa"/>
            <w:noWrap w:val="0"/>
            <w:vAlign w:val="top"/>
          </w:tcPr>
          <w:p>
            <w:pPr>
              <w:kinsoku/>
              <w:wordWrap/>
              <w:overflowPunct/>
              <w:autoSpaceDE/>
              <w:autoSpaceDN/>
              <w:bidi w:val="0"/>
              <w:snapToGrid w:val="0"/>
              <w:spacing w:line="400" w:lineRule="atLeast"/>
              <w:ind w:firstLine="420" w:firstLineChars="200"/>
              <w:jc w:val="both"/>
              <w:textAlignment w:val="auto"/>
              <w:rPr>
                <w:rFonts w:hint="eastAsia" w:ascii="宋体" w:hAnsi="宋体" w:eastAsia="宋体" w:cs="宋体"/>
                <w:highlight w:val="none"/>
              </w:rPr>
            </w:pPr>
            <w:r>
              <w:rPr>
                <w:rStyle w:val="35"/>
                <w:rFonts w:hint="eastAsia" w:ascii="宋体" w:hAnsi="宋体" w:cs="宋体"/>
                <w:kern w:val="2"/>
                <w:sz w:val="21"/>
                <w:szCs w:val="21"/>
                <w:highlight w:val="none"/>
                <w:lang w:val="en-US" w:eastAsia="zh-CN" w:bidi="ar-SA"/>
              </w:rPr>
              <w:t>鹤壁市淇滨中学操场维修改造项目</w:t>
            </w:r>
            <w:r>
              <w:rPr>
                <w:rStyle w:val="35"/>
                <w:rFonts w:hint="eastAsia" w:ascii="宋体" w:hAnsi="宋体" w:eastAsia="宋体" w:cs="宋体"/>
                <w:kern w:val="2"/>
                <w:sz w:val="21"/>
                <w:szCs w:val="21"/>
                <w:highlight w:val="none"/>
                <w:lang w:val="en-US" w:eastAsia="zh-CN" w:bidi="ar-SA"/>
              </w:rPr>
              <w:t xml:space="preserve">的潜在供应商应在《鹤壁市公共资源交易服务平台》网上获取磋商文件，并于2023 年 </w:t>
            </w:r>
            <w:r>
              <w:rPr>
                <w:rStyle w:val="35"/>
                <w:rFonts w:hint="eastAsia" w:ascii="宋体" w:hAnsi="宋体" w:cs="宋体"/>
                <w:kern w:val="2"/>
                <w:sz w:val="21"/>
                <w:szCs w:val="21"/>
                <w:highlight w:val="none"/>
                <w:lang w:val="en-US" w:eastAsia="zh-CN" w:bidi="ar-SA"/>
              </w:rPr>
              <w:t xml:space="preserve">9 </w:t>
            </w:r>
            <w:r>
              <w:rPr>
                <w:rStyle w:val="35"/>
                <w:rFonts w:hint="eastAsia" w:ascii="宋体" w:hAnsi="宋体" w:eastAsia="宋体" w:cs="宋体"/>
                <w:kern w:val="2"/>
                <w:sz w:val="21"/>
                <w:szCs w:val="21"/>
                <w:highlight w:val="none"/>
                <w:lang w:val="en-US" w:eastAsia="zh-CN" w:bidi="ar-SA"/>
              </w:rPr>
              <w:t>月</w:t>
            </w:r>
            <w:r>
              <w:rPr>
                <w:rStyle w:val="35"/>
                <w:rFonts w:hint="eastAsia" w:ascii="宋体" w:hAnsi="宋体" w:cs="宋体"/>
                <w:kern w:val="2"/>
                <w:sz w:val="21"/>
                <w:szCs w:val="21"/>
                <w:highlight w:val="none"/>
                <w:lang w:val="en-US" w:eastAsia="zh-CN" w:bidi="ar-SA"/>
              </w:rPr>
              <w:t xml:space="preserve"> </w:t>
            </w:r>
            <w:r>
              <w:rPr>
                <w:rStyle w:val="35"/>
                <w:rFonts w:hint="eastAsia" w:ascii="宋体" w:hAnsi="宋体" w:cs="宋体"/>
                <w:kern w:val="2"/>
                <w:sz w:val="21"/>
                <w:szCs w:val="21"/>
                <w:highlight w:val="yellow"/>
                <w:lang w:val="en-US" w:eastAsia="zh-CN" w:bidi="ar-SA"/>
              </w:rPr>
              <w:t xml:space="preserve">  </w:t>
            </w:r>
            <w:r>
              <w:rPr>
                <w:rStyle w:val="35"/>
                <w:rFonts w:hint="eastAsia" w:ascii="宋体" w:hAnsi="宋体" w:eastAsia="宋体" w:cs="宋体"/>
                <w:kern w:val="2"/>
                <w:sz w:val="21"/>
                <w:szCs w:val="21"/>
                <w:highlight w:val="none"/>
                <w:lang w:val="en-US" w:eastAsia="zh-CN" w:bidi="ar-SA"/>
              </w:rPr>
              <w:t xml:space="preserve"> 日上午9 时30 分（北京时间）前提交响应文件。</w:t>
            </w:r>
          </w:p>
        </w:tc>
      </w:tr>
    </w:tbl>
    <w:p>
      <w:pPr>
        <w:keepNext w:val="0"/>
        <w:keepLines w:val="0"/>
        <w:pageBreakBefore w:val="0"/>
        <w:widowControl w:val="0"/>
        <w:numPr>
          <w:ilvl w:val="0"/>
          <w:numId w:val="0"/>
        </w:numPr>
        <w:kinsoku/>
        <w:wordWrap/>
        <w:overflowPunct/>
        <w:topLinePunct w:val="0"/>
        <w:bidi w:val="0"/>
        <w:adjustRightInd w:val="0"/>
        <w:snapToGrid w:val="0"/>
        <w:spacing w:line="46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一、</w:t>
      </w:r>
      <w:r>
        <w:rPr>
          <w:rFonts w:hint="eastAsia" w:ascii="宋体" w:hAnsi="宋体" w:eastAsia="宋体" w:cs="宋体"/>
          <w:szCs w:val="21"/>
          <w:highlight w:val="none"/>
        </w:rPr>
        <w:t>项目基本情况</w:t>
      </w:r>
    </w:p>
    <w:p>
      <w:pPr>
        <w:keepNext w:val="0"/>
        <w:keepLines w:val="0"/>
        <w:pageBreakBefore w:val="0"/>
        <w:widowControl w:val="0"/>
        <w:kinsoku/>
        <w:wordWrap/>
        <w:overflowPunct/>
        <w:topLinePunct w:val="0"/>
        <w:bidi w:val="0"/>
        <w:adjustRightInd w:val="0"/>
        <w:snapToGrid w:val="0"/>
        <w:spacing w:line="460" w:lineRule="exact"/>
        <w:ind w:firstLine="525" w:firstLineChars="25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1.采购编号：</w:t>
      </w:r>
    </w:p>
    <w:p>
      <w:pPr>
        <w:keepNext w:val="0"/>
        <w:keepLines w:val="0"/>
        <w:pageBreakBefore w:val="0"/>
        <w:widowControl w:val="0"/>
        <w:kinsoku/>
        <w:wordWrap/>
        <w:overflowPunct/>
        <w:topLinePunct w:val="0"/>
        <w:bidi w:val="0"/>
        <w:adjustRightInd w:val="0"/>
        <w:snapToGrid w:val="0"/>
        <w:spacing w:line="460" w:lineRule="exact"/>
        <w:ind w:firstLine="525" w:firstLineChars="250"/>
        <w:jc w:val="left"/>
        <w:textAlignment w:val="auto"/>
        <w:rPr>
          <w:rStyle w:val="35"/>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2.项目名称：</w:t>
      </w:r>
      <w:r>
        <w:rPr>
          <w:rStyle w:val="35"/>
          <w:rFonts w:hint="eastAsia" w:ascii="宋体" w:hAnsi="宋体" w:cs="宋体"/>
          <w:kern w:val="2"/>
          <w:sz w:val="21"/>
          <w:szCs w:val="21"/>
          <w:highlight w:val="none"/>
          <w:lang w:val="en-US" w:eastAsia="zh-CN" w:bidi="ar-SA"/>
        </w:rPr>
        <w:t>鹤壁市淇滨中学操场维修改造项目</w:t>
      </w:r>
    </w:p>
    <w:p>
      <w:pPr>
        <w:keepNext w:val="0"/>
        <w:keepLines w:val="0"/>
        <w:pageBreakBefore w:val="0"/>
        <w:widowControl w:val="0"/>
        <w:kinsoku/>
        <w:wordWrap/>
        <w:overflowPunct/>
        <w:topLinePunct w:val="0"/>
        <w:bidi w:val="0"/>
        <w:adjustRightInd w:val="0"/>
        <w:snapToGrid w:val="0"/>
        <w:spacing w:line="460" w:lineRule="exact"/>
        <w:ind w:firstLine="525" w:firstLineChars="2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3.采购方式：竞争性磋商</w:t>
      </w:r>
    </w:p>
    <w:p>
      <w:pPr>
        <w:keepNext w:val="0"/>
        <w:keepLines w:val="0"/>
        <w:pageBreakBefore w:val="0"/>
        <w:widowControl w:val="0"/>
        <w:kinsoku/>
        <w:wordWrap/>
        <w:overflowPunct/>
        <w:topLinePunct w:val="0"/>
        <w:bidi w:val="0"/>
        <w:adjustRightInd w:val="0"/>
        <w:snapToGrid w:val="0"/>
        <w:spacing w:line="460" w:lineRule="exact"/>
        <w:ind w:firstLine="525" w:firstLineChars="250"/>
        <w:jc w:val="left"/>
        <w:textAlignment w:val="auto"/>
        <w:rPr>
          <w:rStyle w:val="35"/>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4.</w:t>
      </w:r>
      <w:r>
        <w:rPr>
          <w:rStyle w:val="35"/>
          <w:rFonts w:hint="eastAsia" w:ascii="宋体" w:hAnsi="宋体" w:eastAsia="宋体" w:cs="宋体"/>
          <w:kern w:val="2"/>
          <w:sz w:val="21"/>
          <w:szCs w:val="21"/>
          <w:highlight w:val="none"/>
          <w:lang w:val="en-US" w:eastAsia="zh-CN" w:bidi="ar-SA"/>
        </w:rPr>
        <w:t>预算金额：</w:t>
      </w:r>
      <w:r>
        <w:rPr>
          <w:rStyle w:val="35"/>
          <w:rFonts w:hint="eastAsia" w:ascii="宋体" w:hAnsi="宋体" w:cs="宋体"/>
          <w:kern w:val="2"/>
          <w:sz w:val="21"/>
          <w:szCs w:val="21"/>
          <w:highlight w:val="none"/>
          <w:lang w:val="en-US" w:eastAsia="zh-CN" w:bidi="ar-SA"/>
        </w:rPr>
        <w:t>3000000元</w:t>
      </w:r>
    </w:p>
    <w:p>
      <w:pPr>
        <w:keepNext w:val="0"/>
        <w:keepLines w:val="0"/>
        <w:pageBreakBefore w:val="0"/>
        <w:widowControl w:val="0"/>
        <w:kinsoku/>
        <w:wordWrap/>
        <w:overflowPunct/>
        <w:topLinePunct w:val="0"/>
        <w:bidi w:val="0"/>
        <w:adjustRightInd w:val="0"/>
        <w:snapToGrid w:val="0"/>
        <w:spacing w:line="460" w:lineRule="exact"/>
        <w:ind w:firstLine="735" w:firstLineChars="350"/>
        <w:jc w:val="left"/>
        <w:textAlignment w:val="auto"/>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eastAsia="zh-CN"/>
        </w:rPr>
        <w:t>最高限价：</w:t>
      </w:r>
      <w:r>
        <w:rPr>
          <w:rFonts w:hint="eastAsia" w:ascii="宋体" w:hAnsi="宋体" w:cs="宋体"/>
          <w:sz w:val="21"/>
          <w:szCs w:val="21"/>
          <w:highlight w:val="none"/>
          <w:lang w:val="en-US" w:eastAsia="zh-CN"/>
        </w:rPr>
        <w:t>2818830.36元</w:t>
      </w:r>
    </w:p>
    <w:p>
      <w:pPr>
        <w:keepNext w:val="0"/>
        <w:keepLines w:val="0"/>
        <w:pageBreakBefore w:val="0"/>
        <w:widowControl w:val="0"/>
        <w:kinsoku/>
        <w:wordWrap/>
        <w:overflowPunct/>
        <w:topLinePunct w:val="0"/>
        <w:bidi w:val="0"/>
        <w:adjustRightInd w:val="0"/>
        <w:snapToGrid w:val="0"/>
        <w:spacing w:line="460" w:lineRule="exact"/>
        <w:ind w:firstLine="525" w:firstLineChars="2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5.采购需求</w:t>
      </w:r>
      <w:r>
        <w:rPr>
          <w:rFonts w:hint="eastAsia" w:ascii="宋体" w:hAnsi="宋体" w:eastAsia="宋体" w:cs="宋体"/>
          <w:bCs/>
          <w:sz w:val="21"/>
          <w:szCs w:val="21"/>
          <w:highlight w:val="none"/>
        </w:rPr>
        <w:t>（包括但不限于标的的名称、数量、简要技术需求或服务要求等）：</w:t>
      </w:r>
    </w:p>
    <w:p>
      <w:pPr>
        <w:keepNext w:val="0"/>
        <w:keepLines w:val="0"/>
        <w:pageBreakBefore w:val="0"/>
        <w:widowControl w:val="0"/>
        <w:kinsoku/>
        <w:wordWrap/>
        <w:overflowPunct/>
        <w:topLinePunct w:val="0"/>
        <w:bidi w:val="0"/>
        <w:adjustRightInd w:val="0"/>
        <w:snapToGrid w:val="0"/>
        <w:spacing w:line="460" w:lineRule="exact"/>
        <w:ind w:firstLine="735" w:firstLineChars="35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5.1招标范围：</w:t>
      </w:r>
      <w:r>
        <w:rPr>
          <w:rFonts w:hint="eastAsia" w:ascii="宋体" w:hAnsi="宋体" w:eastAsia="宋体" w:cs="宋体"/>
          <w:bCs/>
          <w:sz w:val="21"/>
          <w:szCs w:val="21"/>
          <w:highlight w:val="none"/>
        </w:rPr>
        <w:t>竞争性磋商文件“第四部分  技术部分</w:t>
      </w:r>
      <w:r>
        <w:rPr>
          <w:rFonts w:hint="eastAsia" w:ascii="宋体" w:hAnsi="宋体" w:cs="宋体"/>
          <w:bCs/>
          <w:sz w:val="21"/>
          <w:szCs w:val="21"/>
          <w:highlight w:val="none"/>
          <w:lang w:eastAsia="zh-CN"/>
        </w:rPr>
        <w:t>标</w:t>
      </w:r>
      <w:r>
        <w:rPr>
          <w:rFonts w:hint="eastAsia" w:ascii="宋体" w:hAnsi="宋体" w:eastAsia="宋体" w:cs="宋体"/>
          <w:bCs/>
          <w:sz w:val="21"/>
          <w:szCs w:val="21"/>
          <w:highlight w:val="none"/>
        </w:rPr>
        <w:t>准和要求”中要求的全部内容；</w:t>
      </w:r>
    </w:p>
    <w:p>
      <w:pPr>
        <w:keepNext w:val="0"/>
        <w:keepLines w:val="0"/>
        <w:pageBreakBefore w:val="0"/>
        <w:widowControl w:val="0"/>
        <w:kinsoku/>
        <w:wordWrap/>
        <w:overflowPunct/>
        <w:topLinePunct w:val="0"/>
        <w:bidi w:val="0"/>
        <w:adjustRightInd w:val="0"/>
        <w:snapToGrid w:val="0"/>
        <w:spacing w:line="460" w:lineRule="exact"/>
        <w:ind w:firstLine="735" w:firstLineChars="35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5.2资金来源：</w:t>
      </w:r>
      <w:r>
        <w:rPr>
          <w:rFonts w:hint="eastAsia" w:ascii="宋体" w:hAnsi="宋体" w:cs="宋体"/>
          <w:bCs/>
          <w:sz w:val="21"/>
          <w:szCs w:val="21"/>
          <w:highlight w:val="none"/>
          <w:lang w:val="en-US" w:eastAsia="zh-CN"/>
        </w:rPr>
        <w:t>财政资金</w:t>
      </w:r>
    </w:p>
    <w:p>
      <w:pPr>
        <w:keepNext w:val="0"/>
        <w:keepLines w:val="0"/>
        <w:pageBreakBefore w:val="0"/>
        <w:widowControl w:val="0"/>
        <w:kinsoku/>
        <w:wordWrap/>
        <w:overflowPunct/>
        <w:topLinePunct w:val="0"/>
        <w:bidi w:val="0"/>
        <w:adjustRightInd w:val="0"/>
        <w:snapToGrid w:val="0"/>
        <w:spacing w:line="460" w:lineRule="exact"/>
        <w:ind w:firstLine="735" w:firstLineChars="35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5.3工期：</w:t>
      </w:r>
      <w:r>
        <w:rPr>
          <w:rFonts w:hint="eastAsia" w:ascii="宋体" w:hAnsi="宋体" w:cs="宋体"/>
          <w:bCs/>
          <w:sz w:val="21"/>
          <w:szCs w:val="21"/>
          <w:highlight w:val="none"/>
          <w:lang w:val="en-US" w:eastAsia="zh-CN"/>
        </w:rPr>
        <w:t>30</w:t>
      </w:r>
      <w:r>
        <w:rPr>
          <w:rFonts w:hint="eastAsia" w:ascii="宋体" w:hAnsi="宋体" w:eastAsia="宋体" w:cs="宋体"/>
          <w:bCs/>
          <w:sz w:val="21"/>
          <w:szCs w:val="21"/>
          <w:highlight w:val="none"/>
          <w:lang w:val="en-US" w:eastAsia="zh-CN"/>
        </w:rPr>
        <w:t>日历天</w:t>
      </w:r>
    </w:p>
    <w:p>
      <w:pPr>
        <w:keepNext w:val="0"/>
        <w:keepLines w:val="0"/>
        <w:pageBreakBefore w:val="0"/>
        <w:widowControl w:val="0"/>
        <w:kinsoku/>
        <w:wordWrap/>
        <w:overflowPunct/>
        <w:topLinePunct w:val="0"/>
        <w:bidi w:val="0"/>
        <w:adjustRightInd w:val="0"/>
        <w:snapToGrid w:val="0"/>
        <w:spacing w:line="460" w:lineRule="exact"/>
        <w:ind w:firstLine="735" w:firstLineChars="3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5.4质量要求：合格</w:t>
      </w:r>
    </w:p>
    <w:p>
      <w:pPr>
        <w:keepNext w:val="0"/>
        <w:keepLines w:val="0"/>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6.合同履行期限：/</w:t>
      </w:r>
    </w:p>
    <w:p>
      <w:pPr>
        <w:keepNext w:val="0"/>
        <w:keepLines w:val="0"/>
        <w:pageBreakBefore w:val="0"/>
        <w:widowControl w:val="0"/>
        <w:kinsoku/>
        <w:wordWrap/>
        <w:overflowPunct/>
        <w:topLinePunct w:val="0"/>
        <w:bidi w:val="0"/>
        <w:adjustRightInd w:val="0"/>
        <w:snapToGrid w:val="0"/>
        <w:spacing w:line="460" w:lineRule="exact"/>
        <w:ind w:firstLine="525" w:firstLineChars="2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7.是否接受联合体投标：否</w:t>
      </w:r>
    </w:p>
    <w:p>
      <w:pPr>
        <w:keepNext w:val="0"/>
        <w:keepLines w:val="0"/>
        <w:pageBreakBefore w:val="0"/>
        <w:widowControl w:val="0"/>
        <w:kinsoku/>
        <w:wordWrap/>
        <w:overflowPunct/>
        <w:topLinePunct w:val="0"/>
        <w:bidi w:val="0"/>
        <w:adjustRightInd w:val="0"/>
        <w:snapToGrid w:val="0"/>
        <w:spacing w:line="460" w:lineRule="exact"/>
        <w:ind w:firstLine="525" w:firstLineChars="25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8.</w:t>
      </w:r>
      <w:r>
        <w:rPr>
          <w:rFonts w:hint="eastAsia" w:ascii="宋体" w:hAnsi="宋体" w:eastAsia="宋体" w:cs="宋体"/>
          <w:bCs/>
          <w:sz w:val="21"/>
          <w:szCs w:val="21"/>
          <w:highlight w:val="none"/>
        </w:rPr>
        <w:t>是否接受进口产品：否</w:t>
      </w:r>
    </w:p>
    <w:p>
      <w:pPr>
        <w:keepNext w:val="0"/>
        <w:keepLines w:val="0"/>
        <w:pageBreakBefore w:val="0"/>
        <w:widowControl w:val="0"/>
        <w:kinsoku/>
        <w:wordWrap/>
        <w:overflowPunct/>
        <w:topLinePunct w:val="0"/>
        <w:bidi w:val="0"/>
        <w:adjustRightInd w:val="0"/>
        <w:snapToGrid w:val="0"/>
        <w:spacing w:line="4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二、申请人的资格要求：</w:t>
      </w:r>
    </w:p>
    <w:p>
      <w:pPr>
        <w:keepNext w:val="0"/>
        <w:keepLines w:val="0"/>
        <w:pageBreakBefore w:val="0"/>
        <w:widowControl w:val="0"/>
        <w:kinsoku/>
        <w:wordWrap/>
        <w:overflowPunct/>
        <w:topLinePunct w:val="0"/>
        <w:bidi w:val="0"/>
        <w:spacing w:before="133" w:line="460" w:lineRule="exact"/>
        <w:ind w:right="2"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1、满足《中华人民共和国政府采购法》第二十二条规定； </w:t>
      </w:r>
      <w:r>
        <w:rPr>
          <w:rFonts w:hint="eastAsia" w:ascii="宋体" w:hAnsi="宋体" w:eastAsia="宋体" w:cs="宋体"/>
          <w:spacing w:val="5"/>
          <w:sz w:val="21"/>
          <w:szCs w:val="21"/>
          <w:highlight w:val="none"/>
        </w:rPr>
        <w:t>(提供资格条件承诺函或</w:t>
      </w:r>
      <w:r>
        <w:rPr>
          <w:rFonts w:hint="eastAsia" w:ascii="宋体" w:hAnsi="宋体" w:eastAsia="宋体" w:cs="宋体"/>
          <w:spacing w:val="11"/>
          <w:sz w:val="21"/>
          <w:szCs w:val="21"/>
          <w:highlight w:val="none"/>
        </w:rPr>
        <w:t>相</w:t>
      </w:r>
      <w:r>
        <w:rPr>
          <w:rFonts w:hint="eastAsia" w:ascii="宋体" w:hAnsi="宋体" w:eastAsia="宋体" w:cs="宋体"/>
          <w:spacing w:val="7"/>
          <w:sz w:val="21"/>
          <w:szCs w:val="21"/>
          <w:highlight w:val="none"/>
        </w:rPr>
        <w:t>应的证明材料)</w:t>
      </w:r>
    </w:p>
    <w:p>
      <w:pPr>
        <w:keepNext w:val="0"/>
        <w:keepLines w:val="0"/>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2、落实政府采购政策满足的资格要求： </w:t>
      </w:r>
    </w:p>
    <w:p>
      <w:pPr>
        <w:keepNext w:val="0"/>
        <w:keepLines w:val="0"/>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本项目执行扶持不发达地区和少数民族地区、促进中小微企业、监狱企业、残疾人福利性单位等政府采购政策。 </w:t>
      </w:r>
    </w:p>
    <w:p>
      <w:pPr>
        <w:keepNext w:val="0"/>
        <w:keepLines w:val="0"/>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3、本项目的特定资格要求 </w:t>
      </w:r>
    </w:p>
    <w:p>
      <w:pPr>
        <w:keepNext w:val="0"/>
        <w:keepLines w:val="0"/>
        <w:pageBreakBefore w:val="0"/>
        <w:widowControl w:val="0"/>
        <w:kinsoku/>
        <w:wordWrap/>
        <w:overflowPunct/>
        <w:topLinePunct w:val="0"/>
        <w:bidi w:val="0"/>
        <w:spacing w:before="133" w:line="460" w:lineRule="exact"/>
        <w:ind w:right="2"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.1 供应商满足《中华人民共和国政府采购法》第二十二条</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规定：</w:t>
      </w:r>
      <w:r>
        <w:rPr>
          <w:rFonts w:hint="eastAsia" w:ascii="宋体" w:hAnsi="宋体" w:eastAsia="宋体" w:cs="宋体"/>
          <w:spacing w:val="5"/>
          <w:sz w:val="21"/>
          <w:szCs w:val="21"/>
          <w:highlight w:val="none"/>
        </w:rPr>
        <w:t xml:space="preserve"> (提供资格条件承诺函或</w:t>
      </w:r>
      <w:r>
        <w:rPr>
          <w:rFonts w:hint="eastAsia" w:ascii="宋体" w:hAnsi="宋体" w:eastAsia="宋体" w:cs="宋体"/>
          <w:spacing w:val="11"/>
          <w:sz w:val="21"/>
          <w:szCs w:val="21"/>
          <w:highlight w:val="none"/>
        </w:rPr>
        <w:t>相</w:t>
      </w:r>
      <w:r>
        <w:rPr>
          <w:rFonts w:hint="eastAsia" w:ascii="宋体" w:hAnsi="宋体" w:eastAsia="宋体" w:cs="宋体"/>
          <w:spacing w:val="7"/>
          <w:sz w:val="21"/>
          <w:szCs w:val="21"/>
          <w:highlight w:val="none"/>
        </w:rPr>
        <w:t>应的证明材料)</w:t>
      </w:r>
    </w:p>
    <w:p>
      <w:pPr>
        <w:keepNext w:val="0"/>
        <w:keepLines w:val="0"/>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供应商需具备</w:t>
      </w:r>
      <w:r>
        <w:rPr>
          <w:rFonts w:hint="eastAsia" w:ascii="宋体" w:hAnsi="宋体" w:eastAsia="宋体" w:cs="宋体"/>
          <w:sz w:val="21"/>
          <w:szCs w:val="21"/>
          <w:highlight w:val="none"/>
          <w:lang w:val="en-US" w:eastAsia="zh-CN"/>
        </w:rPr>
        <w:t>市政公用</w:t>
      </w:r>
      <w:r>
        <w:rPr>
          <w:rFonts w:hint="eastAsia" w:ascii="宋体" w:hAnsi="宋体" w:eastAsia="宋体" w:cs="宋体"/>
          <w:sz w:val="21"/>
          <w:szCs w:val="21"/>
          <w:highlight w:val="none"/>
        </w:rPr>
        <w:t>工程施工总承包叁级</w:t>
      </w:r>
      <w:r>
        <w:rPr>
          <w:rFonts w:hint="eastAsia" w:ascii="宋体" w:hAnsi="宋体" w:cs="宋体"/>
          <w:sz w:val="21"/>
          <w:szCs w:val="21"/>
          <w:highlight w:val="none"/>
          <w:lang w:eastAsia="zh-CN"/>
        </w:rPr>
        <w:t>或</w:t>
      </w:r>
      <w:r>
        <w:rPr>
          <w:rFonts w:hint="eastAsia" w:ascii="宋体" w:hAnsi="宋体" w:eastAsia="宋体" w:cs="宋体"/>
          <w:sz w:val="21"/>
          <w:szCs w:val="21"/>
          <w:highlight w:val="none"/>
        </w:rPr>
        <w:t>以上资质，具有有效的安全生产许可证；</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拟派项目经理需具备</w:t>
      </w:r>
      <w:r>
        <w:rPr>
          <w:rFonts w:hint="eastAsia" w:ascii="宋体" w:hAnsi="宋体" w:eastAsia="宋体" w:cs="宋体"/>
          <w:sz w:val="21"/>
          <w:szCs w:val="21"/>
          <w:highlight w:val="none"/>
          <w:lang w:val="en-US" w:eastAsia="zh-CN"/>
        </w:rPr>
        <w:t>市政公用工程</w:t>
      </w:r>
      <w:r>
        <w:rPr>
          <w:rFonts w:hint="eastAsia" w:ascii="宋体" w:hAnsi="宋体" w:eastAsia="宋体" w:cs="宋体"/>
          <w:sz w:val="21"/>
          <w:szCs w:val="21"/>
          <w:highlight w:val="none"/>
        </w:rPr>
        <w:t>专业贰级</w:t>
      </w:r>
      <w:r>
        <w:rPr>
          <w:rFonts w:hint="eastAsia" w:ascii="宋体" w:hAnsi="宋体" w:cs="宋体"/>
          <w:sz w:val="21"/>
          <w:szCs w:val="21"/>
          <w:highlight w:val="none"/>
          <w:lang w:eastAsia="zh-CN"/>
        </w:rPr>
        <w:t>或</w:t>
      </w:r>
      <w:r>
        <w:rPr>
          <w:rFonts w:hint="eastAsia" w:ascii="宋体" w:hAnsi="宋体" w:eastAsia="宋体" w:cs="宋体"/>
          <w:sz w:val="21"/>
          <w:szCs w:val="21"/>
          <w:highlight w:val="none"/>
        </w:rPr>
        <w:t>以上注册建造师执业资格、有效的安全生产考核合格证书（B证），且无在建项目（提供无在建承诺书）；</w:t>
      </w:r>
      <w:r>
        <w:rPr>
          <w:rFonts w:hint="eastAsia" w:ascii="宋体" w:hAnsi="宋体" w:eastAsia="宋体" w:cs="宋体"/>
          <w:bCs/>
          <w:sz w:val="21"/>
          <w:szCs w:val="21"/>
          <w:highlight w:val="none"/>
        </w:rPr>
        <w:t>拟派项目经理在投标截止日前 120 天内，有在其他工程项目上担任项目经理任职变更事项的，请在响应文件中说明情况并附经建设行政主管部门备案的相关证明材料； 拟派项目经理必须为本单位正式人员，</w:t>
      </w:r>
      <w:r>
        <w:rPr>
          <w:rFonts w:hint="eastAsia" w:ascii="宋体" w:hAnsi="宋体" w:eastAsia="宋体" w:cs="宋体"/>
          <w:sz w:val="21"/>
          <w:szCs w:val="21"/>
          <w:highlight w:val="none"/>
          <w:lang w:val="zh-CN"/>
        </w:rPr>
        <w:t>并提供</w:t>
      </w:r>
      <w:r>
        <w:rPr>
          <w:rFonts w:hint="eastAsia" w:ascii="宋体" w:hAnsi="宋体" w:eastAsia="宋体" w:cs="宋体"/>
          <w:sz w:val="21"/>
          <w:szCs w:val="21"/>
          <w:highlight w:val="none"/>
          <w:lang w:val="en-US" w:eastAsia="zh-CN"/>
        </w:rPr>
        <w:t>近三个月内任意一个月</w:t>
      </w:r>
      <w:r>
        <w:rPr>
          <w:rFonts w:hint="eastAsia" w:ascii="宋体" w:hAnsi="宋体" w:eastAsia="宋体" w:cs="宋体"/>
          <w:sz w:val="21"/>
          <w:szCs w:val="21"/>
          <w:highlight w:val="none"/>
          <w:lang w:val="zh-CN"/>
        </w:rPr>
        <w:t>缴纳社保证明。</w:t>
      </w:r>
    </w:p>
    <w:p>
      <w:pPr>
        <w:keepNext w:val="0"/>
        <w:keepLines w:val="0"/>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b w:val="0"/>
          <w:bCs/>
          <w:spacing w:val="2"/>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w:t>
      </w:r>
      <w:r>
        <w:rPr>
          <w:rFonts w:hint="eastAsia" w:ascii="宋体" w:hAnsi="宋体" w:eastAsia="宋体" w:cs="宋体"/>
          <w:b w:val="0"/>
          <w:bCs/>
          <w:spacing w:val="2"/>
          <w:sz w:val="21"/>
          <w:szCs w:val="21"/>
          <w:highlight w:val="none"/>
        </w:rPr>
        <w:t>投标人</w:t>
      </w:r>
      <w:r>
        <w:rPr>
          <w:rFonts w:hint="eastAsia" w:ascii="宋体" w:hAnsi="宋体" w:eastAsia="宋体" w:cs="宋体"/>
          <w:b w:val="0"/>
          <w:bCs/>
          <w:spacing w:val="2"/>
          <w:sz w:val="21"/>
          <w:szCs w:val="21"/>
          <w:highlight w:val="none"/>
          <w:lang w:val="en-US" w:eastAsia="zh-CN"/>
        </w:rPr>
        <w:t>未被</w:t>
      </w:r>
      <w:r>
        <w:rPr>
          <w:rFonts w:hint="eastAsia" w:ascii="宋体" w:hAnsi="宋体" w:eastAsia="宋体" w:cs="宋体"/>
          <w:b w:val="0"/>
          <w:bCs/>
          <w:spacing w:val="2"/>
          <w:sz w:val="21"/>
          <w:szCs w:val="21"/>
          <w:highlight w:val="none"/>
        </w:rPr>
        <w:t>“中国执行信息公开网”网站</w:t>
      </w:r>
      <w:r>
        <w:rPr>
          <w:rFonts w:hint="eastAsia" w:ascii="宋体" w:hAnsi="宋体" w:eastAsia="宋体" w:cs="宋体"/>
          <w:b w:val="0"/>
          <w:bCs/>
          <w:spacing w:val="2"/>
          <w:sz w:val="21"/>
          <w:szCs w:val="21"/>
          <w:highlight w:val="none"/>
          <w:lang w:val="en-US" w:eastAsia="en-US"/>
        </w:rPr>
        <w:t>（</w:t>
      </w:r>
      <w:r>
        <w:rPr>
          <w:rFonts w:hint="eastAsia" w:ascii="宋体" w:hAnsi="宋体" w:eastAsia="宋体" w:cs="宋体"/>
          <w:b w:val="0"/>
          <w:bCs/>
          <w:spacing w:val="2"/>
          <w:sz w:val="21"/>
          <w:szCs w:val="21"/>
          <w:highlight w:val="none"/>
        </w:rPr>
        <w:fldChar w:fldCharType="begin"/>
      </w:r>
      <w:r>
        <w:rPr>
          <w:rFonts w:hint="eastAsia" w:ascii="宋体" w:hAnsi="宋体" w:eastAsia="宋体" w:cs="宋体"/>
          <w:b w:val="0"/>
          <w:bCs/>
          <w:spacing w:val="2"/>
          <w:sz w:val="21"/>
          <w:szCs w:val="21"/>
          <w:highlight w:val="none"/>
        </w:rPr>
        <w:instrText xml:space="preserve">HYPERLINK "http://zxgk"</w:instrText>
      </w:r>
      <w:r>
        <w:rPr>
          <w:rFonts w:hint="eastAsia" w:ascii="宋体" w:hAnsi="宋体" w:eastAsia="宋体" w:cs="宋体"/>
          <w:b w:val="0"/>
          <w:bCs/>
          <w:spacing w:val="2"/>
          <w:sz w:val="21"/>
          <w:szCs w:val="21"/>
          <w:highlight w:val="none"/>
        </w:rPr>
        <w:fldChar w:fldCharType="separate"/>
      </w:r>
      <w:r>
        <w:rPr>
          <w:rFonts w:hint="eastAsia" w:ascii="宋体" w:hAnsi="宋体" w:eastAsia="宋体" w:cs="宋体"/>
          <w:b w:val="0"/>
          <w:bCs/>
          <w:spacing w:val="2"/>
          <w:sz w:val="21"/>
          <w:szCs w:val="21"/>
          <w:highlight w:val="none"/>
          <w:lang w:val="en-US" w:eastAsia="en-US"/>
        </w:rPr>
        <w:t>http://zxgk</w:t>
      </w:r>
      <w:r>
        <w:rPr>
          <w:rFonts w:hint="eastAsia" w:ascii="宋体" w:hAnsi="宋体" w:eastAsia="宋体" w:cs="宋体"/>
          <w:b w:val="0"/>
          <w:bCs/>
          <w:spacing w:val="2"/>
          <w:sz w:val="21"/>
          <w:szCs w:val="21"/>
          <w:highlight w:val="none"/>
        </w:rPr>
        <w:fldChar w:fldCharType="end"/>
      </w:r>
      <w:r>
        <w:rPr>
          <w:rFonts w:hint="eastAsia" w:ascii="宋体" w:hAnsi="宋体" w:eastAsia="宋体" w:cs="宋体"/>
          <w:b w:val="0"/>
          <w:bCs/>
          <w:spacing w:val="2"/>
          <w:sz w:val="21"/>
          <w:szCs w:val="21"/>
          <w:highlight w:val="none"/>
          <w:lang w:val="en-US" w:eastAsia="en-US"/>
        </w:rPr>
        <w:t>. court. gov. cn/shixin/）</w:t>
      </w:r>
      <w:r>
        <w:rPr>
          <w:rFonts w:hint="eastAsia" w:ascii="宋体" w:hAnsi="宋体" w:eastAsia="宋体" w:cs="宋体"/>
          <w:b w:val="0"/>
          <w:bCs/>
          <w:spacing w:val="2"/>
          <w:sz w:val="21"/>
          <w:szCs w:val="21"/>
          <w:highlight w:val="none"/>
        </w:rPr>
        <w:t>列入失信被执行人、未被列入 “信用中国”（http://www.creditchina.gov.cn/）</w:t>
      </w:r>
      <w:r>
        <w:rPr>
          <w:rFonts w:hint="eastAsia" w:ascii="宋体" w:hAnsi="宋体" w:eastAsia="宋体" w:cs="宋体"/>
          <w:b w:val="0"/>
          <w:bCs/>
          <w:spacing w:val="2"/>
          <w:sz w:val="21"/>
          <w:szCs w:val="21"/>
          <w:highlight w:val="none"/>
          <w:lang w:eastAsia="zh-CN"/>
        </w:rPr>
        <w:t>重大税收违法失信主体</w:t>
      </w:r>
      <w:r>
        <w:rPr>
          <w:rFonts w:hint="eastAsia" w:ascii="宋体" w:hAnsi="宋体" w:eastAsia="宋体" w:cs="宋体"/>
          <w:b w:val="0"/>
          <w:bCs/>
          <w:spacing w:val="2"/>
          <w:sz w:val="21"/>
          <w:szCs w:val="21"/>
          <w:highlight w:val="none"/>
        </w:rPr>
        <w:t>、政府采购严重违法失信名单（时间：公告发布之日起至投标截止时间前），被列入失信被执行人、</w:t>
      </w:r>
      <w:r>
        <w:rPr>
          <w:rFonts w:hint="eastAsia" w:ascii="宋体" w:hAnsi="宋体" w:eastAsia="宋体" w:cs="宋体"/>
          <w:b w:val="0"/>
          <w:bCs/>
          <w:spacing w:val="2"/>
          <w:sz w:val="21"/>
          <w:szCs w:val="21"/>
          <w:highlight w:val="none"/>
          <w:lang w:eastAsia="zh-CN"/>
        </w:rPr>
        <w:t>重大税收违法失信主体、政府采购严重违法失信名单，不得参与本项目，并提供投标人承诺书，投标人对承诺书真实性负责，提供虚假承诺，投标人承担全部责任）。</w:t>
      </w:r>
    </w:p>
    <w:p>
      <w:pPr>
        <w:keepNext w:val="0"/>
        <w:keepLines w:val="0"/>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.5</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本项目不接受联合体投标。</w:t>
      </w:r>
    </w:p>
    <w:p>
      <w:pPr>
        <w:keepNext w:val="0"/>
        <w:keepLines w:val="0"/>
        <w:pageBreakBefore w:val="0"/>
        <w:widowControl w:val="0"/>
        <w:kinsoku/>
        <w:wordWrap/>
        <w:overflowPunct/>
        <w:topLinePunct w:val="0"/>
        <w:bidi w:val="0"/>
        <w:adjustRightInd w:val="0"/>
        <w:snapToGrid w:val="0"/>
        <w:spacing w:line="4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三、获取竞争性磋商文件</w:t>
      </w:r>
      <w:r>
        <w:rPr>
          <w:rFonts w:hint="eastAsia" w:ascii="宋体" w:hAnsi="宋体" w:eastAsia="宋体" w:cs="宋体"/>
          <w:szCs w:val="21"/>
          <w:highlight w:val="none"/>
          <w:lang w:val="en-US" w:eastAsia="zh-CN"/>
        </w:rPr>
        <w:t>及报名</w:t>
      </w:r>
      <w:r>
        <w:rPr>
          <w:rFonts w:hint="eastAsia" w:ascii="宋体" w:hAnsi="宋体" w:eastAsia="宋体" w:cs="宋体"/>
          <w:szCs w:val="21"/>
          <w:highlight w:val="none"/>
        </w:rPr>
        <w:t>：</w:t>
      </w:r>
    </w:p>
    <w:p>
      <w:pPr>
        <w:keepNext w:val="0"/>
        <w:keepLines w:val="0"/>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1.时间：202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年</w:t>
      </w:r>
      <w:r>
        <w:rPr>
          <w:rFonts w:hint="eastAsia" w:ascii="宋体" w:hAnsi="宋体" w:cs="宋体"/>
          <w:szCs w:val="21"/>
          <w:highlight w:val="none"/>
          <w:lang w:val="en-US" w:eastAsia="zh-CN"/>
        </w:rPr>
        <w:t xml:space="preserve">9 </w:t>
      </w:r>
      <w:r>
        <w:rPr>
          <w:rFonts w:hint="eastAsia" w:ascii="宋体" w:hAnsi="宋体" w:eastAsia="宋体" w:cs="宋体"/>
          <w:szCs w:val="21"/>
          <w:highlight w:val="none"/>
        </w:rPr>
        <w:t>月</w:t>
      </w:r>
      <w:r>
        <w:rPr>
          <w:rFonts w:hint="eastAsia" w:ascii="宋体" w:hAnsi="宋体" w:cs="宋体"/>
          <w:szCs w:val="21"/>
          <w:highlight w:val="yellow"/>
          <w:lang w:val="en-US" w:eastAsia="zh-CN"/>
        </w:rPr>
        <w:t xml:space="preserve">   </w:t>
      </w:r>
      <w:r>
        <w:rPr>
          <w:rFonts w:hint="eastAsia" w:ascii="宋体" w:hAnsi="宋体" w:eastAsia="宋体" w:cs="宋体"/>
          <w:szCs w:val="21"/>
          <w:highlight w:val="yellow"/>
          <w:lang w:val="en-US" w:eastAsia="zh-CN"/>
        </w:rPr>
        <w:t xml:space="preserve">  </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 xml:space="preserve"> 上午9点 30分前</w:t>
      </w:r>
      <w:r>
        <w:rPr>
          <w:rFonts w:hint="eastAsia" w:ascii="宋体" w:hAnsi="宋体" w:eastAsia="宋体" w:cs="宋体"/>
          <w:szCs w:val="21"/>
          <w:highlight w:val="none"/>
        </w:rPr>
        <w:t>。</w:t>
      </w:r>
    </w:p>
    <w:p>
      <w:pPr>
        <w:keepNext w:val="0"/>
        <w:keepLines w:val="0"/>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2.地点：</w:t>
      </w:r>
      <w:r>
        <w:rPr>
          <w:rFonts w:hint="eastAsia" w:ascii="宋体" w:hAnsi="宋体" w:eastAsia="宋体" w:cs="宋体"/>
          <w:szCs w:val="21"/>
          <w:highlight w:val="none"/>
          <w:lang w:val="en-US" w:eastAsia="zh-CN"/>
        </w:rPr>
        <w:t>潜在供应商请在有效时间内登录鹤壁市公共资源交易公共服务平台，自行下载磋商文件、答疑文件及其它资料。</w:t>
      </w:r>
    </w:p>
    <w:p>
      <w:pPr>
        <w:keepNext w:val="0"/>
        <w:keepLines w:val="0"/>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方式：</w:t>
      </w:r>
      <w:r>
        <w:rPr>
          <w:rFonts w:hint="eastAsia" w:ascii="宋体" w:hAnsi="宋体" w:eastAsia="宋体" w:cs="宋体"/>
          <w:szCs w:val="21"/>
          <w:highlight w:val="none"/>
          <w:lang w:val="en-US" w:eastAsia="zh-CN"/>
        </w:rPr>
        <w:t>电子下载。本项目采用电子化招投标，全部通过网上报名方式进行报名、下载磋商文件、制作电子投标文件、网上加密上传、线上解密等相关事宜。</w:t>
      </w:r>
    </w:p>
    <w:p>
      <w:pPr>
        <w:pStyle w:val="37"/>
        <w:keepNext w:val="0"/>
        <w:keepLines w:val="0"/>
        <w:pageBreakBefore w:val="0"/>
        <w:widowControl w:val="0"/>
        <w:kinsoku/>
        <w:wordWrap/>
        <w:overflowPunct/>
        <w:topLinePunct w:val="0"/>
        <w:bidi w:val="0"/>
        <w:adjustRightInd w:val="0"/>
        <w:snapToGrid w:val="0"/>
        <w:spacing w:line="460" w:lineRule="exact"/>
        <w:ind w:firstLine="210" w:firstLineChars="100"/>
        <w:textAlignment w:val="auto"/>
        <w:rPr>
          <w:rFonts w:hint="eastAsia" w:ascii="宋体" w:hAnsi="宋体" w:eastAsia="宋体" w:cs="宋体"/>
          <w:szCs w:val="21"/>
          <w:highlight w:val="none"/>
        </w:rPr>
      </w:pPr>
      <w:r>
        <w:rPr>
          <w:rFonts w:hint="eastAsia" w:ascii="宋体" w:hAnsi="宋体" w:eastAsia="宋体" w:cs="宋体"/>
          <w:szCs w:val="21"/>
          <w:highlight w:val="none"/>
        </w:rPr>
        <w:t>四、提交响应文件截止时间和地点：</w:t>
      </w:r>
    </w:p>
    <w:p>
      <w:pPr>
        <w:keepNext w:val="0"/>
        <w:keepLines w:val="0"/>
        <w:pageBreakBefore w:val="0"/>
        <w:widowControl w:val="0"/>
        <w:kinsoku/>
        <w:wordWrap/>
        <w:overflowPunct/>
        <w:topLinePunct w:val="0"/>
        <w:autoSpaceDE/>
        <w:autoSpaceDN/>
        <w:bidi w:val="0"/>
        <w:snapToGrid w:val="0"/>
        <w:spacing w:line="460" w:lineRule="exact"/>
        <w:ind w:firstLine="420" w:firstLineChars="200"/>
        <w:jc w:val="both"/>
        <w:textAlignment w:val="auto"/>
        <w:rPr>
          <w:rStyle w:val="35"/>
          <w:rFonts w:hint="eastAsia" w:ascii="宋体" w:hAnsi="宋体" w:eastAsia="宋体" w:cs="宋体"/>
          <w:kern w:val="2"/>
          <w:sz w:val="21"/>
          <w:szCs w:val="21"/>
          <w:highlight w:val="none"/>
          <w:lang w:val="en-US" w:eastAsia="zh-CN" w:bidi="ar-SA"/>
        </w:rPr>
      </w:pPr>
      <w:r>
        <w:rPr>
          <w:rStyle w:val="35"/>
          <w:rFonts w:hint="eastAsia" w:ascii="宋体" w:hAnsi="宋体" w:eastAsia="宋体" w:cs="宋体"/>
          <w:kern w:val="2"/>
          <w:sz w:val="21"/>
          <w:szCs w:val="21"/>
          <w:highlight w:val="none"/>
          <w:lang w:val="en-US" w:eastAsia="zh-CN" w:bidi="ar-SA"/>
        </w:rPr>
        <w:t>1.响应文件递交截止时间：2023年</w:t>
      </w:r>
      <w:r>
        <w:rPr>
          <w:rStyle w:val="35"/>
          <w:rFonts w:hint="eastAsia" w:ascii="宋体" w:hAnsi="宋体" w:cs="宋体"/>
          <w:kern w:val="2"/>
          <w:sz w:val="21"/>
          <w:szCs w:val="21"/>
          <w:highlight w:val="none"/>
          <w:lang w:val="en-US" w:eastAsia="zh-CN" w:bidi="ar-SA"/>
        </w:rPr>
        <w:t>9</w:t>
      </w:r>
      <w:r>
        <w:rPr>
          <w:rStyle w:val="35"/>
          <w:rFonts w:hint="eastAsia" w:ascii="宋体" w:hAnsi="宋体" w:eastAsia="宋体" w:cs="宋体"/>
          <w:kern w:val="2"/>
          <w:sz w:val="21"/>
          <w:szCs w:val="21"/>
          <w:highlight w:val="none"/>
          <w:lang w:val="en-US" w:eastAsia="zh-CN" w:bidi="ar-SA"/>
        </w:rPr>
        <w:t>月</w:t>
      </w:r>
      <w:r>
        <w:rPr>
          <w:rStyle w:val="35"/>
          <w:rFonts w:hint="eastAsia" w:ascii="宋体" w:hAnsi="宋体" w:cs="宋体"/>
          <w:kern w:val="2"/>
          <w:sz w:val="21"/>
          <w:szCs w:val="21"/>
          <w:highlight w:val="yellow"/>
          <w:lang w:val="en-US" w:eastAsia="zh-CN" w:bidi="ar-SA"/>
        </w:rPr>
        <w:t xml:space="preserve">   </w:t>
      </w:r>
      <w:r>
        <w:rPr>
          <w:rStyle w:val="35"/>
          <w:rFonts w:hint="eastAsia" w:ascii="宋体" w:hAnsi="宋体" w:eastAsia="宋体" w:cs="宋体"/>
          <w:kern w:val="2"/>
          <w:sz w:val="21"/>
          <w:szCs w:val="21"/>
          <w:highlight w:val="none"/>
          <w:lang w:val="en-US" w:eastAsia="zh-CN" w:bidi="ar-SA"/>
        </w:rPr>
        <w:t>日 上午9点 30分（北京时间）</w:t>
      </w:r>
    </w:p>
    <w:p>
      <w:pPr>
        <w:keepNext w:val="0"/>
        <w:keepLines w:val="0"/>
        <w:pageBreakBefore w:val="0"/>
        <w:widowControl w:val="0"/>
        <w:kinsoku/>
        <w:wordWrap/>
        <w:overflowPunct/>
        <w:topLinePunct w:val="0"/>
        <w:autoSpaceDE/>
        <w:autoSpaceDN/>
        <w:bidi w:val="0"/>
        <w:snapToGrid w:val="0"/>
        <w:spacing w:line="460" w:lineRule="exact"/>
        <w:ind w:firstLine="420" w:firstLineChars="200"/>
        <w:jc w:val="both"/>
        <w:textAlignment w:val="auto"/>
        <w:rPr>
          <w:rFonts w:hint="eastAsia" w:ascii="宋体" w:hAnsi="宋体" w:eastAsia="宋体" w:cs="宋体"/>
          <w:highlight w:val="none"/>
          <w:lang w:val="en-US" w:eastAsia="zh-CN"/>
        </w:rPr>
      </w:pPr>
      <w:r>
        <w:rPr>
          <w:rStyle w:val="35"/>
          <w:rFonts w:hint="eastAsia" w:ascii="宋体" w:hAnsi="宋体" w:eastAsia="宋体" w:cs="宋体"/>
          <w:kern w:val="2"/>
          <w:sz w:val="21"/>
          <w:szCs w:val="21"/>
          <w:highlight w:val="none"/>
          <w:lang w:val="en-US" w:eastAsia="zh-CN" w:bidi="ar-SA"/>
        </w:rPr>
        <w:t>2.递交地点：</w:t>
      </w:r>
      <w:r>
        <w:rPr>
          <w:rStyle w:val="35"/>
          <w:rFonts w:hint="eastAsia" w:ascii="宋体" w:hAnsi="宋体" w:cs="宋体"/>
          <w:kern w:val="2"/>
          <w:sz w:val="21"/>
          <w:szCs w:val="21"/>
          <w:highlight w:val="none"/>
          <w:lang w:val="en-US" w:eastAsia="zh-CN" w:bidi="ar-SA"/>
        </w:rPr>
        <w:t>鹤壁市</w:t>
      </w:r>
      <w:r>
        <w:rPr>
          <w:rStyle w:val="35"/>
          <w:rFonts w:hint="eastAsia" w:ascii="宋体" w:hAnsi="宋体" w:eastAsia="宋体" w:cs="宋体"/>
          <w:kern w:val="2"/>
          <w:sz w:val="21"/>
          <w:szCs w:val="21"/>
          <w:highlight w:val="none"/>
          <w:lang w:val="en-US" w:eastAsia="zh-CN" w:bidi="ar-SA"/>
        </w:rPr>
        <w:t>公共资源交易中心</w:t>
      </w:r>
      <w:r>
        <w:rPr>
          <w:rStyle w:val="35"/>
          <w:rFonts w:hint="default" w:ascii="宋体" w:hAnsi="宋体" w:eastAsia="宋体" w:cs="宋体"/>
          <w:kern w:val="2"/>
          <w:sz w:val="21"/>
          <w:szCs w:val="21"/>
          <w:highlight w:val="none"/>
          <w:lang w:val="en-US" w:eastAsia="zh-CN" w:bidi="ar-SA"/>
        </w:rPr>
        <w:t>远程</w:t>
      </w:r>
      <w:r>
        <w:rPr>
          <w:rStyle w:val="35"/>
          <w:rFonts w:hint="default" w:ascii="宋体" w:hAnsi="宋体" w:eastAsia="宋体" w:cs="宋体"/>
          <w:kern w:val="2"/>
          <w:sz w:val="21"/>
          <w:szCs w:val="21"/>
          <w:highlight w:val="yellow"/>
          <w:lang w:val="en-US" w:eastAsia="zh-CN" w:bidi="ar-SA"/>
        </w:rPr>
        <w:t>开标大厅第</w:t>
      </w:r>
      <w:r>
        <w:rPr>
          <w:rStyle w:val="35"/>
          <w:rFonts w:hint="eastAsia" w:ascii="宋体" w:hAnsi="宋体" w:cs="宋体"/>
          <w:kern w:val="2"/>
          <w:sz w:val="21"/>
          <w:szCs w:val="21"/>
          <w:highlight w:val="yellow"/>
          <w:lang w:val="en-US" w:eastAsia="zh-CN" w:bidi="ar-SA"/>
        </w:rPr>
        <w:t xml:space="preserve">  </w:t>
      </w:r>
      <w:r>
        <w:rPr>
          <w:rStyle w:val="35"/>
          <w:rFonts w:hint="default" w:ascii="宋体" w:hAnsi="宋体" w:eastAsia="宋体" w:cs="宋体"/>
          <w:kern w:val="2"/>
          <w:sz w:val="21"/>
          <w:szCs w:val="21"/>
          <w:highlight w:val="yellow"/>
          <w:lang w:val="en-US" w:eastAsia="zh-CN" w:bidi="ar-SA"/>
        </w:rPr>
        <w:t>坐席</w:t>
      </w:r>
      <w:r>
        <w:rPr>
          <w:rStyle w:val="35"/>
          <w:rFonts w:hint="eastAsia" w:ascii="宋体" w:hAnsi="宋体" w:eastAsia="宋体" w:cs="宋体"/>
          <w:kern w:val="2"/>
          <w:sz w:val="21"/>
          <w:szCs w:val="21"/>
          <w:highlight w:val="yellow"/>
          <w:lang w:val="en-US" w:eastAsia="zh-CN" w:bidi="ar-SA"/>
        </w:rPr>
        <w:t>，</w:t>
      </w:r>
      <w:r>
        <w:rPr>
          <w:rStyle w:val="35"/>
          <w:rFonts w:hint="eastAsia" w:ascii="宋体" w:hAnsi="宋体" w:eastAsia="宋体" w:cs="宋体"/>
          <w:kern w:val="2"/>
          <w:sz w:val="21"/>
          <w:szCs w:val="21"/>
          <w:highlight w:val="none"/>
          <w:lang w:val="en-US" w:eastAsia="zh-CN" w:bidi="ar-SA"/>
        </w:rPr>
        <w:t>供应商无需到</w:t>
      </w:r>
      <w:r>
        <w:rPr>
          <w:rStyle w:val="35"/>
          <w:rFonts w:hint="eastAsia" w:ascii="宋体" w:hAnsi="宋体" w:cs="宋体"/>
          <w:kern w:val="2"/>
          <w:sz w:val="21"/>
          <w:szCs w:val="21"/>
          <w:highlight w:val="none"/>
          <w:lang w:val="en-US" w:eastAsia="zh-CN" w:bidi="ar-SA"/>
        </w:rPr>
        <w:t>鹤壁市</w:t>
      </w:r>
      <w:r>
        <w:rPr>
          <w:rStyle w:val="35"/>
          <w:rFonts w:hint="eastAsia" w:ascii="宋体" w:hAnsi="宋体" w:eastAsia="宋体" w:cs="宋体"/>
          <w:kern w:val="2"/>
          <w:sz w:val="21"/>
          <w:szCs w:val="21"/>
          <w:highlight w:val="none"/>
          <w:lang w:val="en-US" w:eastAsia="zh-CN" w:bidi="ar-SA"/>
        </w:rPr>
        <w:t>公共资源交易中心现场参加开标会议。在投标文件开启时间前，供应商自行选择任意地点登录远程开标大厅，在线准时参加投标文件开启活动并进行文件解密、澄清等。未在规定时间内解密投标文件的供应商，其投标文件无效。</w:t>
      </w:r>
    </w:p>
    <w:p>
      <w:pPr>
        <w:pStyle w:val="6"/>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五、开标时间及地点</w:t>
      </w:r>
    </w:p>
    <w:p>
      <w:pPr>
        <w:pStyle w:val="6"/>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时间：2023 年</w:t>
      </w:r>
      <w:r>
        <w:rPr>
          <w:rFonts w:hint="eastAsia" w:ascii="宋体" w:hAnsi="宋体" w:cs="宋体"/>
          <w:highlight w:val="none"/>
          <w:lang w:val="en-US" w:eastAsia="zh-CN"/>
        </w:rPr>
        <w:t xml:space="preserve">9 </w:t>
      </w:r>
      <w:r>
        <w:rPr>
          <w:rFonts w:hint="eastAsia" w:ascii="宋体" w:hAnsi="宋体" w:eastAsia="宋体" w:cs="宋体"/>
          <w:highlight w:val="none"/>
          <w:lang w:val="en-US" w:eastAsia="zh-CN"/>
        </w:rPr>
        <w:t>月</w:t>
      </w:r>
      <w:r>
        <w:rPr>
          <w:rFonts w:hint="eastAsia" w:ascii="宋体" w:hAnsi="宋体" w:cs="宋体"/>
          <w:highlight w:val="yellow"/>
          <w:lang w:val="en-US" w:eastAsia="zh-CN"/>
        </w:rPr>
        <w:t xml:space="preserve">  </w:t>
      </w:r>
      <w:r>
        <w:rPr>
          <w:rFonts w:hint="eastAsia" w:ascii="宋体" w:hAnsi="宋体" w:eastAsia="宋体" w:cs="宋体"/>
          <w:highlight w:val="none"/>
          <w:lang w:val="en-US" w:eastAsia="zh-CN"/>
        </w:rPr>
        <w:t xml:space="preserve"> 日 上午 9点 30分；</w:t>
      </w:r>
    </w:p>
    <w:p>
      <w:pPr>
        <w:pStyle w:val="6"/>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地点：</w:t>
      </w:r>
      <w:r>
        <w:rPr>
          <w:rFonts w:hint="eastAsia" w:ascii="宋体" w:hAnsi="宋体" w:cs="宋体"/>
          <w:highlight w:val="none"/>
          <w:lang w:val="en-US" w:eastAsia="zh-CN"/>
        </w:rPr>
        <w:t>鹤壁市</w:t>
      </w:r>
      <w:r>
        <w:rPr>
          <w:rFonts w:hint="eastAsia" w:ascii="宋体" w:hAnsi="宋体" w:eastAsia="宋体" w:cs="宋体"/>
          <w:highlight w:val="none"/>
          <w:lang w:val="en-US" w:eastAsia="zh-CN"/>
        </w:rPr>
        <w:t>公共资源交易中心</w:t>
      </w:r>
      <w:r>
        <w:rPr>
          <w:rStyle w:val="35"/>
          <w:rFonts w:hint="default" w:ascii="宋体" w:hAnsi="宋体" w:eastAsia="宋体" w:cs="宋体"/>
          <w:kern w:val="2"/>
          <w:sz w:val="21"/>
          <w:szCs w:val="21"/>
          <w:highlight w:val="none"/>
          <w:lang w:val="en-US" w:eastAsia="zh-CN" w:bidi="ar-SA"/>
        </w:rPr>
        <w:t>远程</w:t>
      </w:r>
      <w:r>
        <w:rPr>
          <w:rStyle w:val="35"/>
          <w:rFonts w:hint="default" w:ascii="宋体" w:hAnsi="宋体" w:eastAsia="宋体" w:cs="宋体"/>
          <w:kern w:val="2"/>
          <w:sz w:val="21"/>
          <w:szCs w:val="21"/>
          <w:highlight w:val="yellow"/>
          <w:lang w:val="en-US" w:eastAsia="zh-CN" w:bidi="ar-SA"/>
        </w:rPr>
        <w:t>开标大厅第</w:t>
      </w:r>
      <w:r>
        <w:rPr>
          <w:rStyle w:val="35"/>
          <w:rFonts w:hint="eastAsia" w:ascii="宋体" w:hAnsi="宋体" w:cs="宋体"/>
          <w:kern w:val="2"/>
          <w:sz w:val="21"/>
          <w:szCs w:val="21"/>
          <w:highlight w:val="yellow"/>
          <w:lang w:val="en-US" w:eastAsia="zh-CN" w:bidi="ar-SA"/>
        </w:rPr>
        <w:t xml:space="preserve">  </w:t>
      </w:r>
      <w:r>
        <w:rPr>
          <w:rStyle w:val="35"/>
          <w:rFonts w:hint="default" w:ascii="宋体" w:hAnsi="宋体" w:eastAsia="宋体" w:cs="宋体"/>
          <w:kern w:val="2"/>
          <w:sz w:val="21"/>
          <w:szCs w:val="21"/>
          <w:highlight w:val="yellow"/>
          <w:lang w:val="en-US" w:eastAsia="zh-CN" w:bidi="ar-SA"/>
        </w:rPr>
        <w:t>坐席</w:t>
      </w:r>
      <w:r>
        <w:rPr>
          <w:rFonts w:hint="eastAsia" w:ascii="宋体" w:hAnsi="宋体" w:eastAsia="宋体" w:cs="宋体"/>
          <w:highlight w:val="none"/>
          <w:lang w:val="en-US" w:eastAsia="zh-CN"/>
        </w:rPr>
        <w:t>，供应商无需到</w:t>
      </w:r>
      <w:r>
        <w:rPr>
          <w:rFonts w:hint="eastAsia" w:ascii="宋体" w:hAnsi="宋体" w:cs="宋体"/>
          <w:highlight w:val="none"/>
          <w:lang w:val="en-US" w:eastAsia="zh-CN"/>
        </w:rPr>
        <w:t>鹤壁市</w:t>
      </w:r>
      <w:r>
        <w:rPr>
          <w:rFonts w:hint="eastAsia" w:ascii="宋体" w:hAnsi="宋体" w:eastAsia="宋体" w:cs="宋体"/>
          <w:highlight w:val="none"/>
          <w:lang w:val="en-US" w:eastAsia="zh-CN"/>
        </w:rPr>
        <w:t>公共资源交易中心现场参加开标会议。在投标文件开启时间前，供应商自行选择任意地点登录远程开标大厅，在线准时参加投标文件开启活动并进行文件解密、澄清等。未在规定时间内解密投标文件的供应商，其投标文件无效。</w:t>
      </w:r>
    </w:p>
    <w:p>
      <w:pPr>
        <w:pStyle w:val="6"/>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六、发布公告的媒介及公告期限</w:t>
      </w:r>
    </w:p>
    <w:p>
      <w:pPr>
        <w:pStyle w:val="6"/>
        <w:keepNext w:val="0"/>
        <w:keepLines w:val="0"/>
        <w:pageBreakBefore w:val="0"/>
        <w:widowControl w:val="0"/>
        <w:kinsoku/>
        <w:wordWrap/>
        <w:overflowPunct/>
        <w:topLinePunct w:val="0"/>
        <w:bidi w:val="0"/>
        <w:spacing w:line="46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本次公告在《河南省政府采购网》、《鹤壁市政府采购网》、《鹤壁市公共资源交易服务平台》上同时发布。公告期限为5个工作日。</w:t>
      </w:r>
    </w:p>
    <w:p>
      <w:pPr>
        <w:pStyle w:val="6"/>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其它补充事宜</w:t>
      </w:r>
    </w:p>
    <w:p>
      <w:pPr>
        <w:pStyle w:val="6"/>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highlight w:val="none"/>
        </w:rPr>
      </w:pPr>
      <w:r>
        <w:rPr>
          <w:rFonts w:hint="eastAsia" w:ascii="宋体" w:hAnsi="宋体" w:eastAsia="宋体" w:cs="宋体"/>
          <w:highlight w:val="none"/>
        </w:rPr>
        <w:t>1.本项目落实的政府采购政策：本项目执行优先采购节能环保、环境标志性产品，扶持不发达地区和少数民族地区，促进中小企业、监狱企业、残疾人福利性企业发展等政策。</w:t>
      </w:r>
    </w:p>
    <w:p>
      <w:pPr>
        <w:pStyle w:val="6"/>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2、投标供应商有合同融资意向的，请登录鹤壁市政府采购网进行融资意向登记，或者在“通知公告”栏目中查询线下合同融资渠道及联系方式。</w:t>
      </w:r>
    </w:p>
    <w:p>
      <w:pPr>
        <w:pStyle w:val="6"/>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3、本项目使用鹤壁市政府采购交易系统进行业务办理，供应商须先完成办理 CA 数字证书办理， 并在鹤壁市公共资源交易服务平台“下载中心”查看相关说明。各潜在供应商请关注交易中心网站通知“关于启用河南省市场主体CA 互认助手和河南省市场主体共享系统的通知”，持有信安CA数字证书的，请尽快按要求办理相关事宜，以免影响投标。</w:t>
      </w:r>
    </w:p>
    <w:p>
      <w:pPr>
        <w:pStyle w:val="6"/>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关于本项目的澄清、补充、修改、疑问答复、延期等情况，均在鹤壁市公共资源交易服务平台网站进行公告，并同时在鹤壁市政府采购交易系统内部生成最新的采购“答疑澄清文件”告知供应商，供应商应自行查阅，随时关注，采购人不再另行通知，且不需要供应商确认，当采购文件的澄清、修改、补充等在同一内容上表述不一致时，以最后发布的内容为准。因鹤壁市政府采购交易系统开标前具有保密性，各潜在供应商在“递交投标文件截止时间”前须自行查看项目进度、疑问答复、澄清、修改等内容，因供应商为及时查看造成的后果由供应商自己承担。远程开标的具体事宜请查阅鹤壁市公共资源交易服务平台“下载中心”专区的相关说明。</w:t>
      </w:r>
    </w:p>
    <w:p>
      <w:pPr>
        <w:pStyle w:val="6"/>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szCs w:val="21"/>
          <w:highlight w:val="none"/>
        </w:rPr>
      </w:pPr>
      <w:r>
        <w:rPr>
          <w:rFonts w:hint="eastAsia" w:ascii="宋体" w:hAnsi="宋体" w:eastAsia="宋体" w:cs="宋体"/>
          <w:highlight w:val="none"/>
          <w:lang w:val="en-US" w:eastAsia="zh-CN"/>
        </w:rPr>
        <w:t>5、投标人根据自身互联网网速和稳定性、网络及系统平台可能存在的非正常情况等多种因素，尽量提前上传电子投标文件，并确保加密电子投标文件上传成功。供应商未在规定时间提交或解密投标文件的，其投标文件采购人将拒绝接收。</w:t>
      </w:r>
    </w:p>
    <w:p>
      <w:pPr>
        <w:keepNext w:val="0"/>
        <w:keepLines w:val="0"/>
        <w:pageBreakBefore w:val="0"/>
        <w:widowControl w:val="0"/>
        <w:kinsoku/>
        <w:wordWrap/>
        <w:overflowPunct/>
        <w:topLinePunct w:val="0"/>
        <w:bidi w:val="0"/>
        <w:adjustRightInd w:val="0"/>
        <w:snapToGrid w:val="0"/>
        <w:spacing w:line="46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八、</w:t>
      </w:r>
      <w:bookmarkEnd w:id="2"/>
      <w:r>
        <w:rPr>
          <w:rFonts w:hint="eastAsia" w:ascii="宋体" w:hAnsi="宋体" w:eastAsia="宋体" w:cs="宋体"/>
          <w:szCs w:val="21"/>
          <w:highlight w:val="none"/>
        </w:rPr>
        <w:t xml:space="preserve"> 对本次招标提出询问，请按以下方式联系。</w:t>
      </w:r>
    </w:p>
    <w:p>
      <w:pPr>
        <w:pStyle w:val="6"/>
        <w:keepNext w:val="0"/>
        <w:keepLines w:val="0"/>
        <w:pageBreakBefore w:val="0"/>
        <w:widowControl w:val="0"/>
        <w:kinsoku/>
        <w:wordWrap/>
        <w:overflowPunct/>
        <w:topLinePunct w:val="0"/>
        <w:bidi w:val="0"/>
        <w:spacing w:line="460" w:lineRule="exact"/>
        <w:ind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1.采购人信息</w:t>
      </w:r>
    </w:p>
    <w:p>
      <w:pPr>
        <w:pStyle w:val="6"/>
        <w:keepNext w:val="0"/>
        <w:keepLines w:val="0"/>
        <w:pageBreakBefore w:val="0"/>
        <w:widowControl w:val="0"/>
        <w:kinsoku/>
        <w:wordWrap/>
        <w:overflowPunct/>
        <w:topLinePunct w:val="0"/>
        <w:bidi w:val="0"/>
        <w:spacing w:line="460" w:lineRule="exact"/>
        <w:ind w:firstLine="630" w:firstLineChars="3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采购人：</w:t>
      </w:r>
      <w:r>
        <w:rPr>
          <w:rFonts w:hint="eastAsia" w:ascii="宋体" w:hAnsi="宋体" w:cs="宋体"/>
          <w:szCs w:val="21"/>
          <w:highlight w:val="none"/>
          <w:lang w:val="en-US" w:eastAsia="zh-CN"/>
        </w:rPr>
        <w:t>鹤壁市淇滨中学</w:t>
      </w:r>
    </w:p>
    <w:p>
      <w:pPr>
        <w:pStyle w:val="6"/>
        <w:keepNext w:val="0"/>
        <w:keepLines w:val="0"/>
        <w:pageBreakBefore w:val="0"/>
        <w:widowControl w:val="0"/>
        <w:kinsoku/>
        <w:wordWrap/>
        <w:overflowPunct/>
        <w:topLinePunct w:val="0"/>
        <w:bidi w:val="0"/>
        <w:spacing w:line="460" w:lineRule="exact"/>
        <w:ind w:firstLine="630" w:firstLineChars="3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地  址：鹤壁市淇滨区淮河路中段</w:t>
      </w:r>
    </w:p>
    <w:p>
      <w:pPr>
        <w:pStyle w:val="6"/>
        <w:keepNext w:val="0"/>
        <w:keepLines w:val="0"/>
        <w:pageBreakBefore w:val="0"/>
        <w:widowControl w:val="0"/>
        <w:kinsoku/>
        <w:wordWrap/>
        <w:overflowPunct/>
        <w:topLinePunct w:val="0"/>
        <w:bidi w:val="0"/>
        <w:spacing w:line="460" w:lineRule="exact"/>
        <w:ind w:firstLine="630" w:firstLineChars="3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联系人：</w:t>
      </w:r>
      <w:r>
        <w:rPr>
          <w:rFonts w:hint="eastAsia" w:ascii="宋体" w:hAnsi="宋体" w:cs="宋体"/>
          <w:szCs w:val="21"/>
          <w:highlight w:val="none"/>
          <w:lang w:val="en-US" w:eastAsia="zh-CN"/>
        </w:rPr>
        <w:t>游先生</w:t>
      </w:r>
    </w:p>
    <w:p>
      <w:pPr>
        <w:pStyle w:val="6"/>
        <w:keepNext w:val="0"/>
        <w:keepLines w:val="0"/>
        <w:pageBreakBefore w:val="0"/>
        <w:widowControl w:val="0"/>
        <w:kinsoku/>
        <w:wordWrap/>
        <w:overflowPunct/>
        <w:topLinePunct w:val="0"/>
        <w:bidi w:val="0"/>
        <w:spacing w:line="460" w:lineRule="exact"/>
        <w:ind w:firstLine="630" w:firstLineChars="3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联系电话：</w:t>
      </w:r>
      <w:r>
        <w:rPr>
          <w:rFonts w:hint="eastAsia" w:ascii="宋体" w:hAnsi="宋体" w:cs="宋体"/>
          <w:szCs w:val="21"/>
          <w:highlight w:val="none"/>
          <w:lang w:val="en-US" w:eastAsia="zh-CN"/>
        </w:rPr>
        <w:t>0392-3352781</w:t>
      </w:r>
    </w:p>
    <w:p>
      <w:pPr>
        <w:pStyle w:val="6"/>
        <w:keepNext w:val="0"/>
        <w:keepLines w:val="0"/>
        <w:pageBreakBefore w:val="0"/>
        <w:widowControl w:val="0"/>
        <w:kinsoku/>
        <w:wordWrap/>
        <w:overflowPunct/>
        <w:topLinePunct w:val="0"/>
        <w:bidi w:val="0"/>
        <w:spacing w:line="460" w:lineRule="exact"/>
        <w:ind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2.采购代理机构信息</w:t>
      </w:r>
    </w:p>
    <w:p>
      <w:pPr>
        <w:pStyle w:val="6"/>
        <w:keepNext w:val="0"/>
        <w:keepLines w:val="0"/>
        <w:pageBreakBefore w:val="0"/>
        <w:widowControl w:val="0"/>
        <w:kinsoku/>
        <w:wordWrap/>
        <w:overflowPunct/>
        <w:topLinePunct w:val="0"/>
        <w:bidi w:val="0"/>
        <w:spacing w:line="460" w:lineRule="exact"/>
        <w:ind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采购代理机构：</w:t>
      </w:r>
      <w:r>
        <w:rPr>
          <w:rFonts w:hint="eastAsia" w:ascii="宋体" w:hAnsi="宋体" w:eastAsia="宋体" w:cs="宋体"/>
          <w:szCs w:val="21"/>
          <w:highlight w:val="none"/>
          <w:lang w:val="en-US" w:eastAsia="zh-CN"/>
        </w:rPr>
        <w:t xml:space="preserve">中大宇辰项目管理有限公司 </w:t>
      </w:r>
    </w:p>
    <w:p>
      <w:pPr>
        <w:pStyle w:val="6"/>
        <w:keepNext w:val="0"/>
        <w:keepLines w:val="0"/>
        <w:pageBreakBefore w:val="0"/>
        <w:widowControl w:val="0"/>
        <w:kinsoku/>
        <w:wordWrap/>
        <w:overflowPunct/>
        <w:topLinePunct w:val="0"/>
        <w:bidi w:val="0"/>
        <w:spacing w:line="460" w:lineRule="exact"/>
        <w:ind w:firstLine="630" w:firstLineChars="3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地  址：</w:t>
      </w:r>
      <w:r>
        <w:rPr>
          <w:rFonts w:hint="eastAsia" w:ascii="宋体" w:hAnsi="宋体" w:eastAsia="宋体" w:cs="宋体"/>
          <w:szCs w:val="21"/>
          <w:highlight w:val="none"/>
          <w:lang w:val="en-US" w:eastAsia="zh-CN"/>
        </w:rPr>
        <w:t>鹤壁市淇滨区太行路与九州路交叉口鹏森建设大厦529室</w:t>
      </w:r>
    </w:p>
    <w:p>
      <w:pPr>
        <w:pStyle w:val="6"/>
        <w:keepNext w:val="0"/>
        <w:keepLines w:val="0"/>
        <w:pageBreakBefore w:val="0"/>
        <w:widowControl w:val="0"/>
        <w:kinsoku/>
        <w:wordWrap/>
        <w:overflowPunct/>
        <w:topLinePunct w:val="0"/>
        <w:bidi w:val="0"/>
        <w:spacing w:line="460" w:lineRule="exact"/>
        <w:ind w:firstLine="630" w:firstLineChars="3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张女士</w:t>
      </w:r>
    </w:p>
    <w:p>
      <w:pPr>
        <w:pStyle w:val="6"/>
        <w:keepNext w:val="0"/>
        <w:keepLines w:val="0"/>
        <w:pageBreakBefore w:val="0"/>
        <w:widowControl w:val="0"/>
        <w:kinsoku/>
        <w:wordWrap/>
        <w:overflowPunct/>
        <w:topLinePunct w:val="0"/>
        <w:bidi w:val="0"/>
        <w:spacing w:line="460" w:lineRule="exact"/>
        <w:ind w:firstLine="630" w:firstLineChars="3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联系电话：</w:t>
      </w:r>
      <w:r>
        <w:rPr>
          <w:rFonts w:hint="eastAsia" w:ascii="宋体" w:hAnsi="宋体" w:eastAsia="宋体" w:cs="宋体"/>
          <w:szCs w:val="21"/>
          <w:highlight w:val="none"/>
          <w:lang w:val="en-US" w:eastAsia="zh-CN"/>
        </w:rPr>
        <w:t>18839295558</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480" w:leftChars="0" w:firstLine="210" w:firstLineChars="1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480" w:leftChars="0"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项目联系人：</w:t>
      </w:r>
      <w:r>
        <w:rPr>
          <w:rFonts w:hint="eastAsia" w:ascii="宋体" w:hAnsi="宋体" w:eastAsia="宋体" w:cs="宋体"/>
          <w:color w:val="auto"/>
          <w:highlight w:val="none"/>
        </w:rPr>
        <w:t>张女士</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480" w:leftChars="0" w:firstLine="210" w:firstLineChars="100"/>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rPr>
        <w:t>18839295558</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480" w:leftChars="0" w:firstLine="210" w:firstLineChars="100"/>
        <w:textAlignment w:val="auto"/>
        <w:rPr>
          <w:rFonts w:hint="eastAsia" w:ascii="宋体" w:hAnsi="宋体" w:eastAsia="宋体" w:cs="宋体"/>
          <w:color w:val="auto"/>
          <w:highlight w:val="none"/>
          <w:lang w:val="en-US"/>
        </w:rPr>
      </w:pP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480" w:leftChars="0" w:firstLine="210" w:firstLineChars="100"/>
        <w:textAlignment w:val="auto"/>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yellow"/>
          <w:lang w:val="en-US" w:eastAsia="zh-CN"/>
        </w:rPr>
        <w:t xml:space="preserve">  2023年</w:t>
      </w:r>
      <w:r>
        <w:rPr>
          <w:rFonts w:hint="eastAsia" w:ascii="宋体" w:hAnsi="宋体" w:cs="宋体"/>
          <w:szCs w:val="21"/>
          <w:highlight w:val="yellow"/>
          <w:lang w:val="en-US" w:eastAsia="zh-CN"/>
        </w:rPr>
        <w:t xml:space="preserve"> 9</w:t>
      </w:r>
      <w:r>
        <w:rPr>
          <w:rFonts w:hint="eastAsia" w:ascii="宋体" w:hAnsi="宋体" w:eastAsia="宋体" w:cs="宋体"/>
          <w:szCs w:val="21"/>
          <w:highlight w:val="yellow"/>
          <w:lang w:val="en-US" w:eastAsia="zh-CN"/>
        </w:rPr>
        <w:t>月</w:t>
      </w:r>
      <w:r>
        <w:rPr>
          <w:rFonts w:hint="eastAsia" w:ascii="宋体" w:hAnsi="宋体" w:cs="宋体"/>
          <w:szCs w:val="21"/>
          <w:highlight w:val="yellow"/>
          <w:lang w:val="en-US" w:eastAsia="zh-CN"/>
        </w:rPr>
        <w:t xml:space="preserve">   </w:t>
      </w:r>
      <w:r>
        <w:rPr>
          <w:rFonts w:hint="eastAsia" w:ascii="宋体" w:hAnsi="宋体" w:eastAsia="宋体" w:cs="宋体"/>
          <w:szCs w:val="21"/>
          <w:highlight w:val="yellow"/>
          <w:lang w:val="en-US" w:eastAsia="zh-CN"/>
        </w:rPr>
        <w:t>日</w:t>
      </w:r>
    </w:p>
    <w:p>
      <w:pPr>
        <w:pStyle w:val="6"/>
        <w:keepNext w:val="0"/>
        <w:keepLines w:val="0"/>
        <w:pageBreakBefore w:val="0"/>
        <w:widowControl w:val="0"/>
        <w:kinsoku/>
        <w:wordWrap/>
        <w:overflowPunct/>
        <w:topLinePunct w:val="0"/>
        <w:bidi w:val="0"/>
        <w:spacing w:line="460" w:lineRule="exact"/>
        <w:ind w:firstLine="630" w:firstLineChars="300"/>
        <w:textAlignment w:val="auto"/>
        <w:rPr>
          <w:rFonts w:hint="eastAsia" w:ascii="宋体" w:hAnsi="宋体" w:eastAsia="宋体" w:cs="宋体"/>
          <w:highlight w:val="none"/>
        </w:rPr>
      </w:pPr>
    </w:p>
    <w:p>
      <w:pPr>
        <w:pStyle w:val="7"/>
        <w:rPr>
          <w:rFonts w:hint="eastAsia" w:ascii="宋体" w:hAnsi="宋体" w:eastAsia="宋体" w:cs="宋体"/>
          <w:highlight w:val="none"/>
        </w:rPr>
      </w:pPr>
    </w:p>
    <w:p>
      <w:pPr>
        <w:pStyle w:val="7"/>
        <w:ind w:left="0" w:leftChars="0" w:firstLine="0" w:firstLineChars="0"/>
        <w:rPr>
          <w:rFonts w:hint="eastAsia" w:ascii="宋体" w:hAnsi="宋体" w:eastAsia="宋体" w:cs="宋体"/>
          <w:highlight w:val="none"/>
        </w:rPr>
      </w:pPr>
    </w:p>
    <w:p>
      <w:pPr>
        <w:adjustRightInd w:val="0"/>
        <w:snapToGrid w:val="0"/>
        <w:spacing w:line="400" w:lineRule="atLeast"/>
        <w:jc w:val="center"/>
        <w:outlineLvl w:val="0"/>
        <w:rPr>
          <w:rFonts w:hint="eastAsia" w:ascii="宋体" w:hAnsi="宋体" w:eastAsia="宋体" w:cs="宋体"/>
          <w:sz w:val="32"/>
          <w:szCs w:val="32"/>
          <w:highlight w:val="none"/>
        </w:rPr>
      </w:pPr>
      <w:bookmarkStart w:id="4" w:name="_Toc4190"/>
      <w:r>
        <w:rPr>
          <w:rFonts w:hint="eastAsia" w:ascii="宋体" w:hAnsi="宋体" w:eastAsia="宋体" w:cs="宋体"/>
          <w:b/>
          <w:kern w:val="0"/>
          <w:sz w:val="32"/>
          <w:szCs w:val="32"/>
          <w:highlight w:val="none"/>
        </w:rPr>
        <w:br w:type="page"/>
      </w:r>
      <w:r>
        <w:rPr>
          <w:rFonts w:hint="eastAsia" w:ascii="宋体" w:hAnsi="宋体" w:eastAsia="宋体" w:cs="宋体"/>
          <w:b/>
          <w:kern w:val="0"/>
          <w:sz w:val="32"/>
          <w:szCs w:val="32"/>
          <w:highlight w:val="none"/>
        </w:rPr>
        <w:t>第二章  竞争性磋商须知</w:t>
      </w:r>
      <w:bookmarkEnd w:id="4"/>
    </w:p>
    <w:p>
      <w:pPr>
        <w:adjustRightInd w:val="0"/>
        <w:snapToGrid w:val="0"/>
        <w:spacing w:line="520" w:lineRule="atLeast"/>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竞争性磋商须知前附表</w:t>
      </w:r>
    </w:p>
    <w:tbl>
      <w:tblPr>
        <w:tblStyle w:val="16"/>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006"/>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44" w:type="dxa"/>
            <w:noWrap w:val="0"/>
            <w:vAlign w:val="center"/>
          </w:tcPr>
          <w:p>
            <w:pPr>
              <w:tabs>
                <w:tab w:val="left" w:pos="480"/>
              </w:tabs>
              <w:adjustRightInd w:val="0"/>
              <w:snapToGrid w:val="0"/>
              <w:spacing w:line="36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项号</w:t>
            </w:r>
          </w:p>
        </w:tc>
        <w:tc>
          <w:tcPr>
            <w:tcW w:w="2006" w:type="dxa"/>
            <w:noWrap w:val="0"/>
            <w:vAlign w:val="center"/>
          </w:tcPr>
          <w:p>
            <w:pPr>
              <w:tabs>
                <w:tab w:val="left" w:pos="480"/>
              </w:tabs>
              <w:adjustRightInd w:val="0"/>
              <w:snapToGrid w:val="0"/>
              <w:spacing w:line="36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内  容</w:t>
            </w:r>
          </w:p>
        </w:tc>
        <w:tc>
          <w:tcPr>
            <w:tcW w:w="5901" w:type="dxa"/>
            <w:noWrap w:val="0"/>
            <w:vAlign w:val="center"/>
          </w:tcPr>
          <w:p>
            <w:pPr>
              <w:tabs>
                <w:tab w:val="left" w:pos="3675"/>
              </w:tabs>
              <w:adjustRightInd w:val="0"/>
              <w:snapToGrid w:val="0"/>
              <w:spacing w:line="36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说 明 与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944" w:type="dxa"/>
            <w:noWrap w:val="0"/>
            <w:vAlign w:val="center"/>
          </w:tcPr>
          <w:p>
            <w:pPr>
              <w:tabs>
                <w:tab w:val="left" w:pos="480"/>
              </w:tabs>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1.1.2</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5901" w:type="dxa"/>
            <w:noWrap w:val="0"/>
            <w:vAlign w:val="center"/>
          </w:tcPr>
          <w:p>
            <w:pPr>
              <w:keepNext w:val="0"/>
              <w:pageBreakBefore w:val="0"/>
              <w:kinsoku/>
              <w:wordWrap/>
              <w:overflowPunct/>
              <w:topLinePunct w:val="0"/>
              <w:autoSpaceDE/>
              <w:autoSpaceDN/>
              <w:bidi w:val="0"/>
              <w:adjustRightInd w:val="0"/>
              <w:snapToGrid w:val="0"/>
              <w:spacing w:line="360" w:lineRule="auto"/>
              <w:jc w:val="both"/>
              <w:textAlignment w:val="auto"/>
              <w:rPr>
                <w:rStyle w:val="35"/>
                <w:rFonts w:hint="eastAsia" w:ascii="宋体" w:hAnsi="宋体" w:eastAsia="宋体" w:cs="宋体"/>
                <w:kern w:val="2"/>
                <w:sz w:val="21"/>
                <w:szCs w:val="21"/>
                <w:highlight w:val="none"/>
                <w:lang w:val="en-US" w:eastAsia="zh-CN" w:bidi="ar-SA"/>
              </w:rPr>
            </w:pPr>
            <w:r>
              <w:rPr>
                <w:rStyle w:val="35"/>
                <w:rFonts w:hint="eastAsia" w:ascii="宋体" w:hAnsi="宋体" w:eastAsia="宋体" w:cs="宋体"/>
                <w:color w:val="000000"/>
                <w:kern w:val="2"/>
                <w:sz w:val="21"/>
                <w:szCs w:val="21"/>
                <w:highlight w:val="none"/>
                <w:lang w:val="en-US" w:eastAsia="zh-CN" w:bidi="ar-SA"/>
              </w:rPr>
              <w:t>名    称：</w:t>
            </w:r>
            <w:r>
              <w:rPr>
                <w:rStyle w:val="35"/>
                <w:rFonts w:hint="eastAsia" w:ascii="宋体" w:hAnsi="宋体" w:cs="宋体"/>
                <w:kern w:val="2"/>
                <w:sz w:val="21"/>
                <w:szCs w:val="21"/>
                <w:highlight w:val="none"/>
                <w:lang w:val="en-US" w:eastAsia="zh-CN" w:bidi="ar-SA"/>
              </w:rPr>
              <w:t>鹤壁市淇滨中学</w:t>
            </w:r>
          </w:p>
          <w:p>
            <w:pPr>
              <w:keepNext w:val="0"/>
              <w:pageBreakBefore w:val="0"/>
              <w:kinsoku/>
              <w:wordWrap/>
              <w:overflowPunct/>
              <w:topLinePunct w:val="0"/>
              <w:autoSpaceDE/>
              <w:autoSpaceDN/>
              <w:bidi w:val="0"/>
              <w:adjustRightInd w:val="0"/>
              <w:snapToGrid w:val="0"/>
              <w:spacing w:line="360" w:lineRule="auto"/>
              <w:jc w:val="both"/>
              <w:textAlignment w:val="auto"/>
              <w:rPr>
                <w:rStyle w:val="35"/>
                <w:rFonts w:hint="eastAsia" w:ascii="宋体" w:hAnsi="宋体" w:eastAsia="宋体" w:cs="宋体"/>
                <w:kern w:val="2"/>
                <w:sz w:val="21"/>
                <w:szCs w:val="21"/>
                <w:highlight w:val="none"/>
                <w:lang w:val="en-US" w:eastAsia="zh-CN" w:bidi="ar-SA"/>
              </w:rPr>
            </w:pPr>
            <w:r>
              <w:rPr>
                <w:rStyle w:val="35"/>
                <w:rFonts w:hint="eastAsia" w:ascii="宋体" w:hAnsi="宋体" w:eastAsia="宋体" w:cs="宋体"/>
                <w:color w:val="000000"/>
                <w:kern w:val="2"/>
                <w:sz w:val="21"/>
                <w:szCs w:val="21"/>
                <w:highlight w:val="none"/>
                <w:lang w:val="en-US" w:eastAsia="zh-CN" w:bidi="ar-SA"/>
              </w:rPr>
              <w:t>地    址：</w:t>
            </w:r>
            <w:r>
              <w:rPr>
                <w:rFonts w:hint="eastAsia" w:ascii="宋体" w:hAnsi="宋体" w:eastAsia="宋体" w:cs="宋体"/>
                <w:szCs w:val="21"/>
                <w:highlight w:val="none"/>
                <w:lang w:val="en-US" w:eastAsia="zh-CN"/>
              </w:rPr>
              <w:t>鹤壁市淇滨区淮河路中段</w:t>
            </w:r>
          </w:p>
          <w:p>
            <w:pPr>
              <w:pStyle w:val="6"/>
              <w:keepNext w:val="0"/>
              <w:keepLines w:val="0"/>
              <w:pageBreakBefore w:val="0"/>
              <w:widowControl w:val="0"/>
              <w:kinsoku/>
              <w:wordWrap/>
              <w:overflowPunct/>
              <w:topLinePunct w:val="0"/>
              <w:bidi w:val="0"/>
              <w:spacing w:line="46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联</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系</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 xml:space="preserve">人： </w:t>
            </w:r>
            <w:r>
              <w:rPr>
                <w:rFonts w:hint="eastAsia" w:ascii="宋体" w:hAnsi="宋体" w:cs="宋体"/>
                <w:szCs w:val="21"/>
                <w:highlight w:val="none"/>
                <w:lang w:val="en-US" w:eastAsia="zh-CN"/>
              </w:rPr>
              <w:t>游先生</w:t>
            </w:r>
          </w:p>
          <w:p>
            <w:pPr>
              <w:pStyle w:val="6"/>
              <w:keepNext w:val="0"/>
              <w:keepLines w:val="0"/>
              <w:pageBreakBefore w:val="0"/>
              <w:widowControl w:val="0"/>
              <w:kinsoku/>
              <w:wordWrap/>
              <w:overflowPunct/>
              <w:topLinePunct w:val="0"/>
              <w:bidi w:val="0"/>
              <w:spacing w:line="460" w:lineRule="exact"/>
              <w:ind w:left="0" w:leftChars="0" w:firstLine="0" w:firstLineChars="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联系电话：</w:t>
            </w:r>
            <w:r>
              <w:rPr>
                <w:rFonts w:hint="eastAsia" w:ascii="宋体" w:hAnsi="宋体" w:cs="宋体"/>
                <w:szCs w:val="21"/>
                <w:highlight w:val="none"/>
                <w:lang w:val="en-US" w:eastAsia="zh-CN"/>
              </w:rPr>
              <w:t>0392-3352781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44" w:type="dxa"/>
            <w:noWrap w:val="0"/>
            <w:vAlign w:val="center"/>
          </w:tcPr>
          <w:p>
            <w:pPr>
              <w:tabs>
                <w:tab w:val="left" w:pos="480"/>
              </w:tabs>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1.1.3</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采购代理机构</w:t>
            </w:r>
          </w:p>
        </w:tc>
        <w:tc>
          <w:tcPr>
            <w:tcW w:w="5901" w:type="dxa"/>
            <w:noWrap w:val="0"/>
            <w:vAlign w:val="center"/>
          </w:tcPr>
          <w:p>
            <w:pPr>
              <w:keepNext w:val="0"/>
              <w:pageBreakBefore w:val="0"/>
              <w:kinsoku/>
              <w:wordWrap/>
              <w:overflowPunct/>
              <w:topLinePunct w:val="0"/>
              <w:autoSpaceDE/>
              <w:autoSpaceDN/>
              <w:bidi w:val="0"/>
              <w:adjustRightInd w:val="0"/>
              <w:snapToGrid w:val="0"/>
              <w:spacing w:line="360" w:lineRule="auto"/>
              <w:jc w:val="left"/>
              <w:textAlignment w:val="auto"/>
              <w:rPr>
                <w:rStyle w:val="35"/>
                <w:rFonts w:hint="eastAsia" w:ascii="宋体" w:hAnsi="宋体" w:eastAsia="宋体" w:cs="宋体"/>
                <w:color w:val="000000"/>
                <w:kern w:val="2"/>
                <w:sz w:val="21"/>
                <w:szCs w:val="21"/>
                <w:highlight w:val="none"/>
                <w:lang w:val="en-US" w:eastAsia="zh-CN" w:bidi="ar-SA"/>
              </w:rPr>
            </w:pPr>
            <w:r>
              <w:rPr>
                <w:rStyle w:val="35"/>
                <w:rFonts w:hint="eastAsia" w:ascii="宋体" w:hAnsi="宋体" w:eastAsia="宋体" w:cs="宋体"/>
                <w:color w:val="000000"/>
                <w:kern w:val="2"/>
                <w:sz w:val="21"/>
                <w:szCs w:val="21"/>
                <w:highlight w:val="none"/>
                <w:lang w:val="en-US" w:eastAsia="zh-CN" w:bidi="ar-SA"/>
              </w:rPr>
              <w:t xml:space="preserve">名    称：中大宇辰项目管理有限公司 </w:t>
            </w:r>
          </w:p>
          <w:p>
            <w:pPr>
              <w:keepNext w:val="0"/>
              <w:pageBreakBefore w:val="0"/>
              <w:kinsoku/>
              <w:wordWrap/>
              <w:overflowPunct/>
              <w:topLinePunct w:val="0"/>
              <w:autoSpaceDE/>
              <w:autoSpaceDN/>
              <w:bidi w:val="0"/>
              <w:adjustRightInd w:val="0"/>
              <w:snapToGrid w:val="0"/>
              <w:spacing w:line="360" w:lineRule="auto"/>
              <w:jc w:val="left"/>
              <w:textAlignment w:val="auto"/>
              <w:rPr>
                <w:rStyle w:val="35"/>
                <w:rFonts w:hint="eastAsia" w:ascii="宋体" w:hAnsi="宋体" w:eastAsia="宋体" w:cs="宋体"/>
                <w:color w:val="000000"/>
                <w:kern w:val="2"/>
                <w:sz w:val="21"/>
                <w:szCs w:val="21"/>
                <w:highlight w:val="none"/>
                <w:lang w:val="en-US" w:eastAsia="zh-CN" w:bidi="ar-SA"/>
              </w:rPr>
            </w:pPr>
            <w:r>
              <w:rPr>
                <w:rStyle w:val="35"/>
                <w:rFonts w:hint="eastAsia" w:ascii="宋体" w:hAnsi="宋体" w:eastAsia="宋体" w:cs="宋体"/>
                <w:color w:val="000000"/>
                <w:kern w:val="2"/>
                <w:sz w:val="21"/>
                <w:szCs w:val="21"/>
                <w:highlight w:val="none"/>
                <w:lang w:val="en-US" w:eastAsia="zh-CN" w:bidi="ar-SA"/>
              </w:rPr>
              <w:t>地    址：鹤壁市淇滨区太行路与九州路交叉口鹏森建设大厦529室</w:t>
            </w:r>
          </w:p>
          <w:p>
            <w:pPr>
              <w:keepNext w:val="0"/>
              <w:pageBreakBefore w:val="0"/>
              <w:kinsoku/>
              <w:wordWrap/>
              <w:overflowPunct/>
              <w:topLinePunct w:val="0"/>
              <w:autoSpaceDE/>
              <w:autoSpaceDN/>
              <w:bidi w:val="0"/>
              <w:adjustRightInd w:val="0"/>
              <w:snapToGrid w:val="0"/>
              <w:spacing w:line="360" w:lineRule="auto"/>
              <w:jc w:val="left"/>
              <w:textAlignment w:val="auto"/>
              <w:rPr>
                <w:rStyle w:val="35"/>
                <w:rFonts w:hint="eastAsia" w:ascii="宋体" w:hAnsi="宋体" w:eastAsia="宋体" w:cs="宋体"/>
                <w:color w:val="000000"/>
                <w:kern w:val="2"/>
                <w:sz w:val="21"/>
                <w:szCs w:val="21"/>
                <w:highlight w:val="none"/>
                <w:lang w:val="en-US" w:eastAsia="zh-CN" w:bidi="ar-SA"/>
              </w:rPr>
            </w:pPr>
            <w:r>
              <w:rPr>
                <w:rStyle w:val="35"/>
                <w:rFonts w:hint="eastAsia" w:ascii="宋体" w:hAnsi="宋体" w:eastAsia="宋体" w:cs="宋体"/>
                <w:color w:val="000000"/>
                <w:kern w:val="2"/>
                <w:sz w:val="21"/>
                <w:szCs w:val="21"/>
                <w:highlight w:val="none"/>
                <w:lang w:val="en-US" w:eastAsia="zh-CN" w:bidi="ar-SA"/>
              </w:rPr>
              <w:t>联 系 人：张女士</w:t>
            </w:r>
          </w:p>
          <w:p>
            <w:pPr>
              <w:keepNext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val="en-US"/>
              </w:rPr>
            </w:pPr>
            <w:r>
              <w:rPr>
                <w:rStyle w:val="35"/>
                <w:rFonts w:hint="eastAsia" w:ascii="宋体" w:hAnsi="宋体" w:eastAsia="宋体" w:cs="宋体"/>
                <w:color w:val="000000"/>
                <w:kern w:val="2"/>
                <w:sz w:val="21"/>
                <w:szCs w:val="21"/>
                <w:highlight w:val="none"/>
                <w:lang w:val="en-US" w:eastAsia="zh-CN" w:bidi="ar-SA"/>
              </w:rPr>
              <w:t>电    话：18839295558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1.1.4</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5901" w:type="dxa"/>
            <w:noWrap w:val="0"/>
            <w:vAlign w:val="center"/>
          </w:tcPr>
          <w:p>
            <w:pPr>
              <w:keepNext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2"/>
                <w:sz w:val="21"/>
                <w:szCs w:val="21"/>
                <w:highlight w:val="none"/>
                <w:lang w:val="en-US" w:eastAsia="zh-CN" w:bidi="ar-SA"/>
              </w:rPr>
            </w:pPr>
            <w:r>
              <w:rPr>
                <w:rStyle w:val="35"/>
                <w:rFonts w:hint="eastAsia" w:ascii="宋体" w:hAnsi="宋体" w:cs="宋体"/>
                <w:kern w:val="2"/>
                <w:sz w:val="21"/>
                <w:szCs w:val="21"/>
                <w:highlight w:val="none"/>
                <w:lang w:val="en-US" w:eastAsia="zh-CN" w:bidi="ar-SA"/>
              </w:rPr>
              <w:t>鹤壁市淇滨中学操场维修改造项目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1.1.5</w:t>
            </w:r>
          </w:p>
        </w:tc>
        <w:tc>
          <w:tcPr>
            <w:tcW w:w="2006" w:type="dxa"/>
            <w:noWrap w:val="0"/>
            <w:vAlign w:val="center"/>
          </w:tcPr>
          <w:p>
            <w:pPr>
              <w:tabs>
                <w:tab w:val="left" w:pos="675"/>
              </w:tabs>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项目概况</w:t>
            </w:r>
          </w:p>
        </w:tc>
        <w:tc>
          <w:tcPr>
            <w:tcW w:w="5901" w:type="dxa"/>
            <w:noWrap w:val="0"/>
            <w:vAlign w:val="center"/>
          </w:tcPr>
          <w:p>
            <w:pPr>
              <w:keepNext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2"/>
                <w:sz w:val="21"/>
                <w:szCs w:val="21"/>
                <w:highlight w:val="none"/>
                <w:lang w:val="en-US" w:eastAsia="zh-CN" w:bidi="ar-SA"/>
              </w:rPr>
            </w:pPr>
            <w:r>
              <w:rPr>
                <w:rStyle w:val="35"/>
                <w:rFonts w:hint="eastAsia" w:ascii="宋体" w:hAnsi="宋体" w:eastAsia="宋体" w:cs="宋体"/>
                <w:kern w:val="2"/>
                <w:sz w:val="21"/>
                <w:szCs w:val="21"/>
                <w:highlight w:val="none"/>
                <w:lang w:val="en-US" w:eastAsia="zh-CN" w:bidi="ar-SA"/>
              </w:rPr>
              <w:t>本工程主要内容为</w:t>
            </w:r>
            <w:r>
              <w:rPr>
                <w:rStyle w:val="35"/>
                <w:rFonts w:hint="eastAsia" w:ascii="宋体" w:hAnsi="宋体" w:cs="宋体"/>
                <w:kern w:val="2"/>
                <w:sz w:val="21"/>
                <w:szCs w:val="21"/>
                <w:highlight w:val="none"/>
                <w:lang w:val="en-US" w:eastAsia="zh-CN" w:bidi="ar-SA"/>
              </w:rPr>
              <w:t>鹤壁市淇滨中学操场维修改造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1.1.6</w:t>
            </w:r>
          </w:p>
        </w:tc>
        <w:tc>
          <w:tcPr>
            <w:tcW w:w="2006" w:type="dxa"/>
            <w:noWrap w:val="0"/>
            <w:vAlign w:val="center"/>
          </w:tcPr>
          <w:p>
            <w:pPr>
              <w:tabs>
                <w:tab w:val="left" w:pos="945"/>
              </w:tabs>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资金来源</w:t>
            </w:r>
          </w:p>
        </w:tc>
        <w:tc>
          <w:tcPr>
            <w:tcW w:w="5901" w:type="dxa"/>
            <w:noWrap w:val="0"/>
            <w:vAlign w:val="center"/>
          </w:tcPr>
          <w:p>
            <w:pPr>
              <w:keepNext w:val="0"/>
              <w:keepLines w:val="0"/>
              <w:pageBreakBefore w:val="0"/>
              <w:widowControl w:val="0"/>
              <w:kinsoku/>
              <w:wordWrap/>
              <w:overflowPunct/>
              <w:topLinePunct w:val="0"/>
              <w:bidi w:val="0"/>
              <w:adjustRightInd w:val="0"/>
              <w:snapToGrid w:val="0"/>
              <w:spacing w:line="460" w:lineRule="exact"/>
              <w:jc w:val="left"/>
              <w:textAlignment w:val="auto"/>
              <w:rPr>
                <w:rFonts w:hint="eastAsia" w:ascii="宋体" w:hAnsi="宋体" w:eastAsia="宋体" w:cs="宋体"/>
                <w:szCs w:val="21"/>
                <w:highlight w:val="none"/>
                <w:lang w:eastAsia="zh-CN"/>
              </w:rPr>
            </w:pPr>
            <w:r>
              <w:rPr>
                <w:rFonts w:hint="eastAsia" w:ascii="宋体" w:hAnsi="宋体" w:cs="宋体"/>
                <w:bCs/>
                <w:sz w:val="21"/>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44" w:type="dxa"/>
            <w:shd w:val="clear" w:color="auto" w:fill="auto"/>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1.1.7</w:t>
            </w:r>
          </w:p>
        </w:tc>
        <w:tc>
          <w:tcPr>
            <w:tcW w:w="2006" w:type="dxa"/>
            <w:shd w:val="clear" w:color="auto" w:fill="auto"/>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工   期</w:t>
            </w:r>
          </w:p>
        </w:tc>
        <w:tc>
          <w:tcPr>
            <w:tcW w:w="5901" w:type="dxa"/>
            <w:shd w:val="clear" w:color="auto" w:fill="FFFFFF"/>
            <w:noWrap w:val="0"/>
            <w:vAlign w:val="center"/>
          </w:tcPr>
          <w:p>
            <w:pPr>
              <w:adjustRightInd w:val="0"/>
              <w:snapToGrid w:val="0"/>
              <w:spacing w:line="360" w:lineRule="atLeast"/>
              <w:jc w:val="left"/>
              <w:rPr>
                <w:rFonts w:hint="eastAsia" w:ascii="宋体" w:hAnsi="宋体" w:eastAsia="宋体" w:cs="宋体"/>
                <w:snapToGrid w:val="0"/>
                <w:szCs w:val="21"/>
                <w:highlight w:val="none"/>
                <w:lang w:val="en-US" w:eastAsia="zh-CN"/>
              </w:rPr>
            </w:pPr>
            <w:r>
              <w:rPr>
                <w:rFonts w:hint="eastAsia" w:ascii="宋体" w:hAnsi="宋体" w:cs="宋体"/>
                <w:szCs w:val="21"/>
                <w:highlight w:val="none"/>
                <w:lang w:val="en-US" w:eastAsia="zh-CN"/>
              </w:rPr>
              <w:t>30</w:t>
            </w:r>
            <w:r>
              <w:rPr>
                <w:rFonts w:hint="eastAsia" w:ascii="宋体" w:hAnsi="宋体" w:eastAsia="宋体" w:cs="宋体"/>
                <w:szCs w:val="21"/>
                <w:highlight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1.1.8</w:t>
            </w:r>
          </w:p>
        </w:tc>
        <w:tc>
          <w:tcPr>
            <w:tcW w:w="2006" w:type="dxa"/>
            <w:noWrap w:val="0"/>
            <w:vAlign w:val="center"/>
          </w:tcPr>
          <w:p>
            <w:pPr>
              <w:tabs>
                <w:tab w:val="left" w:pos="675"/>
              </w:tabs>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5901" w:type="dxa"/>
            <w:noWrap w:val="0"/>
            <w:vAlign w:val="center"/>
          </w:tcPr>
          <w:p>
            <w:pPr>
              <w:adjustRightInd w:val="0"/>
              <w:snapToGrid w:val="0"/>
              <w:spacing w:line="360" w:lineRule="atLeast"/>
              <w:jc w:val="left"/>
              <w:rPr>
                <w:rFonts w:hint="default" w:ascii="宋体" w:hAnsi="宋体" w:eastAsia="宋体" w:cs="宋体"/>
                <w:kern w:val="0"/>
                <w:szCs w:val="21"/>
                <w:highlight w:val="none"/>
                <w:lang w:val="en-US" w:eastAsia="zh-CN" w:bidi="ar"/>
              </w:rPr>
            </w:pPr>
            <w:r>
              <w:rPr>
                <w:rFonts w:hint="eastAsia" w:ascii="宋体" w:hAnsi="宋体" w:eastAsia="宋体" w:cs="宋体"/>
                <w:snapToGrid w:val="0"/>
                <w:szCs w:val="21"/>
                <w:highlight w:val="none"/>
              </w:rPr>
              <w:t>合格</w:t>
            </w:r>
            <w:r>
              <w:rPr>
                <w:rFonts w:hint="eastAsia" w:ascii="宋体" w:hAnsi="宋体" w:cs="宋体"/>
                <w:snapToGrid w:val="0"/>
                <w:szCs w:val="21"/>
                <w:highlight w:val="none"/>
                <w:lang w:eastAsia="zh-CN"/>
              </w:rPr>
              <w:t>，达到</w:t>
            </w:r>
            <w:r>
              <w:rPr>
                <w:rFonts w:hint="eastAsia" w:ascii="宋体" w:hAnsi="宋体" w:cs="宋体"/>
                <w:snapToGrid w:val="0"/>
                <w:szCs w:val="21"/>
                <w:highlight w:val="none"/>
                <w:lang w:val="en-US" w:eastAsia="zh-CN"/>
              </w:rPr>
              <w:t>2018年新国标的施工验收规范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1.1.9</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采购范围</w:t>
            </w:r>
          </w:p>
        </w:tc>
        <w:tc>
          <w:tcPr>
            <w:tcW w:w="5901" w:type="dxa"/>
            <w:noWrap w:val="0"/>
            <w:vAlign w:val="center"/>
          </w:tcPr>
          <w:p>
            <w:pPr>
              <w:adjustRightInd w:val="0"/>
              <w:snapToGrid w:val="0"/>
              <w:spacing w:line="360" w:lineRule="atLeast"/>
              <w:jc w:val="left"/>
              <w:rPr>
                <w:rFonts w:hint="eastAsia" w:ascii="宋体" w:hAnsi="宋体" w:eastAsia="宋体" w:cs="宋体"/>
                <w:szCs w:val="21"/>
                <w:highlight w:val="none"/>
              </w:rPr>
            </w:pPr>
            <w:r>
              <w:rPr>
                <w:rFonts w:hint="eastAsia" w:ascii="宋体" w:hAnsi="宋体" w:eastAsia="宋体" w:cs="宋体"/>
                <w:bCs/>
                <w:szCs w:val="21"/>
                <w:highlight w:val="none"/>
              </w:rPr>
              <w:t>竞争性磋商文件“第四部分  技术部分</w:t>
            </w:r>
            <w:r>
              <w:rPr>
                <w:rFonts w:hint="eastAsia" w:ascii="宋体" w:hAnsi="宋体" w:cs="宋体"/>
                <w:bCs/>
                <w:szCs w:val="21"/>
                <w:highlight w:val="none"/>
                <w:lang w:eastAsia="zh-CN"/>
              </w:rPr>
              <w:t>标</w:t>
            </w:r>
            <w:r>
              <w:rPr>
                <w:rFonts w:hint="eastAsia" w:ascii="宋体" w:hAnsi="宋体" w:eastAsia="宋体" w:cs="宋体"/>
                <w:bCs/>
                <w:szCs w:val="21"/>
                <w:highlight w:val="none"/>
              </w:rPr>
              <w:t>准和要求”中要求的全部内容；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1.1.10</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磋商有效期</w:t>
            </w:r>
          </w:p>
        </w:tc>
        <w:tc>
          <w:tcPr>
            <w:tcW w:w="5901" w:type="dxa"/>
            <w:noWrap w:val="0"/>
            <w:vAlign w:val="center"/>
          </w:tcPr>
          <w:p>
            <w:pPr>
              <w:adjustRightInd w:val="0"/>
              <w:snapToGrid w:val="0"/>
              <w:spacing w:line="360" w:lineRule="atLeast"/>
              <w:jc w:val="left"/>
              <w:rPr>
                <w:rFonts w:hint="eastAsia" w:ascii="宋体" w:hAnsi="宋体" w:eastAsia="宋体" w:cs="宋体"/>
                <w:szCs w:val="21"/>
                <w:highlight w:val="none"/>
              </w:rPr>
            </w:pPr>
            <w:r>
              <w:rPr>
                <w:rFonts w:hint="eastAsia" w:ascii="宋体" w:hAnsi="宋体" w:eastAsia="宋体" w:cs="宋体"/>
                <w:szCs w:val="21"/>
                <w:highlight w:val="none"/>
              </w:rPr>
              <w:t>自磋商之日起</w:t>
            </w:r>
            <w:r>
              <w:rPr>
                <w:rFonts w:hint="eastAsia" w:ascii="宋体" w:hAnsi="宋体" w:eastAsia="宋体" w:cs="宋体"/>
                <w:szCs w:val="21"/>
                <w:highlight w:val="none"/>
                <w:lang w:val="en-US" w:eastAsia="zh-CN"/>
              </w:rPr>
              <w:t>90</w:t>
            </w:r>
            <w:r>
              <w:rPr>
                <w:rFonts w:hint="eastAsia" w:ascii="宋体" w:hAnsi="宋体" w:eastAsia="宋体" w:cs="宋体"/>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1.1.11</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质保期</w:t>
            </w:r>
          </w:p>
        </w:tc>
        <w:tc>
          <w:tcPr>
            <w:tcW w:w="5901" w:type="dxa"/>
            <w:noWrap w:val="0"/>
            <w:vAlign w:val="center"/>
          </w:tcPr>
          <w:p>
            <w:pPr>
              <w:adjustRightInd w:val="0"/>
              <w:snapToGrid w:val="0"/>
              <w:spacing w:line="360" w:lineRule="atLeas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合格供应商</w:t>
            </w:r>
          </w:p>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条  件</w:t>
            </w:r>
          </w:p>
        </w:tc>
        <w:tc>
          <w:tcPr>
            <w:tcW w:w="5901" w:type="dxa"/>
            <w:noWrap w:val="0"/>
            <w:vAlign w:val="center"/>
          </w:tcPr>
          <w:p>
            <w:pPr>
              <w:shd w:val="clear" w:color="auto" w:fill="FFFFFF"/>
              <w:adjustRightInd w:val="0"/>
              <w:snapToGrid w:val="0"/>
              <w:spacing w:line="360" w:lineRule="exact"/>
              <w:rPr>
                <w:rFonts w:hint="eastAsia" w:ascii="宋体" w:hAnsi="宋体" w:eastAsia="宋体" w:cs="宋体"/>
                <w:szCs w:val="21"/>
                <w:highlight w:val="none"/>
              </w:rPr>
            </w:pPr>
            <w:r>
              <w:rPr>
                <w:rStyle w:val="35"/>
                <w:rFonts w:hint="eastAsia" w:ascii="宋体" w:hAnsi="宋体" w:eastAsia="宋体" w:cs="宋体"/>
                <w:kern w:val="2"/>
                <w:sz w:val="21"/>
                <w:szCs w:val="21"/>
                <w:highlight w:val="none"/>
                <w:lang w:val="en-US" w:eastAsia="zh-CN" w:bidi="ar-SA"/>
              </w:rPr>
              <w:t>详见竞争性磋商公告“二、申请人的资格要求”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竞争性磋商文件</w:t>
            </w:r>
            <w:r>
              <w:rPr>
                <w:rFonts w:hint="eastAsia" w:ascii="宋体" w:hAnsi="宋体" w:eastAsia="宋体" w:cs="宋体"/>
                <w:szCs w:val="21"/>
                <w:highlight w:val="none"/>
                <w:lang w:val="en-US" w:eastAsia="zh-CN"/>
              </w:rPr>
              <w:t>的构成</w:t>
            </w:r>
          </w:p>
        </w:tc>
        <w:tc>
          <w:tcPr>
            <w:tcW w:w="5901" w:type="dxa"/>
            <w:noWrap w:val="0"/>
            <w:vAlign w:val="center"/>
          </w:tcPr>
          <w:p>
            <w:pPr>
              <w:autoSpaceDE w:val="0"/>
              <w:autoSpaceDN w:val="0"/>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zh-CN"/>
              </w:rPr>
              <w:t>竞争性磋商须知、供应商应当提交的资格证明文件、报价要求、响应文件编制要求和竞争性磋商采购项目的合同主要条款及合同签订方式成交方法、成交标准、无效报价条款、附件等。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1.4.1</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资格要求</w:t>
            </w:r>
          </w:p>
        </w:tc>
        <w:tc>
          <w:tcPr>
            <w:tcW w:w="5901" w:type="dxa"/>
            <w:noWrap w:val="0"/>
            <w:vAlign w:val="center"/>
          </w:tcPr>
          <w:p>
            <w:pPr>
              <w:spacing w:before="133" w:line="351" w:lineRule="auto"/>
              <w:ind w:right="2"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1、满足《中华人民共和国政府采购法》第二十二条规定；</w:t>
            </w:r>
            <w:r>
              <w:rPr>
                <w:rFonts w:hint="eastAsia" w:ascii="宋体" w:hAnsi="宋体" w:eastAsia="宋体" w:cs="宋体"/>
                <w:spacing w:val="5"/>
                <w:sz w:val="20"/>
                <w:szCs w:val="20"/>
                <w:highlight w:val="none"/>
              </w:rPr>
              <w:t>(提供资格条件承诺函或</w:t>
            </w:r>
            <w:r>
              <w:rPr>
                <w:rFonts w:hint="eastAsia" w:ascii="宋体" w:hAnsi="宋体" w:eastAsia="宋体" w:cs="宋体"/>
                <w:spacing w:val="11"/>
                <w:sz w:val="20"/>
                <w:szCs w:val="20"/>
                <w:highlight w:val="none"/>
              </w:rPr>
              <w:t>相</w:t>
            </w:r>
            <w:r>
              <w:rPr>
                <w:rFonts w:hint="eastAsia" w:ascii="宋体" w:hAnsi="宋体" w:eastAsia="宋体" w:cs="宋体"/>
                <w:spacing w:val="7"/>
                <w:sz w:val="20"/>
                <w:szCs w:val="20"/>
                <w:highlight w:val="none"/>
              </w:rPr>
              <w:t>应的证明材料)</w:t>
            </w:r>
            <w:r>
              <w:rPr>
                <w:rFonts w:hint="eastAsia" w:ascii="宋体" w:hAnsi="宋体" w:eastAsia="宋体" w:cs="宋体"/>
                <w:szCs w:val="21"/>
                <w:highlight w:val="none"/>
                <w:lang w:val="zh-CN"/>
              </w:rPr>
              <w:t xml:space="preserve"> </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2、落实政府采购政策满足的资格要求： </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本项目执行扶持不发达地区和少数民族地区、促进中小微企业、监狱企业、残疾人福利性单位等政府采购政策。 </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3、本项目的特定资格要求 </w:t>
            </w:r>
          </w:p>
          <w:p>
            <w:pPr>
              <w:spacing w:before="133" w:line="351" w:lineRule="auto"/>
              <w:ind w:right="2"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3.1 供应商满足《中华人民共和国政府采购法》第二十二条的规定；</w:t>
            </w:r>
            <w:r>
              <w:rPr>
                <w:rFonts w:hint="eastAsia" w:ascii="宋体" w:hAnsi="宋体" w:eastAsia="宋体" w:cs="宋体"/>
                <w:spacing w:val="5"/>
                <w:sz w:val="21"/>
                <w:szCs w:val="21"/>
                <w:highlight w:val="none"/>
              </w:rPr>
              <w:t>(提供资格条件承诺函或</w:t>
            </w:r>
            <w:r>
              <w:rPr>
                <w:rFonts w:hint="eastAsia" w:ascii="宋体" w:hAnsi="宋体" w:eastAsia="宋体" w:cs="宋体"/>
                <w:spacing w:val="11"/>
                <w:sz w:val="21"/>
                <w:szCs w:val="21"/>
                <w:highlight w:val="none"/>
              </w:rPr>
              <w:t>相</w:t>
            </w:r>
            <w:r>
              <w:rPr>
                <w:rFonts w:hint="eastAsia" w:ascii="宋体" w:hAnsi="宋体" w:eastAsia="宋体" w:cs="宋体"/>
                <w:spacing w:val="7"/>
                <w:sz w:val="21"/>
                <w:szCs w:val="21"/>
                <w:highlight w:val="none"/>
              </w:rPr>
              <w:t>应的证明材料)</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3.2</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zh-CN"/>
              </w:rPr>
              <w:t>供应商需具备</w:t>
            </w:r>
            <w:r>
              <w:rPr>
                <w:rFonts w:hint="eastAsia" w:ascii="宋体" w:hAnsi="宋体" w:eastAsia="宋体" w:cs="宋体"/>
                <w:szCs w:val="21"/>
                <w:highlight w:val="none"/>
                <w:lang w:val="en-US" w:eastAsia="zh-CN"/>
              </w:rPr>
              <w:t>市政公用</w:t>
            </w:r>
            <w:r>
              <w:rPr>
                <w:rFonts w:hint="eastAsia" w:ascii="宋体" w:hAnsi="宋体" w:eastAsia="宋体" w:cs="宋体"/>
                <w:szCs w:val="21"/>
                <w:highlight w:val="none"/>
                <w:lang w:val="zh-CN"/>
              </w:rPr>
              <w:t>工程施工总承包叁级</w:t>
            </w:r>
            <w:r>
              <w:rPr>
                <w:rFonts w:hint="eastAsia" w:ascii="宋体" w:hAnsi="宋体" w:cs="宋体"/>
                <w:szCs w:val="21"/>
                <w:highlight w:val="none"/>
                <w:lang w:val="zh-CN"/>
              </w:rPr>
              <w:t>或</w:t>
            </w:r>
            <w:r>
              <w:rPr>
                <w:rFonts w:hint="eastAsia" w:ascii="宋体" w:hAnsi="宋体" w:eastAsia="宋体" w:cs="宋体"/>
                <w:szCs w:val="21"/>
                <w:highlight w:val="none"/>
                <w:lang w:val="zh-CN"/>
              </w:rPr>
              <w:t>以上资质，具有有效的安全生产许可证；</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3.3</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zh-CN"/>
              </w:rPr>
              <w:t>拟派项目经理需具备</w:t>
            </w:r>
            <w:r>
              <w:rPr>
                <w:rFonts w:hint="eastAsia" w:ascii="宋体" w:hAnsi="宋体" w:eastAsia="宋体" w:cs="宋体"/>
                <w:szCs w:val="21"/>
                <w:highlight w:val="none"/>
                <w:lang w:val="en-US" w:eastAsia="zh-CN"/>
              </w:rPr>
              <w:t>市政公用工程</w:t>
            </w:r>
            <w:r>
              <w:rPr>
                <w:rFonts w:hint="eastAsia" w:ascii="宋体" w:hAnsi="宋体" w:eastAsia="宋体" w:cs="宋体"/>
                <w:szCs w:val="21"/>
                <w:highlight w:val="none"/>
                <w:lang w:val="zh-CN"/>
              </w:rPr>
              <w:t>专业贰级</w:t>
            </w:r>
            <w:r>
              <w:rPr>
                <w:rFonts w:hint="eastAsia" w:ascii="宋体" w:hAnsi="宋体" w:cs="宋体"/>
                <w:szCs w:val="21"/>
                <w:highlight w:val="none"/>
                <w:lang w:val="zh-CN"/>
              </w:rPr>
              <w:t>或</w:t>
            </w:r>
            <w:r>
              <w:rPr>
                <w:rFonts w:hint="eastAsia" w:ascii="宋体" w:hAnsi="宋体" w:eastAsia="宋体" w:cs="宋体"/>
                <w:szCs w:val="21"/>
                <w:highlight w:val="none"/>
                <w:lang w:val="zh-CN"/>
              </w:rPr>
              <w:t>以上注册建造师执业资格、有效的安全生产考核合格证书（B证），且无在建项目（提供无在建承诺书）；拟派项目经理在投标截止日前 120 天内，有在其他工程项目上担任项目经理任职变更事项的，请在响应文件中说明情况并附经建设行政主管部门备案的相关证明材料； 拟派项目经理必须为本单位正式人员，并提供</w:t>
            </w:r>
            <w:r>
              <w:rPr>
                <w:rFonts w:hint="eastAsia" w:ascii="宋体" w:hAnsi="宋体" w:eastAsia="宋体" w:cs="宋体"/>
                <w:szCs w:val="21"/>
                <w:highlight w:val="none"/>
                <w:lang w:val="en-US" w:eastAsia="zh-CN"/>
              </w:rPr>
              <w:t>近三个月内任意一个月</w:t>
            </w:r>
            <w:r>
              <w:rPr>
                <w:rFonts w:hint="eastAsia" w:ascii="宋体" w:hAnsi="宋体" w:eastAsia="宋体" w:cs="宋体"/>
                <w:szCs w:val="21"/>
                <w:highlight w:val="none"/>
                <w:lang w:val="zh-CN"/>
              </w:rPr>
              <w:t>缴纳社保证明。</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3.4</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zh-CN"/>
              </w:rPr>
              <w:t>投标人</w:t>
            </w:r>
            <w:r>
              <w:rPr>
                <w:rFonts w:hint="eastAsia" w:ascii="宋体" w:hAnsi="宋体" w:eastAsia="宋体" w:cs="宋体"/>
                <w:szCs w:val="21"/>
                <w:highlight w:val="none"/>
                <w:lang w:val="en-US" w:eastAsia="zh-CN"/>
              </w:rPr>
              <w:t>未被</w:t>
            </w:r>
            <w:r>
              <w:rPr>
                <w:rFonts w:hint="eastAsia" w:ascii="宋体" w:hAnsi="宋体" w:eastAsia="宋体" w:cs="宋体"/>
                <w:szCs w:val="21"/>
                <w:highlight w:val="none"/>
                <w:lang w:val="zh-CN"/>
              </w:rPr>
              <w:t>“中国执行信息公开网”网站</w:t>
            </w:r>
            <w:r>
              <w:rPr>
                <w:rFonts w:hint="eastAsia" w:ascii="宋体" w:hAnsi="宋体" w:eastAsia="宋体" w:cs="宋体"/>
                <w:szCs w:val="21"/>
                <w:highlight w:val="none"/>
                <w:lang w:val="en-US" w:eastAsia="en-US"/>
              </w:rPr>
              <w:t>（</w:t>
            </w:r>
            <w:r>
              <w:rPr>
                <w:rFonts w:hint="eastAsia" w:ascii="宋体" w:hAnsi="宋体" w:eastAsia="宋体" w:cs="宋体"/>
                <w:szCs w:val="21"/>
                <w:highlight w:val="none"/>
                <w:lang w:val="zh-CN"/>
              </w:rPr>
              <w:fldChar w:fldCharType="begin"/>
            </w:r>
            <w:r>
              <w:rPr>
                <w:rFonts w:hint="eastAsia" w:ascii="宋体" w:hAnsi="宋体" w:eastAsia="宋体" w:cs="宋体"/>
                <w:szCs w:val="21"/>
                <w:highlight w:val="none"/>
                <w:lang w:val="zh-CN"/>
              </w:rPr>
              <w:instrText xml:space="preserve">HYPERLINK "http://zxgk"</w:instrText>
            </w:r>
            <w:r>
              <w:rPr>
                <w:rFonts w:hint="eastAsia" w:ascii="宋体" w:hAnsi="宋体" w:eastAsia="宋体" w:cs="宋体"/>
                <w:szCs w:val="21"/>
                <w:highlight w:val="none"/>
                <w:lang w:val="zh-CN"/>
              </w:rPr>
              <w:fldChar w:fldCharType="separate"/>
            </w:r>
            <w:r>
              <w:rPr>
                <w:rFonts w:hint="eastAsia" w:ascii="宋体" w:hAnsi="宋体" w:eastAsia="宋体" w:cs="宋体"/>
                <w:szCs w:val="21"/>
                <w:highlight w:val="none"/>
                <w:lang w:val="en-US" w:eastAsia="en-US"/>
              </w:rPr>
              <w:t>http://zxgk</w:t>
            </w:r>
            <w:r>
              <w:rPr>
                <w:rFonts w:hint="eastAsia" w:ascii="宋体" w:hAnsi="宋体" w:eastAsia="宋体" w:cs="宋体"/>
                <w:szCs w:val="21"/>
                <w:highlight w:val="none"/>
                <w:lang w:val="zh-CN"/>
              </w:rPr>
              <w:fldChar w:fldCharType="end"/>
            </w:r>
            <w:r>
              <w:rPr>
                <w:rFonts w:hint="eastAsia" w:ascii="宋体" w:hAnsi="宋体" w:eastAsia="宋体" w:cs="宋体"/>
                <w:szCs w:val="21"/>
                <w:highlight w:val="none"/>
                <w:lang w:val="en-US" w:eastAsia="en-US"/>
              </w:rPr>
              <w:t>. court. gov. cn/shixin/）</w:t>
            </w:r>
            <w:r>
              <w:rPr>
                <w:rFonts w:hint="eastAsia" w:ascii="宋体" w:hAnsi="宋体" w:eastAsia="宋体" w:cs="宋体"/>
                <w:szCs w:val="21"/>
                <w:highlight w:val="none"/>
                <w:lang w:val="zh-CN"/>
              </w:rPr>
              <w:t>列入失信被执行人、未被列入 “信用中国”（http://www.creditchina.gov.cn/）</w:t>
            </w:r>
            <w:r>
              <w:rPr>
                <w:rFonts w:hint="eastAsia" w:ascii="宋体" w:hAnsi="宋体" w:eastAsia="宋体" w:cs="宋体"/>
                <w:szCs w:val="21"/>
                <w:highlight w:val="none"/>
                <w:lang w:val="zh-CN" w:eastAsia="zh-CN"/>
              </w:rPr>
              <w:t>重大税收违法失信主体</w:t>
            </w:r>
            <w:r>
              <w:rPr>
                <w:rFonts w:hint="eastAsia" w:ascii="宋体" w:hAnsi="宋体" w:eastAsia="宋体" w:cs="宋体"/>
                <w:szCs w:val="21"/>
                <w:highlight w:val="none"/>
                <w:lang w:val="zh-CN"/>
              </w:rPr>
              <w:t>、政府采购严重违法失信名单（时间：公告发布之日起至投标截止时间前），被列入失信被执行人、</w:t>
            </w:r>
            <w:r>
              <w:rPr>
                <w:rFonts w:hint="eastAsia" w:ascii="宋体" w:hAnsi="宋体" w:eastAsia="宋体" w:cs="宋体"/>
                <w:szCs w:val="21"/>
                <w:highlight w:val="none"/>
                <w:lang w:val="zh-CN" w:eastAsia="zh-CN"/>
              </w:rPr>
              <w:t>重大税收违法失信主体、政府采购严重违法失信名单，不得参与本项目，并提供投标人承诺书，投标人对承诺书真实性负责，提供虚假承诺，投标人承担全部责任）。</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3.5</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1.4.3</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构成磋商文件的</w:t>
            </w:r>
          </w:p>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其它材料</w:t>
            </w:r>
          </w:p>
        </w:tc>
        <w:tc>
          <w:tcPr>
            <w:tcW w:w="5901" w:type="dxa"/>
            <w:noWrap w:val="0"/>
            <w:vAlign w:val="center"/>
          </w:tcPr>
          <w:p>
            <w:pPr>
              <w:adjustRightInd w:val="0"/>
              <w:snapToGrid w:val="0"/>
              <w:spacing w:line="360" w:lineRule="atLeas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采购人或代理公司发出的答疑及补遗书（如有）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供应商要求澄清、修改竞争性磋商文件的截止时间</w:t>
            </w:r>
          </w:p>
        </w:tc>
        <w:tc>
          <w:tcPr>
            <w:tcW w:w="5901" w:type="dxa"/>
            <w:noWrap w:val="0"/>
            <w:vAlign w:val="center"/>
          </w:tcPr>
          <w:p>
            <w:pPr>
              <w:adjustRightInd w:val="0"/>
              <w:snapToGrid w:val="0"/>
              <w:spacing w:line="36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磋商截止时间5日前，不足5日的，</w:t>
            </w:r>
            <w:r>
              <w:rPr>
                <w:rFonts w:hint="eastAsia" w:ascii="宋体" w:hAnsi="宋体" w:eastAsia="宋体" w:cs="宋体"/>
                <w:kern w:val="0"/>
                <w:highlight w:val="none"/>
              </w:rPr>
              <w:t>相应延长磋商响应文件接收截止时间</w:t>
            </w:r>
            <w:r>
              <w:rPr>
                <w:rFonts w:hint="eastAsia" w:ascii="宋体" w:hAnsi="宋体" w:eastAsia="宋体" w:cs="宋体"/>
                <w:szCs w:val="21"/>
                <w:highlight w:val="none"/>
              </w:rPr>
              <w:t>，具体情况另行通知。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1.5.1</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供应商确认收到竞争性磋商文件修改的时间</w:t>
            </w:r>
          </w:p>
        </w:tc>
        <w:tc>
          <w:tcPr>
            <w:tcW w:w="5901" w:type="dxa"/>
            <w:noWrap w:val="0"/>
            <w:vAlign w:val="center"/>
          </w:tcPr>
          <w:p>
            <w:pPr>
              <w:adjustRightInd w:val="0"/>
              <w:snapToGrid w:val="0"/>
              <w:spacing w:line="36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在收到相应修改文件后</w:t>
            </w:r>
            <w:r>
              <w:rPr>
                <w:rFonts w:hint="eastAsia" w:ascii="宋体" w:hAnsi="宋体" w:eastAsia="宋体" w:cs="宋体"/>
                <w:szCs w:val="21"/>
                <w:highlight w:val="none"/>
                <w:u w:val="single"/>
              </w:rPr>
              <w:t>24</w:t>
            </w:r>
            <w:r>
              <w:rPr>
                <w:rFonts w:hint="eastAsia" w:ascii="宋体" w:hAnsi="宋体" w:eastAsia="宋体" w:cs="宋体"/>
                <w:szCs w:val="21"/>
                <w:highlight w:val="none"/>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1.5.2</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供应商确认收到竞争性磋商文件澄清的时间</w:t>
            </w:r>
          </w:p>
        </w:tc>
        <w:tc>
          <w:tcPr>
            <w:tcW w:w="5901" w:type="dxa"/>
            <w:noWrap w:val="0"/>
            <w:vAlign w:val="center"/>
          </w:tcPr>
          <w:p>
            <w:pPr>
              <w:adjustRightInd w:val="0"/>
              <w:snapToGrid w:val="0"/>
              <w:spacing w:line="36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在收到相应澄清文件后</w:t>
            </w:r>
            <w:r>
              <w:rPr>
                <w:rFonts w:hint="eastAsia" w:ascii="宋体" w:hAnsi="宋体" w:eastAsia="宋体" w:cs="宋体"/>
                <w:szCs w:val="21"/>
                <w:highlight w:val="none"/>
                <w:u w:val="single"/>
              </w:rPr>
              <w:t>24</w:t>
            </w:r>
            <w:r>
              <w:rPr>
                <w:rFonts w:hint="eastAsia" w:ascii="宋体" w:hAnsi="宋体" w:eastAsia="宋体" w:cs="宋体"/>
                <w:szCs w:val="21"/>
                <w:highlight w:val="none"/>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44" w:type="dxa"/>
            <w:shd w:val="clear" w:color="auto" w:fill="auto"/>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06" w:type="dxa"/>
            <w:shd w:val="clear" w:color="auto" w:fill="auto"/>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付款方式</w:t>
            </w:r>
          </w:p>
        </w:tc>
        <w:tc>
          <w:tcPr>
            <w:tcW w:w="5901" w:type="dxa"/>
            <w:shd w:val="clear" w:color="auto" w:fill="FFFFFF"/>
            <w:noWrap w:val="0"/>
            <w:vAlign w:val="center"/>
          </w:tcPr>
          <w:p>
            <w:pPr>
              <w:adjustRightInd w:val="0"/>
              <w:snapToGrid w:val="0"/>
              <w:spacing w:line="36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双方签订合同后，乙方进场施工甲方向乙方支付 30%的预付款，项目完工并验收合格，经评审后，乙方向甲方提供 3%的质保函 (质保期满后可解除质保函)，甲方支付至评审金额的100%。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现场察看方式</w:t>
            </w:r>
          </w:p>
        </w:tc>
        <w:tc>
          <w:tcPr>
            <w:tcW w:w="5901" w:type="dxa"/>
            <w:noWrap w:val="0"/>
            <w:vAlign w:val="center"/>
          </w:tcPr>
          <w:p>
            <w:pPr>
              <w:adjustRightInd w:val="0"/>
              <w:snapToGrid w:val="0"/>
              <w:spacing w:line="360" w:lineRule="atLeas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供应商自行察看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质量保证金</w:t>
            </w:r>
          </w:p>
        </w:tc>
        <w:tc>
          <w:tcPr>
            <w:tcW w:w="5901"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质保金为审定结算金额的3%，鼓励供应商提供质保金保函。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2.1.4</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签字或盖章要求</w:t>
            </w:r>
          </w:p>
        </w:tc>
        <w:tc>
          <w:tcPr>
            <w:tcW w:w="5901" w:type="dxa"/>
            <w:noWrap w:val="0"/>
            <w:vAlign w:val="center"/>
          </w:tcPr>
          <w:p>
            <w:pPr>
              <w:adjustRightInd w:val="0"/>
              <w:snapToGrid w:val="0"/>
              <w:spacing w:line="360" w:lineRule="atLeast"/>
              <w:ind w:firstLine="420" w:firstLineChars="200"/>
              <w:jc w:val="left"/>
              <w:rPr>
                <w:rFonts w:hint="eastAsia" w:ascii="宋体" w:hAnsi="宋体" w:eastAsia="宋体" w:cs="宋体"/>
                <w:szCs w:val="21"/>
                <w:highlight w:val="none"/>
              </w:rPr>
            </w:pPr>
            <w:r>
              <w:rPr>
                <w:rFonts w:hint="eastAsia" w:ascii="宋体" w:hAnsi="宋体" w:eastAsia="宋体" w:cs="宋体"/>
                <w:highlight w:val="none"/>
              </w:rPr>
              <w:t>按磋商文件格式要求加盖</w:t>
            </w:r>
            <w:r>
              <w:rPr>
                <w:rFonts w:hint="eastAsia" w:ascii="宋体" w:hAnsi="宋体" w:eastAsia="宋体" w:cs="宋体"/>
                <w:highlight w:val="none"/>
                <w:lang w:eastAsia="zh-CN"/>
              </w:rPr>
              <w:t>企业电子章</w:t>
            </w:r>
            <w:r>
              <w:rPr>
                <w:rFonts w:hint="eastAsia" w:ascii="宋体" w:hAnsi="宋体" w:eastAsia="宋体" w:cs="宋体"/>
                <w:highlight w:val="none"/>
              </w:rPr>
              <w:t>或个</w:t>
            </w:r>
            <w:r>
              <w:rPr>
                <w:rFonts w:hint="eastAsia" w:ascii="宋体" w:hAnsi="宋体" w:eastAsia="宋体" w:cs="宋体"/>
                <w:highlight w:val="none"/>
                <w:lang w:eastAsia="zh-CN"/>
              </w:rPr>
              <w:t>人电子</w:t>
            </w:r>
            <w:r>
              <w:rPr>
                <w:rFonts w:hint="eastAsia" w:ascii="宋体" w:hAnsi="宋体" w:eastAsia="宋体" w:cs="宋体"/>
                <w:highlight w:val="none"/>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磋商报价</w:t>
            </w:r>
          </w:p>
        </w:tc>
        <w:tc>
          <w:tcPr>
            <w:tcW w:w="5901" w:type="dxa"/>
            <w:noWrap w:val="0"/>
            <w:vAlign w:val="center"/>
          </w:tcPr>
          <w:p>
            <w:pPr>
              <w:adjustRightInd w:val="0"/>
              <w:snapToGrid w:val="0"/>
              <w:spacing w:line="360" w:lineRule="atLeast"/>
              <w:ind w:firstLine="420" w:firstLineChars="200"/>
              <w:jc w:val="left"/>
              <w:rPr>
                <w:rFonts w:hint="eastAsia" w:ascii="宋体" w:hAnsi="宋体" w:eastAsia="宋体" w:cs="宋体"/>
                <w:szCs w:val="21"/>
                <w:highlight w:val="none"/>
                <w:lang w:val="zh-CN"/>
              </w:rPr>
            </w:pPr>
            <w:r>
              <w:rPr>
                <w:rFonts w:hint="eastAsia" w:ascii="宋体" w:hAnsi="宋体" w:eastAsia="宋体" w:cs="宋体"/>
                <w:szCs w:val="21"/>
                <w:highlight w:val="none"/>
              </w:rPr>
              <w:t>1.本项目设招标控制价，控制价为</w:t>
            </w:r>
            <w:r>
              <w:rPr>
                <w:rFonts w:hint="eastAsia" w:ascii="宋体" w:hAnsi="宋体" w:cs="宋体"/>
                <w:szCs w:val="21"/>
                <w:highlight w:val="none"/>
                <w:lang w:val="en-US" w:eastAsia="zh-CN"/>
              </w:rPr>
              <w:t>2818830.36</w:t>
            </w:r>
            <w:r>
              <w:rPr>
                <w:rFonts w:hint="eastAsia" w:ascii="宋体" w:hAnsi="宋体" w:eastAsia="宋体" w:cs="宋体"/>
                <w:highlight w:val="none"/>
                <w:lang w:val="en-US" w:eastAsia="zh-CN"/>
              </w:rPr>
              <w:t>元</w:t>
            </w:r>
            <w:r>
              <w:rPr>
                <w:rFonts w:hint="eastAsia" w:ascii="宋体" w:hAnsi="宋体" w:eastAsia="宋体" w:cs="宋体"/>
                <w:b w:val="0"/>
                <w:bCs w:val="0"/>
                <w:color w:val="auto"/>
                <w:spacing w:val="0"/>
                <w:kern w:val="21"/>
                <w:sz w:val="21"/>
                <w:szCs w:val="21"/>
                <w:highlight w:val="none"/>
                <w:u w:val="none"/>
                <w:lang w:val="en-US" w:eastAsia="zh-CN"/>
              </w:rPr>
              <w:t>；</w:t>
            </w:r>
          </w:p>
          <w:p>
            <w:pPr>
              <w:adjustRightInd w:val="0"/>
              <w:snapToGrid w:val="0"/>
              <w:spacing w:line="360" w:lineRule="atLeas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2.控制价是采购人控制招标的最高限价，供应商的基础报价大于招标控制价的供应商视为无效基础报价，按资格审查不通过作否决投标处理。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3.1.2</w:t>
            </w:r>
          </w:p>
        </w:tc>
        <w:tc>
          <w:tcPr>
            <w:tcW w:w="2006" w:type="dxa"/>
            <w:noWrap w:val="0"/>
            <w:vAlign w:val="center"/>
          </w:tcPr>
          <w:p>
            <w:pPr>
              <w:adjustRightInd w:val="0"/>
              <w:snapToGrid w:val="0"/>
              <w:spacing w:line="360" w:lineRule="atLeast"/>
              <w:jc w:val="center"/>
              <w:rPr>
                <w:rFonts w:hint="eastAsia" w:ascii="宋体" w:hAnsi="宋体" w:eastAsia="宋体" w:cs="宋体"/>
                <w:b/>
                <w:szCs w:val="21"/>
                <w:highlight w:val="none"/>
              </w:rPr>
            </w:pPr>
            <w:r>
              <w:rPr>
                <w:rFonts w:hint="eastAsia" w:ascii="宋体" w:hAnsi="宋体" w:eastAsia="宋体" w:cs="宋体"/>
                <w:szCs w:val="21"/>
                <w:highlight w:val="none"/>
              </w:rPr>
              <w:t>递交响应性文件的截止时间及地点</w:t>
            </w:r>
          </w:p>
        </w:tc>
        <w:tc>
          <w:tcPr>
            <w:tcW w:w="5901" w:type="dxa"/>
            <w:noWrap w:val="0"/>
            <w:vAlign w:val="center"/>
          </w:tcPr>
          <w:p>
            <w:pPr>
              <w:adjustRightInd w:val="0"/>
              <w:snapToGrid w:val="0"/>
              <w:spacing w:line="360" w:lineRule="atLeast"/>
              <w:jc w:val="left"/>
              <w:rPr>
                <w:rFonts w:hint="eastAsia" w:ascii="宋体" w:hAnsi="宋体" w:eastAsia="宋体" w:cs="宋体"/>
                <w:szCs w:val="21"/>
                <w:highlight w:val="yellow"/>
              </w:rPr>
            </w:pPr>
            <w:r>
              <w:rPr>
                <w:rFonts w:hint="eastAsia" w:ascii="宋体" w:hAnsi="宋体" w:eastAsia="宋体" w:cs="宋体"/>
                <w:szCs w:val="21"/>
                <w:highlight w:val="none"/>
              </w:rPr>
              <w:t>时    间：</w:t>
            </w:r>
            <w:r>
              <w:rPr>
                <w:rFonts w:hint="eastAsia" w:ascii="宋体" w:hAnsi="宋体" w:eastAsia="宋体" w:cs="宋体"/>
                <w:szCs w:val="21"/>
                <w:highlight w:val="yellow"/>
              </w:rPr>
              <w:t>202</w:t>
            </w:r>
            <w:r>
              <w:rPr>
                <w:rFonts w:hint="eastAsia" w:ascii="宋体" w:hAnsi="宋体" w:eastAsia="宋体" w:cs="宋体"/>
                <w:szCs w:val="21"/>
                <w:highlight w:val="yellow"/>
                <w:lang w:val="en-US" w:eastAsia="zh-CN"/>
              </w:rPr>
              <w:t>3</w:t>
            </w:r>
            <w:r>
              <w:rPr>
                <w:rFonts w:hint="eastAsia" w:ascii="宋体" w:hAnsi="宋体" w:eastAsia="宋体" w:cs="宋体"/>
                <w:szCs w:val="21"/>
                <w:highlight w:val="yellow"/>
              </w:rPr>
              <w:t>年</w:t>
            </w:r>
            <w:r>
              <w:rPr>
                <w:rFonts w:hint="eastAsia" w:ascii="宋体" w:hAnsi="宋体" w:cs="宋体"/>
                <w:szCs w:val="21"/>
                <w:highlight w:val="yellow"/>
                <w:lang w:val="en-US" w:eastAsia="zh-CN"/>
              </w:rPr>
              <w:t>9</w:t>
            </w:r>
            <w:r>
              <w:rPr>
                <w:rFonts w:hint="eastAsia" w:ascii="宋体" w:hAnsi="宋体" w:eastAsia="宋体" w:cs="宋体"/>
                <w:szCs w:val="21"/>
                <w:highlight w:val="yellow"/>
              </w:rPr>
              <w:t>月</w:t>
            </w:r>
            <w:r>
              <w:rPr>
                <w:rFonts w:hint="eastAsia" w:ascii="宋体" w:hAnsi="宋体" w:eastAsia="宋体" w:cs="宋体"/>
                <w:szCs w:val="21"/>
                <w:highlight w:val="yellow"/>
                <w:lang w:val="en-US" w:eastAsia="zh-CN"/>
              </w:rPr>
              <w:t xml:space="preserve">  </w:t>
            </w:r>
            <w:r>
              <w:rPr>
                <w:rFonts w:hint="eastAsia" w:ascii="宋体" w:hAnsi="宋体" w:eastAsia="宋体" w:cs="宋体"/>
                <w:szCs w:val="21"/>
                <w:highlight w:val="yellow"/>
              </w:rPr>
              <w:t>日</w:t>
            </w:r>
            <w:r>
              <w:rPr>
                <w:rFonts w:hint="eastAsia" w:ascii="宋体" w:hAnsi="宋体" w:eastAsia="宋体" w:cs="宋体"/>
                <w:szCs w:val="21"/>
                <w:highlight w:val="yellow"/>
                <w:lang w:eastAsia="zh-CN"/>
              </w:rPr>
              <w:t>上午</w:t>
            </w:r>
            <w:r>
              <w:rPr>
                <w:rFonts w:hint="eastAsia" w:ascii="宋体" w:hAnsi="宋体" w:eastAsia="宋体" w:cs="宋体"/>
                <w:szCs w:val="21"/>
                <w:highlight w:val="yellow"/>
                <w:lang w:val="en-US" w:eastAsia="zh-CN"/>
              </w:rPr>
              <w:t xml:space="preserve">9 </w:t>
            </w:r>
            <w:r>
              <w:rPr>
                <w:rFonts w:hint="eastAsia" w:ascii="宋体" w:hAnsi="宋体" w:eastAsia="宋体" w:cs="宋体"/>
                <w:szCs w:val="21"/>
                <w:highlight w:val="yellow"/>
              </w:rPr>
              <w:t>时</w:t>
            </w:r>
            <w:r>
              <w:rPr>
                <w:rFonts w:hint="eastAsia" w:ascii="宋体" w:hAnsi="宋体" w:eastAsia="宋体" w:cs="宋体"/>
                <w:szCs w:val="21"/>
                <w:highlight w:val="yellow"/>
                <w:lang w:val="en-US" w:eastAsia="zh-CN"/>
              </w:rPr>
              <w:t>30</w:t>
            </w:r>
            <w:r>
              <w:rPr>
                <w:rFonts w:hint="eastAsia" w:ascii="宋体" w:hAnsi="宋体" w:eastAsia="宋体" w:cs="宋体"/>
                <w:szCs w:val="21"/>
                <w:highlight w:val="yellow"/>
              </w:rPr>
              <w:t>分（北京时间）</w:t>
            </w:r>
          </w:p>
          <w:p>
            <w:pPr>
              <w:adjustRightInd w:val="0"/>
              <w:snapToGrid w:val="0"/>
              <w:spacing w:line="360" w:lineRule="atLeast"/>
              <w:jc w:val="left"/>
              <w:rPr>
                <w:rFonts w:hint="eastAsia" w:ascii="宋体" w:hAnsi="宋体" w:eastAsia="宋体" w:cs="宋体"/>
                <w:szCs w:val="21"/>
                <w:highlight w:val="none"/>
              </w:rPr>
            </w:pPr>
            <w:r>
              <w:rPr>
                <w:rFonts w:hint="eastAsia" w:ascii="宋体" w:hAnsi="宋体" w:eastAsia="宋体" w:cs="宋体"/>
                <w:szCs w:val="21"/>
                <w:highlight w:val="none"/>
              </w:rPr>
              <w:t>地    点：</w:t>
            </w:r>
            <w:r>
              <w:rPr>
                <w:rFonts w:hint="eastAsia" w:ascii="宋体" w:hAnsi="宋体" w:cs="宋体"/>
                <w:szCs w:val="21"/>
                <w:highlight w:val="none"/>
                <w:lang w:eastAsia="zh-CN"/>
              </w:rPr>
              <w:t>鹤壁市</w:t>
            </w:r>
            <w:r>
              <w:rPr>
                <w:rFonts w:hint="eastAsia" w:ascii="宋体" w:hAnsi="宋体" w:eastAsia="宋体" w:cs="宋体"/>
                <w:szCs w:val="21"/>
                <w:highlight w:val="none"/>
              </w:rPr>
              <w:t>公共资源交易中心</w:t>
            </w:r>
            <w:r>
              <w:rPr>
                <w:rStyle w:val="35"/>
                <w:rFonts w:hint="default" w:ascii="宋体" w:hAnsi="宋体" w:eastAsia="宋体" w:cs="宋体"/>
                <w:kern w:val="2"/>
                <w:sz w:val="21"/>
                <w:szCs w:val="21"/>
                <w:highlight w:val="none"/>
                <w:lang w:val="en-US" w:eastAsia="zh-CN" w:bidi="ar-SA"/>
              </w:rPr>
              <w:t>远程</w:t>
            </w:r>
            <w:r>
              <w:rPr>
                <w:rStyle w:val="35"/>
                <w:rFonts w:hint="default" w:ascii="宋体" w:hAnsi="宋体" w:eastAsia="宋体" w:cs="宋体"/>
                <w:kern w:val="2"/>
                <w:sz w:val="21"/>
                <w:szCs w:val="21"/>
                <w:highlight w:val="yellow"/>
                <w:lang w:val="en-US" w:eastAsia="zh-CN" w:bidi="ar-SA"/>
              </w:rPr>
              <w:t>开标大厅第</w:t>
            </w:r>
            <w:r>
              <w:rPr>
                <w:rStyle w:val="35"/>
                <w:rFonts w:hint="eastAsia" w:ascii="宋体" w:hAnsi="宋体" w:cs="宋体"/>
                <w:kern w:val="2"/>
                <w:sz w:val="21"/>
                <w:szCs w:val="21"/>
                <w:highlight w:val="yellow"/>
                <w:lang w:val="en-US" w:eastAsia="zh-CN" w:bidi="ar-SA"/>
              </w:rPr>
              <w:t xml:space="preserve">  </w:t>
            </w:r>
            <w:r>
              <w:rPr>
                <w:rStyle w:val="35"/>
                <w:rFonts w:hint="default" w:ascii="宋体" w:hAnsi="宋体" w:eastAsia="宋体" w:cs="宋体"/>
                <w:kern w:val="2"/>
                <w:sz w:val="21"/>
                <w:szCs w:val="21"/>
                <w:highlight w:val="yellow"/>
                <w:lang w:val="en-US" w:eastAsia="zh-CN" w:bidi="ar-SA"/>
              </w:rPr>
              <w:t>坐席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3.1.3</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是否退还</w:t>
            </w:r>
          </w:p>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响应性文件</w:t>
            </w:r>
          </w:p>
        </w:tc>
        <w:tc>
          <w:tcPr>
            <w:tcW w:w="5901" w:type="dxa"/>
            <w:noWrap w:val="0"/>
            <w:vAlign w:val="center"/>
          </w:tcPr>
          <w:p>
            <w:pPr>
              <w:adjustRightInd w:val="0"/>
              <w:snapToGrid w:val="0"/>
              <w:spacing w:line="360" w:lineRule="atLeas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4.2.1</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磋商小组的组建</w:t>
            </w:r>
          </w:p>
        </w:tc>
        <w:tc>
          <w:tcPr>
            <w:tcW w:w="5901" w:type="dxa"/>
            <w:noWrap w:val="0"/>
            <w:vAlign w:val="center"/>
          </w:tcPr>
          <w:p>
            <w:pPr>
              <w:adjustRightInd w:val="0"/>
              <w:snapToGrid w:val="0"/>
              <w:spacing w:line="36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磋商小组构成：3人；由采购人代表1人，经济专家1人，技术专家1人组成；</w:t>
            </w:r>
          </w:p>
          <w:p>
            <w:pPr>
              <w:adjustRightInd w:val="0"/>
              <w:snapToGrid w:val="0"/>
              <w:spacing w:line="36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磋商小组专家在河南省政府采购专家库中随机抽取。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4.2.5</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是否授权磋商小组确定成交人</w:t>
            </w:r>
          </w:p>
        </w:tc>
        <w:tc>
          <w:tcPr>
            <w:tcW w:w="5901" w:type="dxa"/>
            <w:noWrap w:val="0"/>
            <w:vAlign w:val="center"/>
          </w:tcPr>
          <w:p>
            <w:pPr>
              <w:adjustRightInd w:val="0"/>
              <w:snapToGrid w:val="0"/>
              <w:spacing w:line="36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否，推荐成交候选人数：</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3名</w:t>
            </w:r>
          </w:p>
          <w:p>
            <w:pPr>
              <w:pStyle w:val="6"/>
              <w:ind w:firstLineChars="200"/>
              <w:rPr>
                <w:rFonts w:hint="eastAsia" w:ascii="宋体" w:hAnsi="宋体" w:eastAsia="宋体" w:cs="宋体"/>
                <w:highlight w:val="none"/>
              </w:rPr>
            </w:pPr>
            <w:r>
              <w:rPr>
                <w:rFonts w:hint="eastAsia" w:ascii="宋体" w:hAnsi="宋体" w:eastAsia="宋体" w:cs="宋体"/>
                <w:highlight w:val="none"/>
              </w:rPr>
              <w:t>招标人应当确定磋商小组推荐的排名第一的中标候选人为中标人 ，排名第一的中标候选人放弃中标、因不可抗力提出不能履行合同、不按照竞争性磋商文件要求，或者被查实存在影响中标结果的违法等情形，不符合中标条件的，招标人可以按照磋商小组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944"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5.1.4</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成交候选人</w:t>
            </w:r>
          </w:p>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公告媒介</w:t>
            </w:r>
          </w:p>
        </w:tc>
        <w:tc>
          <w:tcPr>
            <w:tcW w:w="5901" w:type="dxa"/>
            <w:noWrap w:val="0"/>
            <w:vAlign w:val="center"/>
          </w:tcPr>
          <w:p>
            <w:pPr>
              <w:keepNext w:val="0"/>
              <w:keepLines w:val="0"/>
              <w:widowControl/>
              <w:suppressLineNumbers w:val="0"/>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在《河南省政府采购网》、</w:t>
            </w:r>
            <w:r>
              <w:rPr>
                <w:rFonts w:hint="eastAsia" w:ascii="宋体" w:hAnsi="宋体" w:eastAsia="宋体" w:cs="宋体"/>
                <w:szCs w:val="21"/>
                <w:highlight w:val="none"/>
                <w:lang w:val="en-US" w:eastAsia="zh-CN"/>
              </w:rPr>
              <w:t>《鹤壁市政府采购网》、</w:t>
            </w:r>
            <w:r>
              <w:rPr>
                <w:rFonts w:hint="eastAsia" w:ascii="宋体" w:hAnsi="宋体" w:eastAsia="宋体" w:cs="宋体"/>
                <w:szCs w:val="21"/>
                <w:highlight w:val="none"/>
              </w:rPr>
              <w:t>《鹤壁市公共资源交易服务平台》发布，公告期不少于一个工作日。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944" w:type="dxa"/>
            <w:vMerge w:val="restart"/>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其他</w:t>
            </w:r>
          </w:p>
          <w:p>
            <w:pPr>
              <w:adjustRightInd w:val="0"/>
              <w:snapToGrid w:val="0"/>
              <w:spacing w:line="360" w:lineRule="atLeast"/>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说明</w:t>
            </w:r>
          </w:p>
        </w:tc>
        <w:tc>
          <w:tcPr>
            <w:tcW w:w="2006" w:type="dxa"/>
            <w:noWrap w:val="0"/>
            <w:vAlign w:val="center"/>
          </w:tcPr>
          <w:p>
            <w:pPr>
              <w:adjustRightInd w:val="0"/>
              <w:snapToGrid w:val="0"/>
              <w:spacing w:line="36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5901" w:type="dxa"/>
            <w:noWrap w:val="0"/>
            <w:vAlign w:val="center"/>
          </w:tcPr>
          <w:p>
            <w:pPr>
              <w:adjustRightInd w:val="0"/>
              <w:snapToGrid w:val="0"/>
              <w:spacing w:line="36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解释权：构成本采购文件的各个组成文件应互为解释，互为说明；如有不明确或不一致，构成合同文件组成内容的，以合同文件约定内容为准；除采购文件中有特别规定外，仅适用于招标投标阶段的规定，按组成文件的先后顺序解释；同一组成文件中就同一事项的规定或约定不一致的， 以编排顺序在后者为准；同一组成文件不同版本之间有不一致的，以形成时间在后者为准。按本款前述规定仍不能形成结论的， 由</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944" w:type="dxa"/>
            <w:vMerge w:val="continue"/>
            <w:noWrap w:val="0"/>
            <w:vAlign w:val="center"/>
          </w:tcPr>
          <w:p>
            <w:pPr>
              <w:adjustRightInd w:val="0"/>
              <w:snapToGrid w:val="0"/>
              <w:spacing w:line="360" w:lineRule="atLeast"/>
              <w:jc w:val="center"/>
              <w:rPr>
                <w:rFonts w:hint="eastAsia" w:ascii="宋体" w:hAnsi="宋体" w:eastAsia="宋体" w:cs="宋体"/>
                <w:szCs w:val="21"/>
                <w:highlight w:val="none"/>
              </w:rPr>
            </w:pPr>
          </w:p>
        </w:tc>
        <w:tc>
          <w:tcPr>
            <w:tcW w:w="2006" w:type="dxa"/>
            <w:noWrap w:val="0"/>
            <w:vAlign w:val="center"/>
          </w:tcPr>
          <w:p>
            <w:pPr>
              <w:adjustRightInd w:val="0"/>
              <w:snapToGrid w:val="0"/>
              <w:spacing w:line="360" w:lineRule="atLeas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5901" w:type="dxa"/>
            <w:noWrap w:val="0"/>
            <w:vAlign w:val="center"/>
          </w:tcPr>
          <w:p>
            <w:pPr>
              <w:adjustRightInd w:val="0"/>
              <w:snapToGrid w:val="0"/>
              <w:spacing w:line="360" w:lineRule="atLeast"/>
              <w:rPr>
                <w:rFonts w:hint="eastAsia" w:ascii="宋体" w:hAnsi="宋体" w:eastAsia="宋体" w:cs="宋体"/>
                <w:szCs w:val="21"/>
                <w:highlight w:val="none"/>
              </w:rPr>
            </w:pPr>
            <w:r>
              <w:rPr>
                <w:rFonts w:hint="eastAsia" w:ascii="宋体" w:hAnsi="宋体" w:eastAsia="宋体" w:cs="宋体"/>
                <w:szCs w:val="21"/>
                <w:highlight w:val="none"/>
              </w:rPr>
              <w:t>1、为了保障师生身体健康，杜绝“毒跑道”、“烂跑道”出现，投标人所采用的材料须达到国家标准。(自行承诺，格式自拟)</w:t>
            </w:r>
          </w:p>
          <w:p>
            <w:pPr>
              <w:adjustRightInd w:val="0"/>
              <w:snapToGrid w:val="0"/>
              <w:spacing w:line="360" w:lineRule="atLeast"/>
              <w:rPr>
                <w:rFonts w:hint="eastAsia" w:ascii="宋体" w:hAnsi="宋体" w:eastAsia="宋体" w:cs="宋体"/>
                <w:szCs w:val="21"/>
                <w:highlight w:val="none"/>
              </w:rPr>
            </w:pPr>
            <w:r>
              <w:rPr>
                <w:rFonts w:hint="eastAsia" w:ascii="宋体" w:hAnsi="宋体" w:eastAsia="宋体" w:cs="宋体"/>
                <w:szCs w:val="21"/>
                <w:highlight w:val="none"/>
              </w:rPr>
              <w:t>2、本项目所属行业为:建筑业</w:t>
            </w:r>
          </w:p>
        </w:tc>
      </w:tr>
    </w:tbl>
    <w:p>
      <w:pPr>
        <w:autoSpaceDE w:val="0"/>
        <w:autoSpaceDN w:val="0"/>
        <w:adjustRightInd w:val="0"/>
        <w:snapToGrid w:val="0"/>
        <w:spacing w:line="520" w:lineRule="atLeast"/>
        <w:jc w:val="center"/>
        <w:outlineLvl w:val="1"/>
        <w:rPr>
          <w:rFonts w:hint="eastAsia" w:ascii="宋体" w:hAnsi="宋体" w:eastAsia="宋体" w:cs="宋体"/>
          <w:b/>
          <w:bCs/>
          <w:sz w:val="28"/>
          <w:szCs w:val="28"/>
          <w:highlight w:val="none"/>
          <w:lang w:val="zh-CN"/>
        </w:rPr>
      </w:pPr>
      <w:r>
        <w:rPr>
          <w:rFonts w:hint="eastAsia" w:ascii="宋体" w:hAnsi="宋体" w:eastAsia="宋体" w:cs="宋体"/>
          <w:b/>
          <w:bCs/>
          <w:sz w:val="24"/>
          <w:highlight w:val="none"/>
          <w:lang w:val="zh-CN"/>
        </w:rPr>
        <w:br w:type="page"/>
      </w:r>
      <w:bookmarkEnd w:id="3"/>
      <w:bookmarkStart w:id="5" w:name="_Toc20124"/>
      <w:r>
        <w:rPr>
          <w:rFonts w:hint="eastAsia" w:ascii="宋体" w:hAnsi="宋体" w:eastAsia="宋体" w:cs="宋体"/>
          <w:b/>
          <w:bCs/>
          <w:sz w:val="28"/>
          <w:szCs w:val="28"/>
          <w:highlight w:val="none"/>
          <w:lang w:val="zh-CN"/>
        </w:rPr>
        <w:t>一、总  则</w:t>
      </w:r>
      <w:bookmarkEnd w:id="5"/>
    </w:p>
    <w:p>
      <w:pPr>
        <w:adjustRightInd w:val="0"/>
        <w:snapToGrid w:val="0"/>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1.1 项目概况</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1.1.1 根据和《中华人民共和国政府采购法》、《政府采购竞争性磋商采购方式管理暂行办法》等有关法律、法规和规章的规定，项目已具备竞争性磋商条件，现对本项目进行竞争性磋商。</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1.1.2采购人：见竞争性磋商须知前附表；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1.1.3采购代理机构：见竞争性磋商须知前附表；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1.1.4项目名称：见竞争性磋商须知前附表；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1.1.5项目概况：见竞争性磋商须知前附表；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1.1.6资金来源：见竞争性磋商须知前附表；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1.1.7工期要求：见竞争性磋商须知前附表；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1.1.8质量要求：见竞争性磋商须知前附表。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1.1.9采购范围：见竞争性磋商须知前附表。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1.1.10磋商有效期：见竞争性磋商须知前附表。</w:t>
      </w:r>
    </w:p>
    <w:p>
      <w:pPr>
        <w:autoSpaceDE w:val="0"/>
        <w:autoSpaceDN w:val="0"/>
        <w:adjustRightInd w:val="0"/>
        <w:snapToGrid w:val="0"/>
        <w:spacing w:line="400" w:lineRule="exact"/>
        <w:ind w:left="411" w:hanging="411" w:hangingChars="195"/>
        <w:rPr>
          <w:rFonts w:hint="eastAsia" w:ascii="宋体" w:hAnsi="宋体" w:eastAsia="宋体" w:cs="宋体"/>
          <w:b/>
          <w:szCs w:val="21"/>
          <w:highlight w:val="none"/>
          <w:lang w:val="zh-CN"/>
        </w:rPr>
      </w:pPr>
      <w:r>
        <w:rPr>
          <w:rFonts w:hint="eastAsia" w:ascii="宋体" w:hAnsi="宋体" w:eastAsia="宋体" w:cs="宋体"/>
          <w:b/>
          <w:szCs w:val="21"/>
          <w:highlight w:val="none"/>
        </w:rPr>
        <w:t>1.</w:t>
      </w:r>
      <w:r>
        <w:rPr>
          <w:rFonts w:hint="eastAsia" w:ascii="宋体" w:hAnsi="宋体" w:eastAsia="宋体" w:cs="宋体"/>
          <w:b/>
          <w:szCs w:val="21"/>
          <w:highlight w:val="none"/>
          <w:lang w:val="zh-CN"/>
        </w:rPr>
        <w:t xml:space="preserve">2 </w:t>
      </w:r>
      <w:r>
        <w:rPr>
          <w:rFonts w:hint="eastAsia" w:ascii="宋体" w:hAnsi="宋体" w:eastAsia="宋体" w:cs="宋体"/>
          <w:szCs w:val="21"/>
          <w:highlight w:val="none"/>
          <w:lang w:val="zh-CN"/>
        </w:rPr>
        <w:t>供应商是指响应竞争性磋商并且符合本文件规定资格条件和参加磋商竞争的法人、其他组织或者自然人。</w:t>
      </w:r>
    </w:p>
    <w:p>
      <w:pPr>
        <w:autoSpaceDE w:val="0"/>
        <w:autoSpaceDN w:val="0"/>
        <w:adjustRightInd w:val="0"/>
        <w:snapToGrid w:val="0"/>
        <w:spacing w:line="400" w:lineRule="exact"/>
        <w:rPr>
          <w:rFonts w:hint="eastAsia" w:ascii="宋体" w:hAnsi="宋体" w:eastAsia="宋体" w:cs="宋体"/>
          <w:szCs w:val="21"/>
          <w:highlight w:val="none"/>
        </w:rPr>
      </w:pPr>
      <w:r>
        <w:rPr>
          <w:rFonts w:hint="eastAsia" w:ascii="宋体" w:hAnsi="宋体" w:eastAsia="宋体" w:cs="宋体"/>
          <w:b/>
          <w:szCs w:val="21"/>
          <w:highlight w:val="none"/>
          <w:lang w:val="zh-CN"/>
        </w:rPr>
        <w:t>1.3 合格的供应商</w:t>
      </w:r>
    </w:p>
    <w:p>
      <w:pPr>
        <w:adjustRightInd w:val="0"/>
        <w:snapToGrid w:val="0"/>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1.3.1 合格的供应商必须符合磋商文件第二章“供应商须知”前附表供应商资格条件、能力和信誉要求的规定，且具备独立完成该工程的能力，项目成交后不允许分包；</w:t>
      </w:r>
    </w:p>
    <w:p>
      <w:pPr>
        <w:adjustRightInd w:val="0"/>
        <w:snapToGrid w:val="0"/>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1.3.2 合格的供应商必须是有能力按照本磋商文件规定的要求供货及施工，进行项目相关服务，且具有独立承担民事等法律责任的法人或其他经济组织，本次磋商不接受联合体参加； </w:t>
      </w:r>
    </w:p>
    <w:p>
      <w:pPr>
        <w:adjustRightInd w:val="0"/>
        <w:snapToGrid w:val="0"/>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1.3.3 合格的供应商应遵守《中华人民共和国政府采购法》、《政府采购非招标采购方式管理办法》、《中华人民共和国</w:t>
      </w:r>
      <w:r>
        <w:rPr>
          <w:rFonts w:hint="eastAsia" w:ascii="宋体" w:hAnsi="宋体" w:eastAsia="宋体" w:cs="宋体"/>
          <w:highlight w:val="none"/>
          <w:lang w:eastAsia="zh-CN"/>
        </w:rPr>
        <w:t>民法典</w:t>
      </w:r>
      <w:r>
        <w:rPr>
          <w:rFonts w:hint="eastAsia" w:ascii="宋体" w:hAnsi="宋体" w:eastAsia="宋体" w:cs="宋体"/>
          <w:highlight w:val="none"/>
        </w:rPr>
        <w:t>》、《中华人民共和国安全生产法》等有关法律、法规。</w:t>
      </w:r>
    </w:p>
    <w:p>
      <w:pPr>
        <w:adjustRightInd w:val="0"/>
        <w:snapToGrid w:val="0"/>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1.3.4 供应商不得存在下列情形之一： </w:t>
      </w:r>
    </w:p>
    <w:p>
      <w:pPr>
        <w:adjustRightInd w:val="0"/>
        <w:snapToGrid w:val="0"/>
        <w:spacing w:line="400" w:lineRule="exact"/>
        <w:ind w:firstLine="315" w:firstLineChars="150"/>
        <w:rPr>
          <w:rFonts w:hint="eastAsia" w:ascii="宋体" w:hAnsi="宋体" w:eastAsia="宋体" w:cs="宋体"/>
          <w:highlight w:val="none"/>
        </w:rPr>
      </w:pPr>
      <w:r>
        <w:rPr>
          <w:rFonts w:hint="eastAsia" w:ascii="宋体" w:hAnsi="宋体" w:eastAsia="宋体" w:cs="宋体"/>
          <w:highlight w:val="none"/>
        </w:rPr>
        <w:t xml:space="preserve">（1）为采购人不具有独立法人资格的附属机构（单位）； </w:t>
      </w:r>
    </w:p>
    <w:p>
      <w:pPr>
        <w:adjustRightInd w:val="0"/>
        <w:snapToGrid w:val="0"/>
        <w:spacing w:line="400" w:lineRule="exact"/>
        <w:ind w:firstLine="315" w:firstLineChars="150"/>
        <w:rPr>
          <w:rFonts w:hint="eastAsia" w:ascii="宋体" w:hAnsi="宋体" w:eastAsia="宋体" w:cs="宋体"/>
          <w:highlight w:val="none"/>
        </w:rPr>
      </w:pPr>
      <w:r>
        <w:rPr>
          <w:rFonts w:hint="eastAsia" w:ascii="宋体" w:hAnsi="宋体" w:eastAsia="宋体" w:cs="宋体"/>
          <w:highlight w:val="none"/>
        </w:rPr>
        <w:t xml:space="preserve">（2）为本项目前期准备提供设计或咨询服务的，但设计施工总承包的除外； </w:t>
      </w:r>
    </w:p>
    <w:p>
      <w:pPr>
        <w:adjustRightInd w:val="0"/>
        <w:snapToGrid w:val="0"/>
        <w:spacing w:line="400" w:lineRule="exact"/>
        <w:ind w:firstLine="315" w:firstLineChars="150"/>
        <w:rPr>
          <w:rFonts w:hint="eastAsia" w:ascii="宋体" w:hAnsi="宋体" w:eastAsia="宋体" w:cs="宋体"/>
          <w:highlight w:val="none"/>
        </w:rPr>
      </w:pPr>
      <w:r>
        <w:rPr>
          <w:rFonts w:hint="eastAsia" w:ascii="宋体" w:hAnsi="宋体" w:eastAsia="宋体" w:cs="宋体"/>
          <w:highlight w:val="none"/>
        </w:rPr>
        <w:t xml:space="preserve">（3）为本项目的监理人； </w:t>
      </w:r>
    </w:p>
    <w:p>
      <w:pPr>
        <w:adjustRightInd w:val="0"/>
        <w:snapToGrid w:val="0"/>
        <w:spacing w:line="400" w:lineRule="exact"/>
        <w:ind w:firstLine="315" w:firstLineChars="150"/>
        <w:rPr>
          <w:rFonts w:hint="eastAsia" w:ascii="宋体" w:hAnsi="宋体" w:eastAsia="宋体" w:cs="宋体"/>
          <w:highlight w:val="none"/>
        </w:rPr>
      </w:pPr>
      <w:r>
        <w:rPr>
          <w:rFonts w:hint="eastAsia" w:ascii="宋体" w:hAnsi="宋体" w:eastAsia="宋体" w:cs="宋体"/>
          <w:highlight w:val="none"/>
        </w:rPr>
        <w:t xml:space="preserve">（4）为本项目的代建人； </w:t>
      </w:r>
    </w:p>
    <w:p>
      <w:pPr>
        <w:adjustRightInd w:val="0"/>
        <w:snapToGrid w:val="0"/>
        <w:spacing w:line="400" w:lineRule="exact"/>
        <w:ind w:firstLine="315" w:firstLineChars="150"/>
        <w:rPr>
          <w:rFonts w:hint="eastAsia" w:ascii="宋体" w:hAnsi="宋体" w:eastAsia="宋体" w:cs="宋体"/>
          <w:highlight w:val="none"/>
        </w:rPr>
      </w:pPr>
      <w:r>
        <w:rPr>
          <w:rFonts w:hint="eastAsia" w:ascii="宋体" w:hAnsi="宋体" w:eastAsia="宋体" w:cs="宋体"/>
          <w:highlight w:val="none"/>
        </w:rPr>
        <w:t xml:space="preserve">（5）为本项目提供采购代理服务的； </w:t>
      </w:r>
    </w:p>
    <w:p>
      <w:pPr>
        <w:adjustRightInd w:val="0"/>
        <w:snapToGrid w:val="0"/>
        <w:spacing w:line="400" w:lineRule="exact"/>
        <w:ind w:firstLine="315" w:firstLineChars="150"/>
        <w:rPr>
          <w:rFonts w:hint="eastAsia" w:ascii="宋体" w:hAnsi="宋体" w:eastAsia="宋体" w:cs="宋体"/>
          <w:highlight w:val="none"/>
        </w:rPr>
      </w:pPr>
      <w:r>
        <w:rPr>
          <w:rFonts w:hint="eastAsia" w:ascii="宋体" w:hAnsi="宋体" w:eastAsia="宋体" w:cs="宋体"/>
          <w:highlight w:val="none"/>
        </w:rPr>
        <w:t xml:space="preserve">（6）与本项目的监理人或代建人或采购代理机构同为一个法定代表人的； </w:t>
      </w:r>
    </w:p>
    <w:p>
      <w:pPr>
        <w:adjustRightInd w:val="0"/>
        <w:snapToGrid w:val="0"/>
        <w:spacing w:line="400" w:lineRule="exact"/>
        <w:ind w:firstLine="315" w:firstLineChars="150"/>
        <w:rPr>
          <w:rFonts w:hint="eastAsia" w:ascii="宋体" w:hAnsi="宋体" w:eastAsia="宋体" w:cs="宋体"/>
          <w:highlight w:val="none"/>
        </w:rPr>
      </w:pPr>
      <w:r>
        <w:rPr>
          <w:rFonts w:hint="eastAsia" w:ascii="宋体" w:hAnsi="宋体" w:eastAsia="宋体" w:cs="宋体"/>
          <w:highlight w:val="none"/>
        </w:rPr>
        <w:t xml:space="preserve">（7）与本项目的监理人或代建人或采购代理机构相互控股或参股的； </w:t>
      </w:r>
    </w:p>
    <w:p>
      <w:pPr>
        <w:adjustRightInd w:val="0"/>
        <w:snapToGrid w:val="0"/>
        <w:spacing w:line="400" w:lineRule="exact"/>
        <w:ind w:firstLine="315" w:firstLineChars="150"/>
        <w:rPr>
          <w:rFonts w:hint="eastAsia" w:ascii="宋体" w:hAnsi="宋体" w:eastAsia="宋体" w:cs="宋体"/>
          <w:highlight w:val="none"/>
        </w:rPr>
      </w:pPr>
      <w:r>
        <w:rPr>
          <w:rFonts w:hint="eastAsia" w:ascii="宋体" w:hAnsi="宋体" w:eastAsia="宋体" w:cs="宋体"/>
          <w:highlight w:val="none"/>
        </w:rPr>
        <w:t xml:space="preserve">（8）与本项目的监理人或代建人或采购代理机构相互任职或工作的； </w:t>
      </w:r>
    </w:p>
    <w:p>
      <w:pPr>
        <w:adjustRightInd w:val="0"/>
        <w:snapToGrid w:val="0"/>
        <w:spacing w:line="400" w:lineRule="exact"/>
        <w:ind w:firstLine="315" w:firstLineChars="150"/>
        <w:rPr>
          <w:rFonts w:hint="eastAsia" w:ascii="宋体" w:hAnsi="宋体" w:eastAsia="宋体" w:cs="宋体"/>
          <w:highlight w:val="none"/>
        </w:rPr>
      </w:pPr>
      <w:r>
        <w:rPr>
          <w:rFonts w:hint="eastAsia" w:ascii="宋体" w:hAnsi="宋体" w:eastAsia="宋体" w:cs="宋体"/>
          <w:highlight w:val="none"/>
        </w:rPr>
        <w:t xml:space="preserve">（9）被责令停业的； </w:t>
      </w:r>
    </w:p>
    <w:p>
      <w:pPr>
        <w:adjustRightInd w:val="0"/>
        <w:snapToGrid w:val="0"/>
        <w:spacing w:line="400" w:lineRule="exact"/>
        <w:ind w:firstLine="315" w:firstLineChars="150"/>
        <w:rPr>
          <w:rFonts w:hint="eastAsia" w:ascii="宋体" w:hAnsi="宋体" w:eastAsia="宋体" w:cs="宋体"/>
          <w:highlight w:val="none"/>
        </w:rPr>
      </w:pPr>
      <w:r>
        <w:rPr>
          <w:rFonts w:hint="eastAsia" w:ascii="宋体" w:hAnsi="宋体" w:eastAsia="宋体" w:cs="宋体"/>
          <w:highlight w:val="none"/>
        </w:rPr>
        <w:t xml:space="preserve">（10）被暂停或取消投标资格的； </w:t>
      </w:r>
    </w:p>
    <w:p>
      <w:pPr>
        <w:adjustRightInd w:val="0"/>
        <w:snapToGrid w:val="0"/>
        <w:spacing w:line="400" w:lineRule="exact"/>
        <w:ind w:firstLine="315" w:firstLineChars="150"/>
        <w:rPr>
          <w:rFonts w:hint="eastAsia" w:ascii="宋体" w:hAnsi="宋体" w:eastAsia="宋体" w:cs="宋体"/>
          <w:highlight w:val="none"/>
        </w:rPr>
      </w:pPr>
      <w:r>
        <w:rPr>
          <w:rFonts w:hint="eastAsia" w:ascii="宋体" w:hAnsi="宋体" w:eastAsia="宋体" w:cs="宋体"/>
          <w:highlight w:val="none"/>
        </w:rPr>
        <w:t xml:space="preserve">（11）财产被接管或冻结的； </w:t>
      </w:r>
    </w:p>
    <w:p>
      <w:pPr>
        <w:adjustRightInd w:val="0"/>
        <w:snapToGrid w:val="0"/>
        <w:spacing w:line="400" w:lineRule="exact"/>
        <w:ind w:firstLine="315" w:firstLineChars="150"/>
        <w:rPr>
          <w:rFonts w:hint="eastAsia" w:ascii="宋体" w:hAnsi="宋体" w:eastAsia="宋体" w:cs="宋体"/>
          <w:highlight w:val="none"/>
        </w:rPr>
      </w:pPr>
      <w:r>
        <w:rPr>
          <w:rFonts w:hint="eastAsia" w:ascii="宋体" w:hAnsi="宋体" w:eastAsia="宋体" w:cs="宋体"/>
          <w:highlight w:val="none"/>
        </w:rPr>
        <w:t xml:space="preserve">（12）在最近三年内有骗取成交或严重违约或重大工程质量问题的。 </w:t>
      </w:r>
    </w:p>
    <w:p>
      <w:pPr>
        <w:adjustRightInd w:val="0"/>
        <w:snapToGrid w:val="0"/>
        <w:spacing w:line="400" w:lineRule="exact"/>
        <w:ind w:firstLine="420" w:firstLineChars="200"/>
        <w:rPr>
          <w:rFonts w:hint="eastAsia" w:ascii="宋体" w:hAnsi="宋体" w:eastAsia="宋体" w:cs="宋体"/>
          <w:b w:val="0"/>
          <w:bCs w:val="0"/>
          <w:highlight w:val="none"/>
        </w:rPr>
      </w:pPr>
      <w:r>
        <w:rPr>
          <w:rFonts w:hint="eastAsia" w:ascii="宋体" w:hAnsi="宋体" w:eastAsia="宋体" w:cs="宋体"/>
          <w:b w:val="0"/>
          <w:bCs w:val="0"/>
          <w:highlight w:val="none"/>
        </w:rPr>
        <w:t>(13）供应商被列入失信被执行人、重大税收违法案件当事人名单、政府采购严重违法失信行为记录名单的企业；</w:t>
      </w:r>
    </w:p>
    <w:p>
      <w:pPr>
        <w:adjustRightInd w:val="0"/>
        <w:snapToGrid w:val="0"/>
        <w:spacing w:line="400" w:lineRule="exact"/>
        <w:ind w:firstLine="315" w:firstLineChars="150"/>
        <w:rPr>
          <w:rFonts w:hint="eastAsia" w:ascii="宋体" w:hAnsi="宋体" w:eastAsia="宋体" w:cs="宋体"/>
          <w:b w:val="0"/>
          <w:bCs w:val="0"/>
          <w:highlight w:val="none"/>
        </w:rPr>
      </w:pPr>
      <w:r>
        <w:rPr>
          <w:rFonts w:hint="eastAsia" w:ascii="宋体" w:hAnsi="宋体" w:eastAsia="宋体" w:cs="宋体"/>
          <w:b w:val="0"/>
          <w:bCs w:val="0"/>
          <w:highlight w:val="none"/>
        </w:rPr>
        <w:t>（14）在响应文件中，弄虚作假、隐瞒事实，没有按照竞争性磋商文件规定如实提供相关材料的。</w:t>
      </w:r>
    </w:p>
    <w:p>
      <w:pPr>
        <w:adjustRightInd w:val="0"/>
        <w:snapToGrid w:val="0"/>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1.4 竞争性磋商文件的构成</w:t>
      </w:r>
    </w:p>
    <w:p>
      <w:pPr>
        <w:autoSpaceDE w:val="0"/>
        <w:autoSpaceDN w:val="0"/>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zh-CN"/>
        </w:rPr>
        <w:t>1.4.1 竞争性磋商文件组成：竞争性磋商须知、供应商应当提交的资格和资信证明文件、报价要求、响应文件编制要求和竞争性磋商采购项目的合同主要条款及合同签订方式成交方法、成交标准、无效报价条款、附件等。</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1.4.2 竞争性磋商按投标总报价，供应商对要求提供的货物和服务的全部费用。</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1.4.3</w:t>
      </w:r>
      <w:r>
        <w:rPr>
          <w:rFonts w:hint="eastAsia" w:ascii="宋体" w:hAnsi="宋体" w:eastAsia="宋体" w:cs="宋体"/>
          <w:szCs w:val="21"/>
          <w:highlight w:val="none"/>
        </w:rPr>
        <w:t xml:space="preserve"> 采购人或代理公司发出的答疑或补遗书（如有）构成磋商文件的其它组成部分。</w:t>
      </w:r>
    </w:p>
    <w:p>
      <w:pPr>
        <w:autoSpaceDE w:val="0"/>
        <w:autoSpaceDN w:val="0"/>
        <w:adjustRightInd w:val="0"/>
        <w:snapToGrid w:val="0"/>
        <w:spacing w:line="400" w:lineRule="exact"/>
        <w:rPr>
          <w:rFonts w:hint="eastAsia" w:ascii="宋体" w:hAnsi="宋体" w:eastAsia="宋体" w:cs="宋体"/>
          <w:b/>
          <w:bCs/>
          <w:szCs w:val="21"/>
          <w:highlight w:val="none"/>
          <w:lang w:val="zh-CN"/>
        </w:rPr>
      </w:pPr>
      <w:bookmarkStart w:id="6" w:name="_Toc26726"/>
      <w:r>
        <w:rPr>
          <w:rFonts w:hint="eastAsia" w:ascii="宋体" w:hAnsi="宋体" w:eastAsia="宋体" w:cs="宋体"/>
          <w:b/>
          <w:bCs/>
          <w:szCs w:val="21"/>
          <w:highlight w:val="none"/>
          <w:lang w:val="zh-CN"/>
        </w:rPr>
        <w:t>1.5 竞争性磋商文件的澄清、修改</w:t>
      </w:r>
      <w:bookmarkEnd w:id="6"/>
    </w:p>
    <w:p>
      <w:pPr>
        <w:autoSpaceDE w:val="0"/>
        <w:autoSpaceDN w:val="0"/>
        <w:adjustRightInd w:val="0"/>
        <w:snapToGrid w:val="0"/>
        <w:spacing w:line="400" w:lineRule="exact"/>
        <w:ind w:firstLine="420" w:firstLineChars="200"/>
        <w:rPr>
          <w:rFonts w:hint="eastAsia" w:ascii="宋体" w:hAnsi="宋体" w:eastAsia="宋体" w:cs="宋体"/>
          <w:kern w:val="0"/>
          <w:highlight w:val="none"/>
        </w:rPr>
      </w:pPr>
      <w:bookmarkStart w:id="7" w:name="_Toc27629"/>
      <w:r>
        <w:rPr>
          <w:rFonts w:hint="eastAsia" w:ascii="宋体" w:hAnsi="宋体" w:eastAsia="宋体" w:cs="宋体"/>
          <w:kern w:val="0"/>
          <w:highlight w:val="none"/>
        </w:rPr>
        <w:t xml:space="preserve">1.5.1 供应商应认真阅读竞争性磋商文件中所有的须知、格式、条款、技术规格和其它资料。如果供应商没有按照竞争性磋商文件要求提交全部资料，或者提交的资料没有对竞争性磋商文件在各方面都做出实质性响应而导致其报价被拒绝，该责任由供应商承担。 </w:t>
      </w:r>
    </w:p>
    <w:p>
      <w:pPr>
        <w:autoSpaceDE w:val="0"/>
        <w:autoSpaceDN w:val="0"/>
        <w:adjustRightInd w:val="0"/>
        <w:snapToGrid w:val="0"/>
        <w:spacing w:line="400" w:lineRule="exact"/>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 xml:space="preserve">1.5.2供应商领取了竞争性磋商文件后,在递交响应文件截止日一个工作日前未提出正式质疑的，视为完全接受本竞争性磋商文件的所有要约条件，在上述规定的时间之后对竞争性磋商文件提出的质疑，采购代理机构有权不予受理。                                                         </w:t>
      </w:r>
    </w:p>
    <w:p>
      <w:pPr>
        <w:autoSpaceDE w:val="0"/>
        <w:autoSpaceDN w:val="0"/>
        <w:adjustRightInd w:val="0"/>
        <w:snapToGrid w:val="0"/>
        <w:spacing w:line="400" w:lineRule="exact"/>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1.5.3供应商应仔细阅读和检查竞争性磋商文件的全部内容（包含工程量清单（如有）等竞争性磋商文件构成材料）。如发现缺页或附件不全，应及时向采购人提出，以便补齐。如有疑问，应在“供应商须知前附表”规定的时间前，要求采购人对竞争性磋商文件予以澄清。</w:t>
      </w:r>
    </w:p>
    <w:p>
      <w:pPr>
        <w:autoSpaceDE w:val="0"/>
        <w:autoSpaceDN w:val="0"/>
        <w:adjustRightInd w:val="0"/>
        <w:snapToGrid w:val="0"/>
        <w:spacing w:line="400" w:lineRule="exact"/>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1.5.4 竞争性磋商文件的澄清将在“供应商须知前附表规定”时间内发出澄清，但不指明澄清问题的来源。</w:t>
      </w:r>
    </w:p>
    <w:p>
      <w:pPr>
        <w:autoSpaceDE w:val="0"/>
        <w:autoSpaceDN w:val="0"/>
        <w:adjustRightInd w:val="0"/>
        <w:snapToGrid w:val="0"/>
        <w:spacing w:line="400" w:lineRule="exact"/>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1.5.5 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应当在提交首次响应文件截止之日5日前，通知所有接收竞争性磋商文件的供应商，不足5日的，应当顺延提交首次响应文件截止之日。</w:t>
      </w:r>
    </w:p>
    <w:p>
      <w:pPr>
        <w:autoSpaceDE w:val="0"/>
        <w:autoSpaceDN w:val="0"/>
        <w:adjustRightInd w:val="0"/>
        <w:snapToGrid w:val="0"/>
        <w:spacing w:line="400" w:lineRule="exact"/>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1.5.6 本次招标项目澄清、补充、修改、疑问答复、延期等情况，将在</w:t>
      </w:r>
      <w:r>
        <w:rPr>
          <w:rFonts w:hint="eastAsia" w:ascii="宋体" w:hAnsi="宋体" w:eastAsia="宋体" w:cs="宋体"/>
          <w:kern w:val="0"/>
          <w:highlight w:val="none"/>
          <w:lang w:eastAsia="zh-CN"/>
        </w:rPr>
        <w:t>《</w:t>
      </w:r>
      <w:r>
        <w:rPr>
          <w:rFonts w:hint="eastAsia" w:ascii="宋体" w:hAnsi="宋体" w:eastAsia="宋体" w:cs="宋体"/>
          <w:kern w:val="0"/>
          <w:highlight w:val="none"/>
        </w:rPr>
        <w:t>鹤壁市政府采购网</w:t>
      </w:r>
      <w:r>
        <w:rPr>
          <w:rFonts w:hint="eastAsia" w:ascii="宋体" w:hAnsi="宋体" w:eastAsia="宋体" w:cs="宋体"/>
          <w:kern w:val="0"/>
          <w:highlight w:val="none"/>
          <w:lang w:eastAsia="zh-CN"/>
        </w:rPr>
        <w:t>》、《鹤壁市公共资源交易服务平台》</w:t>
      </w:r>
      <w:r>
        <w:rPr>
          <w:rFonts w:hint="eastAsia" w:ascii="宋体" w:hAnsi="宋体" w:eastAsia="宋体" w:cs="宋体"/>
          <w:kern w:val="0"/>
          <w:highlight w:val="none"/>
        </w:rPr>
        <w:t>网站上发布“变更公告”。供应商应自行查阅，随时关注，采购人不再另行通知，且不需要供应商确认；当竞争性磋商文件的澄清、修改、补充等在同一内容上表述不一致时，以最后发布的内容为准。各供应商须下载最新的答疑文件，以此编制响应文件。因潜在供应商未能及时查看或操作不当造成的一切损失，由潜在供应商自行承担。</w:t>
      </w:r>
    </w:p>
    <w:p>
      <w:pPr>
        <w:autoSpaceDE w:val="0"/>
        <w:autoSpaceDN w:val="0"/>
        <w:adjustRightInd w:val="0"/>
        <w:snapToGrid w:val="0"/>
        <w:spacing w:line="400" w:lineRule="exact"/>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1.5.7 当竞争性磋商文件补充（答疑）文件内容相矛盾时，以最后发出的内容为准。竞争性磋商过程中产生的修改文件或补充文件与竞争性磋商文件具有同等的法律效力。</w:t>
      </w:r>
    </w:p>
    <w:p>
      <w:pPr>
        <w:autoSpaceDE w:val="0"/>
        <w:autoSpaceDN w:val="0"/>
        <w:adjustRightInd w:val="0"/>
        <w:snapToGrid w:val="0"/>
        <w:spacing w:line="400" w:lineRule="exact"/>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1.6 费用承担</w:t>
      </w:r>
      <w:bookmarkEnd w:id="7"/>
    </w:p>
    <w:p>
      <w:pPr>
        <w:adjustRightInd w:val="0"/>
        <w:snapToGrid w:val="0"/>
        <w:spacing w:line="400" w:lineRule="exact"/>
        <w:ind w:firstLine="420" w:firstLineChars="200"/>
        <w:jc w:val="left"/>
        <w:rPr>
          <w:rFonts w:hint="eastAsia" w:ascii="宋体" w:hAnsi="宋体" w:eastAsia="宋体" w:cs="宋体"/>
          <w:kern w:val="0"/>
          <w:highlight w:val="none"/>
          <w:lang w:val="zh-CN"/>
        </w:rPr>
      </w:pPr>
      <w:r>
        <w:rPr>
          <w:rFonts w:hint="eastAsia" w:ascii="宋体" w:hAnsi="宋体" w:eastAsia="宋体" w:cs="宋体"/>
          <w:kern w:val="0"/>
          <w:highlight w:val="none"/>
          <w:lang w:val="zh-CN"/>
        </w:rPr>
        <w:t>1.</w:t>
      </w:r>
      <w:r>
        <w:rPr>
          <w:rFonts w:hint="eastAsia" w:ascii="宋体" w:hAnsi="宋体" w:eastAsia="宋体" w:cs="宋体"/>
          <w:kern w:val="0"/>
          <w:highlight w:val="none"/>
        </w:rPr>
        <w:t>6</w:t>
      </w:r>
      <w:r>
        <w:rPr>
          <w:rFonts w:hint="eastAsia" w:ascii="宋体" w:hAnsi="宋体" w:eastAsia="宋体" w:cs="宋体"/>
          <w:kern w:val="0"/>
          <w:highlight w:val="none"/>
          <w:lang w:val="zh-CN"/>
        </w:rPr>
        <w:t>.1供应商准备和参加磋商活动发生的费用自理。</w:t>
      </w:r>
    </w:p>
    <w:p>
      <w:pPr>
        <w:adjustRightInd w:val="0"/>
        <w:snapToGrid w:val="0"/>
        <w:spacing w:line="400" w:lineRule="exact"/>
        <w:ind w:firstLine="420" w:firstLineChars="200"/>
        <w:jc w:val="left"/>
        <w:rPr>
          <w:rFonts w:hint="eastAsia" w:ascii="宋体" w:hAnsi="宋体" w:eastAsia="宋体" w:cs="宋体"/>
          <w:kern w:val="0"/>
          <w:highlight w:val="none"/>
          <w:lang w:eastAsia="zh-CN"/>
        </w:rPr>
      </w:pPr>
      <w:r>
        <w:rPr>
          <w:rFonts w:hint="eastAsia" w:ascii="宋体" w:hAnsi="宋体" w:eastAsia="宋体" w:cs="宋体"/>
          <w:kern w:val="0"/>
          <w:highlight w:val="none"/>
          <w:lang w:val="zh-CN"/>
        </w:rPr>
        <w:t>1.</w:t>
      </w:r>
      <w:r>
        <w:rPr>
          <w:rFonts w:hint="eastAsia" w:ascii="宋体" w:hAnsi="宋体" w:eastAsia="宋体" w:cs="宋体"/>
          <w:kern w:val="0"/>
          <w:highlight w:val="none"/>
        </w:rPr>
        <w:t>6</w:t>
      </w:r>
      <w:r>
        <w:rPr>
          <w:rFonts w:hint="eastAsia" w:ascii="宋体" w:hAnsi="宋体" w:eastAsia="宋体" w:cs="宋体"/>
          <w:kern w:val="0"/>
          <w:highlight w:val="none"/>
          <w:lang w:val="zh-CN"/>
        </w:rPr>
        <w:t>.2</w:t>
      </w:r>
      <w:r>
        <w:rPr>
          <w:rFonts w:hint="eastAsia" w:ascii="宋体" w:hAnsi="宋体" w:eastAsia="宋体" w:cs="宋体"/>
          <w:kern w:val="0"/>
          <w:highlight w:val="none"/>
        </w:rPr>
        <w:t>代理服务费</w:t>
      </w:r>
      <w:r>
        <w:rPr>
          <w:rFonts w:hint="eastAsia" w:ascii="宋体" w:hAnsi="宋体" w:eastAsia="宋体" w:cs="宋体"/>
          <w:kern w:val="0"/>
          <w:highlight w:val="none"/>
          <w:lang w:val="en-US" w:eastAsia="zh-CN"/>
        </w:rPr>
        <w:t>参照</w:t>
      </w:r>
      <w:r>
        <w:rPr>
          <w:rFonts w:hint="eastAsia" w:ascii="宋体" w:hAnsi="宋体" w:eastAsia="宋体" w:cs="宋体"/>
          <w:kern w:val="0"/>
          <w:highlight w:val="none"/>
        </w:rPr>
        <w:t>豫招协[2023]002 号文规定由中标人支付</w:t>
      </w:r>
      <w:r>
        <w:rPr>
          <w:rFonts w:hint="eastAsia" w:ascii="宋体" w:hAnsi="宋体" w:eastAsia="宋体" w:cs="宋体"/>
          <w:kern w:val="0"/>
          <w:highlight w:val="none"/>
          <w:lang w:eastAsia="zh-CN"/>
        </w:rPr>
        <w:t>。</w:t>
      </w:r>
    </w:p>
    <w:p>
      <w:pPr>
        <w:autoSpaceDE w:val="0"/>
        <w:autoSpaceDN w:val="0"/>
        <w:adjustRightInd w:val="0"/>
        <w:snapToGrid w:val="0"/>
        <w:spacing w:line="400" w:lineRule="exact"/>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1.7 付款方式</w:t>
      </w:r>
    </w:p>
    <w:p>
      <w:pPr>
        <w:autoSpaceDE w:val="0"/>
        <w:autoSpaceDN w:val="0"/>
        <w:adjustRightInd w:val="0"/>
        <w:snapToGrid w:val="0"/>
        <w:spacing w:line="400" w:lineRule="exact"/>
        <w:ind w:firstLine="420" w:firstLineChars="20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见供应商须知前附表。</w:t>
      </w:r>
    </w:p>
    <w:p>
      <w:pPr>
        <w:autoSpaceDE w:val="0"/>
        <w:autoSpaceDN w:val="0"/>
        <w:adjustRightInd w:val="0"/>
        <w:snapToGrid w:val="0"/>
        <w:spacing w:line="400" w:lineRule="exact"/>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1.8 现场察看方式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1.8.1</w:t>
      </w:r>
      <w:r>
        <w:rPr>
          <w:rFonts w:hint="eastAsia" w:ascii="宋体" w:hAnsi="宋体" w:eastAsia="宋体" w:cs="宋体"/>
          <w:szCs w:val="21"/>
          <w:highlight w:val="none"/>
          <w:lang w:val="zh-CN"/>
        </w:rPr>
        <w:t>采购人不组织，供应商自行察看。</w:t>
      </w:r>
    </w:p>
    <w:p>
      <w:pPr>
        <w:pStyle w:val="6"/>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highlight w:val="none"/>
          <w:lang w:val="zh-CN"/>
        </w:rPr>
      </w:pPr>
      <w:r>
        <w:rPr>
          <w:rFonts w:hint="eastAsia" w:ascii="宋体" w:hAnsi="宋体" w:eastAsia="宋体" w:cs="宋体"/>
          <w:szCs w:val="21"/>
          <w:highlight w:val="none"/>
          <w:lang w:val="en-US" w:eastAsia="zh-CN"/>
        </w:rPr>
        <w:t>1.8.2供应商察看现场发生的费用自理。</w:t>
      </w:r>
    </w:p>
    <w:p>
      <w:pPr>
        <w:pStyle w:val="6"/>
        <w:spacing w:line="360" w:lineRule="auto"/>
        <w:ind w:left="0" w:leftChars="0" w:firstLine="0" w:firstLineChars="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1.9</w:t>
      </w:r>
      <w:r>
        <w:rPr>
          <w:rFonts w:hint="eastAsia" w:ascii="宋体" w:hAnsi="宋体" w:eastAsia="宋体" w:cs="宋体"/>
          <w:b/>
          <w:bCs/>
          <w:sz w:val="21"/>
          <w:szCs w:val="24"/>
          <w:highlight w:val="none"/>
        </w:rPr>
        <w:t>工程</w:t>
      </w:r>
      <w:r>
        <w:rPr>
          <w:rFonts w:hint="eastAsia" w:ascii="宋体" w:hAnsi="宋体" w:eastAsia="宋体" w:cs="宋体"/>
          <w:b/>
          <w:bCs/>
          <w:sz w:val="21"/>
          <w:szCs w:val="24"/>
          <w:highlight w:val="none"/>
          <w:lang w:val="en-US" w:eastAsia="zh-CN"/>
        </w:rPr>
        <w:t>造价</w:t>
      </w:r>
      <w:r>
        <w:rPr>
          <w:rFonts w:hint="eastAsia" w:ascii="宋体" w:hAnsi="宋体" w:eastAsia="宋体" w:cs="宋体"/>
          <w:b/>
          <w:bCs/>
          <w:sz w:val="21"/>
          <w:szCs w:val="24"/>
          <w:highlight w:val="none"/>
        </w:rPr>
        <w:t>计价依据</w:t>
      </w:r>
      <w:r>
        <w:rPr>
          <w:rFonts w:hint="eastAsia" w:ascii="宋体" w:hAnsi="宋体" w:eastAsia="宋体" w:cs="宋体"/>
          <w:b/>
          <w:bCs/>
          <w:sz w:val="21"/>
          <w:szCs w:val="24"/>
          <w:highlight w:val="none"/>
          <w:lang w:eastAsia="zh-CN"/>
        </w:rPr>
        <w:t>及结算方式</w:t>
      </w:r>
    </w:p>
    <w:p>
      <w:pPr>
        <w:pStyle w:val="6"/>
        <w:spacing w:line="360" w:lineRule="auto"/>
        <w:ind w:left="0" w:leftChars="0" w:firstLine="0" w:firstLineChars="0"/>
        <w:rPr>
          <w:rFonts w:hint="eastAsia" w:ascii="宋体" w:hAnsi="宋体" w:eastAsia="宋体" w:cs="宋体"/>
          <w:b/>
          <w:bCs/>
          <w:sz w:val="21"/>
          <w:szCs w:val="24"/>
          <w:highlight w:val="none"/>
        </w:rPr>
      </w:pPr>
      <w:r>
        <w:rPr>
          <w:rFonts w:hint="eastAsia" w:ascii="宋体" w:hAnsi="宋体" w:eastAsia="宋体" w:cs="宋体"/>
          <w:b/>
          <w:bCs/>
          <w:szCs w:val="21"/>
          <w:highlight w:val="none"/>
          <w:lang w:val="en-US" w:eastAsia="zh-CN"/>
        </w:rPr>
        <w:t>1.9.1</w:t>
      </w:r>
      <w:r>
        <w:rPr>
          <w:rFonts w:hint="eastAsia" w:ascii="宋体" w:hAnsi="宋体" w:eastAsia="宋体" w:cs="宋体"/>
          <w:b/>
          <w:bCs/>
          <w:sz w:val="21"/>
          <w:szCs w:val="24"/>
          <w:highlight w:val="none"/>
        </w:rPr>
        <w:t>工程</w:t>
      </w:r>
      <w:r>
        <w:rPr>
          <w:rFonts w:hint="eastAsia" w:ascii="宋体" w:hAnsi="宋体" w:eastAsia="宋体" w:cs="宋体"/>
          <w:b/>
          <w:bCs/>
          <w:sz w:val="21"/>
          <w:szCs w:val="24"/>
          <w:highlight w:val="none"/>
          <w:lang w:val="en-US" w:eastAsia="zh-CN"/>
        </w:rPr>
        <w:t>造价</w:t>
      </w:r>
      <w:r>
        <w:rPr>
          <w:rFonts w:hint="eastAsia" w:ascii="宋体" w:hAnsi="宋体" w:eastAsia="宋体" w:cs="宋体"/>
          <w:b/>
          <w:bCs/>
          <w:sz w:val="21"/>
          <w:szCs w:val="24"/>
          <w:highlight w:val="none"/>
        </w:rPr>
        <w:t>计价依据如下：</w:t>
      </w:r>
    </w:p>
    <w:p>
      <w:pPr>
        <w:keepNext w:val="0"/>
        <w:keepLines w:val="0"/>
        <w:pageBreakBefore w:val="0"/>
        <w:widowControl w:val="0"/>
        <w:kinsoku/>
        <w:wordWrap/>
        <w:overflowPunct/>
        <w:topLinePunct w:val="0"/>
        <w:autoSpaceDE/>
        <w:autoSpaceDN/>
        <w:bidi w:val="0"/>
        <w:spacing w:before="142" w:line="500" w:lineRule="exact"/>
        <w:ind w:left="436"/>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ascii="宋体" w:hAnsi="宋体" w:eastAsia="宋体" w:cs="宋体"/>
          <w:spacing w:val="8"/>
          <w:sz w:val="21"/>
          <w:szCs w:val="21"/>
          <w:highlight w:val="none"/>
        </w:rPr>
        <w:t>、工程总造价编制依据详见工程量清单总说明。</w:t>
      </w:r>
    </w:p>
    <w:p>
      <w:pPr>
        <w:keepNext w:val="0"/>
        <w:keepLines w:val="0"/>
        <w:pageBreakBefore w:val="0"/>
        <w:widowControl w:val="0"/>
        <w:kinsoku/>
        <w:wordWrap/>
        <w:overflowPunct/>
        <w:topLinePunct w:val="0"/>
        <w:autoSpaceDE/>
        <w:autoSpaceDN/>
        <w:bidi w:val="0"/>
        <w:spacing w:before="162" w:line="500" w:lineRule="exact"/>
        <w:ind w:left="423"/>
        <w:textAlignment w:val="auto"/>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2、</w:t>
      </w:r>
      <w:r>
        <w:rPr>
          <w:rFonts w:hint="eastAsia" w:ascii="宋体" w:hAnsi="宋体" w:eastAsia="宋体" w:cs="宋体"/>
          <w:spacing w:val="9"/>
          <w:sz w:val="21"/>
          <w:szCs w:val="21"/>
          <w:highlight w:val="none"/>
        </w:rPr>
        <w:t>人</w:t>
      </w:r>
      <w:r>
        <w:rPr>
          <w:rFonts w:hint="eastAsia" w:ascii="宋体" w:hAnsi="宋体" w:eastAsia="宋体" w:cs="宋体"/>
          <w:spacing w:val="8"/>
          <w:sz w:val="21"/>
          <w:szCs w:val="21"/>
          <w:highlight w:val="none"/>
        </w:rPr>
        <w:t>工、依据及取费标准详见工程量清单总说明。</w:t>
      </w:r>
    </w:p>
    <w:p>
      <w:pPr>
        <w:keepNext w:val="0"/>
        <w:keepLines w:val="0"/>
        <w:pageBreakBefore w:val="0"/>
        <w:widowControl w:val="0"/>
        <w:kinsoku/>
        <w:wordWrap/>
        <w:overflowPunct/>
        <w:topLinePunct w:val="0"/>
        <w:autoSpaceDE/>
        <w:autoSpaceDN/>
        <w:bidi w:val="0"/>
        <w:spacing w:before="161" w:line="500" w:lineRule="exact"/>
        <w:ind w:left="425"/>
        <w:textAlignment w:val="auto"/>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3</w:t>
      </w:r>
      <w:r>
        <w:rPr>
          <w:rFonts w:hint="eastAsia" w:ascii="宋体" w:hAnsi="宋体" w:eastAsia="宋体" w:cs="宋体"/>
          <w:spacing w:val="11"/>
          <w:sz w:val="21"/>
          <w:szCs w:val="21"/>
          <w:highlight w:val="none"/>
        </w:rPr>
        <w:t>、</w:t>
      </w:r>
      <w:r>
        <w:rPr>
          <w:rFonts w:hint="eastAsia" w:ascii="宋体" w:hAnsi="宋体" w:eastAsia="宋体" w:cs="宋体"/>
          <w:spacing w:val="8"/>
          <w:sz w:val="21"/>
          <w:szCs w:val="21"/>
          <w:highlight w:val="none"/>
        </w:rPr>
        <w:t>材料价格执行标准详见工程量清单总说明。</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4、供应商</w:t>
      </w:r>
      <w:r>
        <w:rPr>
          <w:rFonts w:hint="eastAsia" w:ascii="宋体" w:hAnsi="宋体" w:eastAsia="宋体" w:cs="宋体"/>
          <w:szCs w:val="21"/>
          <w:highlight w:val="none"/>
        </w:rPr>
        <w:t>在</w:t>
      </w:r>
      <w:r>
        <w:rPr>
          <w:rFonts w:hint="eastAsia" w:ascii="宋体" w:hAnsi="宋体" w:eastAsia="宋体" w:cs="宋体"/>
          <w:szCs w:val="21"/>
          <w:highlight w:val="none"/>
          <w:lang w:val="en-US" w:eastAsia="zh-CN"/>
        </w:rPr>
        <w:t>响应报</w:t>
      </w:r>
      <w:r>
        <w:rPr>
          <w:rFonts w:hint="eastAsia" w:ascii="宋体" w:hAnsi="宋体" w:eastAsia="宋体" w:cs="宋体"/>
          <w:szCs w:val="21"/>
          <w:highlight w:val="none"/>
        </w:rPr>
        <w:t>价中的价格为</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中提出的各项支付金额的总和。</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w:t>
      </w:r>
      <w:r>
        <w:rPr>
          <w:rFonts w:hint="eastAsia" w:ascii="宋体" w:hAnsi="宋体" w:eastAsia="宋体" w:cs="宋体"/>
          <w:szCs w:val="21"/>
          <w:highlight w:val="none"/>
          <w:lang w:val="en-US" w:eastAsia="zh-CN"/>
        </w:rPr>
        <w:t>递交</w:t>
      </w:r>
      <w:r>
        <w:rPr>
          <w:rFonts w:hint="eastAsia" w:ascii="宋体" w:hAnsi="宋体" w:eastAsia="宋体" w:cs="宋体"/>
          <w:szCs w:val="21"/>
          <w:highlight w:val="none"/>
        </w:rPr>
        <w:t>截止时间前修改</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函中的</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报价，应同时修改 “工程量清单”中的相应报价。</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除非本</w:t>
      </w:r>
      <w:r>
        <w:rPr>
          <w:rFonts w:hint="eastAsia" w:ascii="宋体" w:hAnsi="宋体" w:eastAsia="宋体" w:cs="宋体"/>
          <w:szCs w:val="21"/>
          <w:highlight w:val="none"/>
          <w:lang w:eastAsia="zh-CN"/>
        </w:rPr>
        <w:t>采购文件</w:t>
      </w:r>
      <w:r>
        <w:rPr>
          <w:rFonts w:hint="eastAsia" w:ascii="宋体" w:hAnsi="宋体" w:eastAsia="宋体" w:cs="宋体"/>
          <w:szCs w:val="21"/>
          <w:highlight w:val="none"/>
        </w:rPr>
        <w:t>对工程量清单编制和报价另有说明的，否则，</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应按工程量清单中的项目和数量进行报价。</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应按</w:t>
      </w:r>
      <w:r>
        <w:rPr>
          <w:rFonts w:hint="eastAsia" w:ascii="宋体" w:hAnsi="宋体" w:eastAsia="宋体" w:cs="宋体"/>
          <w:szCs w:val="21"/>
          <w:highlight w:val="none"/>
          <w:lang w:eastAsia="zh-CN"/>
        </w:rPr>
        <w:t>采购文件</w:t>
      </w:r>
      <w:r>
        <w:rPr>
          <w:rFonts w:hint="eastAsia" w:ascii="宋体" w:hAnsi="宋体" w:eastAsia="宋体" w:cs="宋体"/>
          <w:szCs w:val="21"/>
          <w:highlight w:val="none"/>
        </w:rPr>
        <w:t>中给出的“工程量清单”的要求填写相应表格。工程量清单表格内容、样式和顺序不得随意更改。同时应按清单中列出的工程项目填报单价和合价。每一项目只允许有一个报价。任何有选择的报价将不予接受，</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未填单价或合价的工程项目，在实施后，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将不予以支付，并视作该项费用已包括在其它有价款的单价或合价中。</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eastAsia="zh-CN"/>
        </w:rPr>
        <w:t>采购文件</w:t>
      </w:r>
      <w:r>
        <w:rPr>
          <w:rFonts w:hint="eastAsia" w:ascii="宋体" w:hAnsi="宋体" w:eastAsia="宋体" w:cs="宋体"/>
          <w:szCs w:val="21"/>
          <w:highlight w:val="none"/>
        </w:rPr>
        <w:t>及相关补遗文件规定了暂估价的，</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必须按规定的暂估价格进行报价，</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不得修改。</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8、</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根据有关要求加强安全防护、文明施工工作。安全文明施工费用必须充分保证，规费、税金、安全文明施工费属于不可竞争费用，应按河南省现行的工程量清单及其计价办法的规定计取并单列，并按照营改增后相关文件执行,扬尘污染防治费应按省、市相关文件足额计取，施工时应合理使用扬尘污染防治费用、专款专用。</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应将完成该工程发生的所有措施费由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自行考虑纳入措施费</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报价中，包括但不限于以下措施费及</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委托</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办理的工作的费用，以下费用由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自行承担：</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A）保证工程质量、安全、工期应采取的全部措施费用。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B）</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施工的临时设施等用地费用。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C）施工临时用水用电由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实施安装和管理，由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自行踏勘现场，根据施工场地周边水电管网（线路）状况确定施工用水用电搭接位置及线路，施工用水用电的搭接和线路的安装架设所涉及的一切工作均由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负责，费用已包含在报价中，由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承担，</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在报价中考虑，若相关费用已由</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支付的，在支付第一次支付进度工程款中扣除；场内水电安装管理费用及电讯线路费用由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自行承担，施工中用水用电费用，分别按当地供水单位和供电单位收费价格核算由中标人结算。</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D）材料及半成品的下车、堆放、仓储保管及二次转运至安装地点等全部费用；施工范围及周边建筑物、构筑物保护费用；与周边单位、居民（村民）等其他工作产生的配合及协调管理等费用。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E）由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自行踏勘现场，踏勘现场所涉及的一切工作和交通、安全等问题均由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承担，</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在报价中应考虑已包含在报价中。</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F）办理其他等相关手续的费用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本工程所需材料、设备由中标人自行采购，但所采购的材料必须符合</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给出的材料品牌档次要求国家规范标准及设计文件、</w:t>
      </w:r>
      <w:r>
        <w:rPr>
          <w:rFonts w:hint="eastAsia" w:ascii="宋体" w:hAnsi="宋体" w:eastAsia="宋体" w:cs="宋体"/>
          <w:szCs w:val="21"/>
          <w:highlight w:val="none"/>
          <w:lang w:eastAsia="zh-CN"/>
        </w:rPr>
        <w:t>采购文件</w:t>
      </w:r>
      <w:r>
        <w:rPr>
          <w:rFonts w:hint="eastAsia" w:ascii="宋体" w:hAnsi="宋体" w:eastAsia="宋体" w:cs="宋体"/>
          <w:szCs w:val="21"/>
          <w:highlight w:val="none"/>
        </w:rPr>
        <w:t>要求，并提供相应合格证明资料、质保书等。</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其他说明：</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A)施工现场（如果有）建筑垃圾由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负责清理外运。此部分费用，</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自行考虑填报。</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B)材料运输距离由</w:t>
      </w: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根据自身情况及踏勘现场情况自行确定,中标后不调整。</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C)现有场地建筑废弃物外运或借土回填（如果有）必须执行政府的相关规定。</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D)</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自身的财产及施工现场内的自身员工（含农民工）的工伤保险及财产保险等由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自行投保，保险费由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承担并支付。</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还须负责购买保险以保障其供应的材料在运送途中直至运抵工地的一切意外。以上费用包含在所报的总额价中，</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不另行支付。</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E)</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中填写的</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报价必须一致。否则视为对</w:t>
      </w:r>
      <w:r>
        <w:rPr>
          <w:rFonts w:hint="eastAsia" w:ascii="宋体" w:hAnsi="宋体" w:eastAsia="宋体" w:cs="宋体"/>
          <w:szCs w:val="21"/>
          <w:highlight w:val="none"/>
          <w:lang w:eastAsia="zh-CN"/>
        </w:rPr>
        <w:t>采购文件</w:t>
      </w:r>
      <w:r>
        <w:rPr>
          <w:rFonts w:hint="eastAsia" w:ascii="宋体" w:hAnsi="宋体" w:eastAsia="宋体" w:cs="宋体"/>
          <w:szCs w:val="21"/>
          <w:highlight w:val="none"/>
        </w:rPr>
        <w:t>不响应，按无效标处理。</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F)</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结合图纸及技术标准和要求并到工地踏勘以充分了解工地位置、地质情况、进出场道路、拆迁干扰、储存空间、装卸限制、行车干扰及任何其它足以影响承包价格的情况，任何因忽视或误解工地情况而导致的索赔或工期延长申请将不获批准。</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G)</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应被认为已取得了对工程可能产生影响和作用的有关风险、意外事件和其他情况的全部必要资料。为此，</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报价中还应包括以下风险费用：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A、劳务、材料及其他事件或事务性费用的变化的风险；</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B、</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在合同中履行义务引起的有关规费、税费的变化的风险；</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C、因施工界面延期交付或设计变更而产生局部窝工的风险费；</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D、停水、停电的影响，施工受阻的影响，下雨、高温的影响；</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E、构件增值税、过桥、过路费；</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F、因和专业设备安装及其他施工单位的作业交叉配合所引起的工序调整、窝工、降效等因素引起的费用；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G、因施工区域地下水、地表水影响而增加的设施、设备和降效的费用等；</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H、</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在合同中履行义务引起的有关税费变化；</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I、</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进场路线改变或进场道路维护产生的费用；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J、保障行人安全、施工场地局限导致增加的费用；</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K、</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应该预见而未能预见的困难和费用。</w:t>
      </w:r>
      <w:r>
        <w:rPr>
          <w:rFonts w:hint="eastAsia" w:ascii="宋体" w:hAnsi="宋体" w:eastAsia="宋体" w:cs="宋体"/>
          <w:szCs w:val="21"/>
          <w:highlight w:val="none"/>
        </w:rPr>
        <w:tab/>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中标单位在项目建设过程中应自行调节地方工农关系等方面的问题，并承担由此产生的一切费用，同时对施工过程中的一切安全问题负责，</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应对此项作出承诺。</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请</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对本工程所管辖区域的环境的治理工程进行全面了解，施工过程中凡因环境治理（扬尘治理）而引起的停工、整顿的</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将仅同意顺延工期，不接受任何费用的索赔。</w:t>
      </w:r>
    </w:p>
    <w:p>
      <w:pPr>
        <w:adjustRightInd w:val="0"/>
        <w:snapToGrid w:val="0"/>
        <w:spacing w:line="40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lang w:val="en-US" w:eastAsia="zh-CN"/>
        </w:rPr>
        <w:t>14、</w:t>
      </w:r>
      <w:r>
        <w:rPr>
          <w:rFonts w:hint="eastAsia" w:ascii="宋体" w:hAnsi="宋体" w:eastAsia="宋体" w:cs="宋体"/>
          <w:highlight w:val="none"/>
          <w:lang w:eastAsia="zh-CN"/>
        </w:rPr>
        <w:t>供应商</w:t>
      </w:r>
      <w:r>
        <w:rPr>
          <w:rFonts w:hint="eastAsia" w:ascii="宋体" w:hAnsi="宋体" w:eastAsia="宋体" w:cs="宋体"/>
          <w:highlight w:val="none"/>
        </w:rPr>
        <w:t>在项目实施过程中应考虑施工过程中存在（如拆迁垫付等费用）的潜在风险。</w:t>
      </w:r>
    </w:p>
    <w:p>
      <w:pPr>
        <w:adjustRightInd w:val="0"/>
        <w:snapToGrid w:val="0"/>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15、</w:t>
      </w:r>
      <w:r>
        <w:rPr>
          <w:rFonts w:hint="eastAsia" w:ascii="宋体" w:hAnsi="宋体" w:eastAsia="宋体" w:cs="宋体"/>
          <w:highlight w:val="none"/>
        </w:rPr>
        <w:t>本项目工程的</w:t>
      </w:r>
      <w:r>
        <w:rPr>
          <w:rFonts w:hint="eastAsia" w:ascii="宋体" w:hAnsi="宋体" w:eastAsia="宋体" w:cs="宋体"/>
          <w:highlight w:val="none"/>
          <w:lang w:val="en-US" w:eastAsia="zh-CN"/>
        </w:rPr>
        <w:t>响应报价</w:t>
      </w:r>
      <w:r>
        <w:rPr>
          <w:rFonts w:hint="eastAsia" w:ascii="宋体" w:hAnsi="宋体" w:eastAsia="宋体" w:cs="宋体"/>
          <w:highlight w:val="none"/>
        </w:rPr>
        <w:t xml:space="preserve">应以人民币报价。 </w:t>
      </w:r>
    </w:p>
    <w:p>
      <w:pPr>
        <w:adjustRightInd w:val="0"/>
        <w:snapToGrid w:val="0"/>
        <w:spacing w:line="40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 xml:space="preserve">1.9.2 工程结算 </w:t>
      </w:r>
    </w:p>
    <w:p>
      <w:pPr>
        <w:adjustRightInd w:val="0"/>
        <w:snapToGrid w:val="0"/>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 xml:space="preserve">A）按照招标人提供的工程量清单编制说明约定的计量规则计算的实际合格工程量。 </w:t>
      </w:r>
    </w:p>
    <w:p>
      <w:pPr>
        <w:adjustRightInd w:val="0"/>
        <w:snapToGrid w:val="0"/>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B）本工程采用固定单价合同，中标的清单综合单价乘以双方认可的实际工程量附加相关规税构成合同总价。</w:t>
      </w:r>
    </w:p>
    <w:p>
      <w:pPr>
        <w:pStyle w:val="7"/>
        <w:rPr>
          <w:rFonts w:hint="eastAsia" w:ascii="宋体" w:hAnsi="宋体" w:eastAsia="宋体" w:cs="宋体"/>
          <w:highlight w:val="none"/>
          <w:lang w:val="en-US" w:eastAsia="zh-CN"/>
        </w:rPr>
      </w:pPr>
    </w:p>
    <w:p>
      <w:pPr>
        <w:autoSpaceDE w:val="0"/>
        <w:autoSpaceDN w:val="0"/>
        <w:adjustRightInd w:val="0"/>
        <w:snapToGrid w:val="0"/>
        <w:spacing w:line="400" w:lineRule="exact"/>
        <w:jc w:val="center"/>
        <w:outlineLvl w:val="1"/>
        <w:rPr>
          <w:rFonts w:hint="eastAsia" w:ascii="宋体" w:hAnsi="宋体" w:eastAsia="宋体" w:cs="宋体"/>
          <w:b/>
          <w:sz w:val="28"/>
          <w:szCs w:val="28"/>
          <w:highlight w:val="none"/>
          <w:lang w:val="zh-CN"/>
        </w:rPr>
      </w:pPr>
      <w:bookmarkStart w:id="8" w:name="_Toc25085"/>
      <w:r>
        <w:rPr>
          <w:rFonts w:hint="eastAsia" w:ascii="宋体" w:hAnsi="宋体" w:eastAsia="宋体" w:cs="宋体"/>
          <w:b/>
          <w:sz w:val="28"/>
          <w:szCs w:val="28"/>
          <w:highlight w:val="none"/>
          <w:lang w:val="zh-CN"/>
        </w:rPr>
        <w:t>二、响应文件编制</w:t>
      </w:r>
      <w:bookmarkEnd w:id="8"/>
    </w:p>
    <w:p>
      <w:pPr>
        <w:autoSpaceDE w:val="0"/>
        <w:autoSpaceDN w:val="0"/>
        <w:adjustRightInd w:val="0"/>
        <w:snapToGrid w:val="0"/>
        <w:spacing w:line="400" w:lineRule="exact"/>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2.1 响应文件的语言、货币和编制</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2.1.1 供应商提交的响应文件和资料，以及供应商与采购代理机构就有关磋商的所有来往函电均应使用中文。</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2.1.2 供应商应采用投标总价让利报价。</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2.1.3 响应文件应字迹清楚、内容齐全。</w:t>
      </w:r>
    </w:p>
    <w:p>
      <w:pPr>
        <w:pStyle w:val="6"/>
        <w:spacing w:line="400" w:lineRule="exact"/>
        <w:ind w:firstLineChars="200"/>
        <w:rPr>
          <w:rFonts w:hint="eastAsia" w:ascii="宋体" w:hAnsi="宋体" w:eastAsia="宋体" w:cs="宋体"/>
          <w:szCs w:val="21"/>
          <w:highlight w:val="none"/>
        </w:rPr>
      </w:pPr>
      <w:r>
        <w:rPr>
          <w:rFonts w:hint="eastAsia" w:ascii="宋体" w:hAnsi="宋体" w:eastAsia="宋体" w:cs="宋体"/>
          <w:szCs w:val="21"/>
          <w:highlight w:val="none"/>
          <w:lang w:val="zh-CN"/>
        </w:rPr>
        <w:t>2.1.4</w:t>
      </w:r>
      <w:r>
        <w:rPr>
          <w:rFonts w:hint="eastAsia" w:ascii="宋体" w:hAnsi="宋体" w:eastAsia="宋体" w:cs="宋体"/>
          <w:szCs w:val="21"/>
          <w:highlight w:val="none"/>
        </w:rPr>
        <w:t>供应商应仔细阅读本文件的所有内容，按本文件的要求编制响应文件，并保证所提供</w:t>
      </w:r>
    </w:p>
    <w:p>
      <w:pPr>
        <w:pStyle w:val="6"/>
        <w:spacing w:line="400" w:lineRule="exact"/>
        <w:ind w:firstLine="210"/>
        <w:rPr>
          <w:rFonts w:hint="eastAsia" w:ascii="宋体" w:hAnsi="宋体" w:eastAsia="宋体" w:cs="宋体"/>
          <w:highlight w:val="none"/>
        </w:rPr>
      </w:pPr>
      <w:r>
        <w:rPr>
          <w:rFonts w:hint="eastAsia" w:ascii="宋体" w:hAnsi="宋体" w:eastAsia="宋体" w:cs="宋体"/>
          <w:szCs w:val="21"/>
          <w:highlight w:val="none"/>
        </w:rPr>
        <w:t>的全部资料真实有效。</w:t>
      </w:r>
    </w:p>
    <w:p>
      <w:pPr>
        <w:autoSpaceDE w:val="0"/>
        <w:autoSpaceDN w:val="0"/>
        <w:adjustRightInd w:val="0"/>
        <w:snapToGrid w:val="0"/>
        <w:spacing w:line="400" w:lineRule="exact"/>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2.</w:t>
      </w:r>
      <w:r>
        <w:rPr>
          <w:rFonts w:hint="eastAsia" w:ascii="宋体" w:hAnsi="宋体" w:eastAsia="宋体" w:cs="宋体"/>
          <w:b/>
          <w:szCs w:val="21"/>
          <w:highlight w:val="none"/>
        </w:rPr>
        <w:t>2</w:t>
      </w:r>
      <w:r>
        <w:rPr>
          <w:rFonts w:hint="eastAsia" w:ascii="宋体" w:hAnsi="宋体" w:eastAsia="宋体" w:cs="宋体"/>
          <w:b/>
          <w:szCs w:val="21"/>
          <w:highlight w:val="none"/>
          <w:lang w:val="zh-CN"/>
        </w:rPr>
        <w:t xml:space="preserve"> 响应文件的价格部分</w:t>
      </w:r>
    </w:p>
    <w:p>
      <w:pPr>
        <w:autoSpaceDE w:val="0"/>
        <w:autoSpaceDN w:val="0"/>
        <w:adjustRightInd w:val="0"/>
        <w:snapToGrid w:val="0"/>
        <w:spacing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2.2.1本项目设采购控制价，采购控制价为：见供应商须知前附表。报价以人民币计价。</w:t>
      </w:r>
    </w:p>
    <w:p>
      <w:pPr>
        <w:autoSpaceDE w:val="0"/>
        <w:autoSpaceDN w:val="0"/>
        <w:adjustRightInd w:val="0"/>
        <w:snapToGrid w:val="0"/>
        <w:spacing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2.2.2</w:t>
      </w:r>
      <w:r>
        <w:rPr>
          <w:rFonts w:hint="eastAsia" w:ascii="宋体" w:hAnsi="宋体" w:eastAsia="宋体" w:cs="宋体"/>
          <w:szCs w:val="21"/>
          <w:highlight w:val="none"/>
        </w:rPr>
        <w:t>本次磋商报价可为多次报价，即最后一次报价为最终报价（参与评审），且最终报价必须低于初次报价，否则视为无效报价。最终报价与初次报价的让利比例为“工程量清单”让利比例的折减依据。</w:t>
      </w:r>
      <w:r>
        <w:rPr>
          <w:rFonts w:hint="eastAsia" w:ascii="宋体" w:hAnsi="宋体" w:eastAsia="宋体" w:cs="宋体"/>
          <w:bCs/>
          <w:szCs w:val="21"/>
          <w:highlight w:val="none"/>
        </w:rPr>
        <w:t>基础报价是指响应文件中“初次报价一览表”中的基础报价。</w:t>
      </w:r>
    </w:p>
    <w:p>
      <w:pPr>
        <w:autoSpaceDE w:val="0"/>
        <w:autoSpaceDN w:val="0"/>
        <w:adjustRightInd w:val="0"/>
        <w:snapToGrid w:val="0"/>
        <w:spacing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2.2.3本项目采用工程量清单报价，供应商应根据采购人所提供的工程量清单及施工图纸编制综合单价、合价和总价；</w:t>
      </w:r>
    </w:p>
    <w:p>
      <w:pPr>
        <w:autoSpaceDE w:val="0"/>
        <w:autoSpaceDN w:val="0"/>
        <w:adjustRightInd w:val="0"/>
        <w:snapToGrid w:val="0"/>
        <w:spacing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2.2.4报价应是施工图所包含的全部工作内容的价格体现。其应包括施工费、施工设备、劳务、管理、材料、利润、税金、及政策性文件规定的各项应有费用；</w:t>
      </w:r>
    </w:p>
    <w:p>
      <w:pPr>
        <w:autoSpaceDE w:val="0"/>
        <w:autoSpaceDN w:val="0"/>
        <w:adjustRightInd w:val="0"/>
        <w:snapToGrid w:val="0"/>
        <w:spacing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2.2.5供应商应严格按照采购人给出的工程量清单、施工图纸、相关说明等规范编制响应文件；</w:t>
      </w:r>
    </w:p>
    <w:p>
      <w:pPr>
        <w:autoSpaceDE w:val="0"/>
        <w:autoSpaceDN w:val="0"/>
        <w:adjustRightInd w:val="0"/>
        <w:snapToGrid w:val="0"/>
        <w:spacing w:line="400" w:lineRule="exact"/>
        <w:ind w:firstLine="420" w:firstLineChars="200"/>
        <w:rPr>
          <w:rFonts w:hint="eastAsia" w:ascii="宋体" w:hAnsi="宋体" w:eastAsia="宋体" w:cs="宋体"/>
          <w:bCs/>
          <w:szCs w:val="21"/>
          <w:highlight w:val="none"/>
          <w:lang w:val="zh-CN"/>
        </w:rPr>
      </w:pPr>
      <w:r>
        <w:rPr>
          <w:rFonts w:hint="eastAsia" w:ascii="宋体" w:hAnsi="宋体" w:eastAsia="宋体" w:cs="宋体"/>
          <w:szCs w:val="21"/>
          <w:highlight w:val="none"/>
        </w:rPr>
        <w:t>2.2</w:t>
      </w:r>
      <w:r>
        <w:rPr>
          <w:rFonts w:hint="eastAsia" w:ascii="宋体" w:hAnsi="宋体" w:eastAsia="宋体" w:cs="宋体"/>
          <w:szCs w:val="21"/>
          <w:highlight w:val="none"/>
          <w:lang w:val="zh-CN"/>
        </w:rPr>
        <w:t>.</w:t>
      </w:r>
      <w:r>
        <w:rPr>
          <w:rFonts w:hint="eastAsia" w:ascii="宋体" w:hAnsi="宋体" w:eastAsia="宋体" w:cs="宋体"/>
          <w:szCs w:val="21"/>
          <w:highlight w:val="none"/>
        </w:rPr>
        <w:t>6</w:t>
      </w:r>
      <w:r>
        <w:rPr>
          <w:rFonts w:hint="eastAsia" w:ascii="宋体" w:hAnsi="宋体" w:eastAsia="宋体" w:cs="宋体"/>
          <w:bCs/>
          <w:szCs w:val="21"/>
          <w:highlight w:val="none"/>
          <w:lang w:val="zh-CN"/>
        </w:rPr>
        <w:t>报价错误更正准则：响应文件中开标一览表(报价表)内容与响应文件中相应内容不一致的，以开标一览表(报价表)为准； 大写金额和小写金额不一致的，以大写金额为准； 单价金额小数点或者百分比有明显错位的，以开标一览表的总价为准，并修改单价； 总价金额与按单价汇总金额不一致的，以单价金额计算结果为准。同时出现两种以上不一致的，按照上述规定的顺序修正。</w:t>
      </w:r>
    </w:p>
    <w:p>
      <w:pPr>
        <w:autoSpaceDE w:val="0"/>
        <w:autoSpaceDN w:val="0"/>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2.2.8 出现下列情况之一者，将作无效报价处理；并依法追究报价人的相关责任。</w:t>
      </w:r>
    </w:p>
    <w:p>
      <w:pPr>
        <w:autoSpaceDE w:val="0"/>
        <w:autoSpaceDN w:val="0"/>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（1）在响应文件有效期内，撤回或放弃其报价的；</w:t>
      </w:r>
    </w:p>
    <w:p>
      <w:pPr>
        <w:autoSpaceDE w:val="0"/>
        <w:autoSpaceDN w:val="0"/>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（2）响应文件中提供伪造、虚假的材料；</w:t>
      </w:r>
    </w:p>
    <w:p>
      <w:pPr>
        <w:autoSpaceDE w:val="0"/>
        <w:autoSpaceDN w:val="0"/>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（3）在评审期间，使用不正当手段试图影响、改变评审结果；</w:t>
      </w:r>
    </w:p>
    <w:p>
      <w:pPr>
        <w:autoSpaceDE w:val="0"/>
        <w:autoSpaceDN w:val="0"/>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（4）恶意串通或捏造事实，对其竞争对手进行诋毁、排挤、攻击；</w:t>
      </w:r>
    </w:p>
    <w:p>
      <w:pPr>
        <w:autoSpaceDE w:val="0"/>
        <w:autoSpaceDN w:val="0"/>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（5）不按期签订合同，或拒绝、拖延、没有完全履行报价承诺和合同义务；</w:t>
      </w:r>
    </w:p>
    <w:p>
      <w:pPr>
        <w:autoSpaceDE w:val="0"/>
        <w:autoSpaceDN w:val="0"/>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（6）擅自将成交项目转让他人的；</w:t>
      </w:r>
    </w:p>
    <w:p>
      <w:pPr>
        <w:autoSpaceDE w:val="0"/>
        <w:autoSpaceDN w:val="0"/>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（7）签订合同后，无法如期履行合同及报价承诺的。</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rPr>
        <w:t xml:space="preserve">2.2.9 </w:t>
      </w:r>
      <w:r>
        <w:rPr>
          <w:rFonts w:hint="eastAsia" w:ascii="宋体" w:hAnsi="宋体" w:eastAsia="宋体" w:cs="宋体"/>
          <w:szCs w:val="21"/>
          <w:highlight w:val="none"/>
          <w:lang w:val="zh-CN"/>
        </w:rPr>
        <w:t xml:space="preserve">开标后，报价在磋商有效期内是固定的，不因任何原因而改变；任何包含价格调整要求和条件的投标，将被视为非实质性响应投标而予以拒绝，按无效投标处理。 </w:t>
      </w:r>
    </w:p>
    <w:p>
      <w:pPr>
        <w:autoSpaceDE w:val="0"/>
        <w:autoSpaceDN w:val="0"/>
        <w:adjustRightInd w:val="0"/>
        <w:snapToGrid w:val="0"/>
        <w:spacing w:line="40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rPr>
        <w:t>2.2.10</w:t>
      </w:r>
      <w:r>
        <w:rPr>
          <w:rFonts w:hint="eastAsia" w:ascii="宋体" w:hAnsi="宋体" w:eastAsia="宋体" w:cs="宋体"/>
          <w:szCs w:val="21"/>
          <w:highlight w:val="none"/>
          <w:lang w:val="zh-CN"/>
        </w:rPr>
        <w:t>供应商可自行前往项目所在地踏勘，以充分了解项目位置、地质地貌、气候与水文条件、交通状况等市政基础设施及任何其他足以影响其提交设计方案的可实现性和承包价的情况。任何因成交人忽视或误解项目基本情况，而使采购人在项目实施过程中蒙受的损失，将由成交人按一定比例对采购人进行赔偿。</w:t>
      </w:r>
    </w:p>
    <w:p>
      <w:pPr>
        <w:autoSpaceDE w:val="0"/>
        <w:autoSpaceDN w:val="0"/>
        <w:adjustRightInd w:val="0"/>
        <w:snapToGrid w:val="0"/>
        <w:spacing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2.2.11为实现物有所值的采购目标，保证本项目质量、能诚信履约，根据政府采购法及其相关规定，兼顾采购成本、使用成本、后期维护成本的有机统一和项目生命周期总支付成本最低，若磋商小组认为供应商的报价明显低于其他供应商的报价，有可能影响服务质量或者不能诚信履约的，应当要求其在评审现场合理的时间内提供相关证明材料；供应商不能证明的，则该供应商的响应文件视为无效。 </w:t>
      </w:r>
    </w:p>
    <w:p>
      <w:pPr>
        <w:autoSpaceDE w:val="0"/>
        <w:autoSpaceDN w:val="0"/>
        <w:adjustRightInd w:val="0"/>
        <w:snapToGrid w:val="0"/>
        <w:spacing w:line="400" w:lineRule="exact"/>
        <w:ind w:firstLine="422" w:firstLineChars="200"/>
        <w:rPr>
          <w:rFonts w:hint="eastAsia" w:ascii="宋体" w:hAnsi="宋体" w:eastAsia="宋体" w:cs="宋体"/>
          <w:b/>
          <w:bCs/>
          <w:szCs w:val="21"/>
          <w:highlight w:val="none"/>
          <w:lang w:val="zh-CN"/>
        </w:rPr>
      </w:pPr>
      <w:r>
        <w:rPr>
          <w:rFonts w:hint="eastAsia" w:ascii="宋体" w:hAnsi="宋体" w:eastAsia="宋体" w:cs="宋体"/>
          <w:b/>
          <w:bCs/>
          <w:szCs w:val="21"/>
          <w:highlight w:val="none"/>
        </w:rPr>
        <w:t>2.2.12</w:t>
      </w:r>
      <w:r>
        <w:rPr>
          <w:rFonts w:hint="eastAsia" w:ascii="宋体" w:hAnsi="宋体" w:eastAsia="宋体" w:cs="宋体"/>
          <w:b/>
          <w:bCs/>
          <w:szCs w:val="21"/>
          <w:highlight w:val="none"/>
          <w:lang w:val="zh-CN"/>
        </w:rPr>
        <w:t xml:space="preserve">为实现物有所值的目标，保证本项目质量能诚信履约，供应商投标报价明显低于通过初步审查的所有供应商报价的，应当按照评标委员会的要求在规定的时间内提供成本构成等说明，并提交相关证明材料予以证实；否则，按无效投标处理。 </w:t>
      </w:r>
    </w:p>
    <w:p>
      <w:pPr>
        <w:autoSpaceDE w:val="0"/>
        <w:autoSpaceDN w:val="0"/>
        <w:adjustRightInd w:val="0"/>
        <w:snapToGrid w:val="0"/>
        <w:spacing w:line="400" w:lineRule="exact"/>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2.</w:t>
      </w:r>
      <w:r>
        <w:rPr>
          <w:rFonts w:hint="eastAsia" w:ascii="宋体" w:hAnsi="宋体" w:eastAsia="宋体" w:cs="宋体"/>
          <w:b/>
          <w:bCs/>
          <w:szCs w:val="21"/>
          <w:highlight w:val="none"/>
        </w:rPr>
        <w:t>3</w:t>
      </w:r>
      <w:r>
        <w:rPr>
          <w:rFonts w:hint="eastAsia" w:ascii="宋体" w:hAnsi="宋体" w:eastAsia="宋体" w:cs="宋体"/>
          <w:b/>
          <w:bCs/>
          <w:szCs w:val="21"/>
          <w:highlight w:val="none"/>
          <w:lang w:val="zh-CN"/>
        </w:rPr>
        <w:t>承诺函内容：详见响应文件格式。</w:t>
      </w:r>
    </w:p>
    <w:p>
      <w:pPr>
        <w:adjustRightInd w:val="0"/>
        <w:snapToGrid w:val="0"/>
        <w:spacing w:line="400" w:lineRule="exact"/>
        <w:jc w:val="left"/>
        <w:rPr>
          <w:rFonts w:hint="eastAsia" w:ascii="宋体" w:hAnsi="宋体" w:eastAsia="宋体" w:cs="宋体"/>
          <w:b/>
          <w:bCs/>
          <w:kern w:val="1"/>
          <w:szCs w:val="22"/>
          <w:highlight w:val="none"/>
        </w:rPr>
      </w:pPr>
      <w:r>
        <w:rPr>
          <w:rFonts w:hint="eastAsia" w:ascii="宋体" w:hAnsi="宋体" w:eastAsia="宋体" w:cs="宋体"/>
          <w:b/>
          <w:bCs/>
          <w:highlight w:val="none"/>
        </w:rPr>
        <w:t>2.4</w:t>
      </w:r>
      <w:r>
        <w:rPr>
          <w:rFonts w:hint="eastAsia" w:ascii="宋体" w:hAnsi="宋体" w:eastAsia="宋体" w:cs="宋体"/>
          <w:b/>
          <w:bCs/>
          <w:kern w:val="1"/>
          <w:szCs w:val="22"/>
          <w:highlight w:val="none"/>
        </w:rPr>
        <w:t>响应文件制作流程</w:t>
      </w:r>
    </w:p>
    <w:p>
      <w:pPr>
        <w:adjustRightInd w:val="0"/>
        <w:snapToGrid w:val="0"/>
        <w:spacing w:line="480" w:lineRule="atLeast"/>
        <w:ind w:firstLine="422" w:firstLineChars="200"/>
        <w:jc w:val="left"/>
        <w:rPr>
          <w:rFonts w:hint="eastAsia" w:ascii="宋体" w:hAnsi="宋体" w:eastAsia="宋体" w:cs="宋体"/>
          <w:b/>
          <w:bCs/>
          <w:szCs w:val="21"/>
          <w:highlight w:val="none"/>
        </w:rPr>
      </w:pPr>
      <w:bookmarkStart w:id="9" w:name="_Toc28698"/>
      <w:bookmarkStart w:id="10" w:name="_Toc9444"/>
      <w:r>
        <w:rPr>
          <w:rFonts w:hint="eastAsia" w:ascii="宋体" w:hAnsi="宋体" w:eastAsia="宋体" w:cs="宋体"/>
          <w:b/>
          <w:bCs/>
          <w:szCs w:val="21"/>
          <w:highlight w:val="none"/>
        </w:rPr>
        <w:t>4.1原则</w:t>
      </w:r>
      <w:bookmarkEnd w:id="9"/>
    </w:p>
    <w:p>
      <w:pPr>
        <w:adjustRightInd w:val="0"/>
        <w:snapToGrid w:val="0"/>
        <w:spacing w:line="480" w:lineRule="atLeast"/>
        <w:ind w:firstLine="420" w:firstLineChars="200"/>
        <w:jc w:val="left"/>
        <w:rPr>
          <w:rFonts w:hint="eastAsia" w:ascii="宋体" w:hAnsi="宋体" w:eastAsia="宋体" w:cs="宋体"/>
          <w:szCs w:val="21"/>
          <w:highlight w:val="none"/>
          <w:lang w:val="zh-CN"/>
        </w:rPr>
      </w:pPr>
      <w:r>
        <w:rPr>
          <w:rFonts w:hint="eastAsia" w:ascii="宋体" w:hAnsi="宋体" w:eastAsia="宋体" w:cs="宋体"/>
          <w:szCs w:val="21"/>
          <w:highlight w:val="none"/>
        </w:rPr>
        <w:t>4.1.</w:t>
      </w:r>
      <w:r>
        <w:rPr>
          <w:rFonts w:hint="eastAsia" w:ascii="宋体" w:hAnsi="宋体" w:eastAsia="宋体" w:cs="宋体"/>
          <w:szCs w:val="21"/>
          <w:highlight w:val="none"/>
          <w:lang w:val="zh-CN"/>
        </w:rPr>
        <w:t>本项目采用电子化招投标，全部通过网上下载招标文件、制作电子投标文件、网上加密上传、线上解密等相关事宜。</w:t>
      </w:r>
    </w:p>
    <w:p>
      <w:pPr>
        <w:adjustRightInd w:val="0"/>
        <w:snapToGrid w:val="0"/>
        <w:spacing w:line="480" w:lineRule="atLeast"/>
        <w:ind w:firstLine="420" w:firstLineChars="20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（1）本项目使用电子交易系统进行业务办理，详见鹤壁市公共资源交易公共服务平台https://ggzy.hebi.gov.cn:8060）“下载中心”相关说明；</w:t>
      </w:r>
    </w:p>
    <w:p>
      <w:pPr>
        <w:adjustRightInd w:val="0"/>
        <w:snapToGrid w:val="0"/>
        <w:spacing w:line="480" w:lineRule="atLeast"/>
        <w:ind w:firstLine="420" w:firstLineChars="20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招标文件下载。点击“鹤壁市公共资源交易公共服务平台https://ggzy.hebi.gov.cn:8060）”上的“政府采购交易系统”按钮选择进入“鹤壁市政府采购交易系统”，进入该平台后即可找到对应的项目公告，在公告下方进行招标文件下载；</w:t>
      </w:r>
    </w:p>
    <w:p>
      <w:pPr>
        <w:adjustRightInd w:val="0"/>
        <w:snapToGrid w:val="0"/>
        <w:spacing w:line="480" w:lineRule="atLeast"/>
        <w:ind w:firstLine="420" w:firstLineChars="20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3）编制电子投标文件。投标人须登录“鹤壁市公共资源交易公共服务平台https://ggzy.hebi.gov.cn:8060）”网站，点击“下载中心”，下载“政府采购供应商操作手册”，安装客户端制作电子投标文件，制作完成后，须导出（*.已加密投标文件）加密电子投标文件，电子投标文件制作流程详见“下载中心”-“</w:t>
      </w:r>
      <w:r>
        <w:rPr>
          <w:rFonts w:hint="eastAsia" w:ascii="宋体" w:hAnsi="宋体" w:eastAsia="宋体" w:cs="宋体"/>
          <w:szCs w:val="21"/>
          <w:highlight w:val="none"/>
          <w:lang w:val="en-US" w:eastAsia="zh-CN"/>
        </w:rPr>
        <w:t>政府采购供应商操作手册</w:t>
      </w:r>
      <w:r>
        <w:rPr>
          <w:rFonts w:hint="eastAsia" w:ascii="宋体" w:hAnsi="宋体" w:eastAsia="宋体" w:cs="宋体"/>
          <w:szCs w:val="21"/>
          <w:highlight w:val="none"/>
          <w:lang w:val="zh-CN"/>
        </w:rPr>
        <w:t>”；</w:t>
      </w:r>
    </w:p>
    <w:p>
      <w:pPr>
        <w:adjustRightInd w:val="0"/>
        <w:snapToGrid w:val="0"/>
        <w:spacing w:line="480" w:lineRule="atLeast"/>
        <w:ind w:firstLine="420" w:firstLineChars="20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4）上传加密电子投标文件。登录“鹤壁市公共资源交易公共服务平台”网站，点击“交易系统”按钮选择进入“鹤壁市政府采购交易系统”，进入系统上传电子投标文件，上传加密的电子投标文件（*.已加密投标文件）。上传时必须点击“保存”并提示“保存成功”显示二维码、文件名称、文件大小、上传时间方为上传成功。请各投标人在上传前务必认真检查上传电子投标文件是否完整、正确；</w:t>
      </w:r>
    </w:p>
    <w:p>
      <w:pPr>
        <w:adjustRightInd w:val="0"/>
        <w:snapToGrid w:val="0"/>
        <w:spacing w:line="480" w:lineRule="atLeast"/>
        <w:ind w:firstLine="420" w:firstLineChars="20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.2 招标文件格式所要求包含的全部资料应全部制作在投标文件内，严格按照本项目招标文件所有格式如实填写（不涉及的内容除外），不应存在漏项或缺项，否则将存在投标文件被否决的风险。</w:t>
      </w:r>
    </w:p>
    <w:p>
      <w:pPr>
        <w:adjustRightInd w:val="0"/>
        <w:snapToGrid w:val="0"/>
        <w:spacing w:line="480" w:lineRule="atLeas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.3 投标文件所附证明材料均为原件的扫描件或复印件（或照片），尺寸和清晰度应该能够在电脑上被阅读、识别和判断；若投标人未按要求提供证明材料或提供不清晰的扫描件（或照片）的，</w:t>
      </w:r>
      <w:r>
        <w:rPr>
          <w:rFonts w:hint="eastAsia" w:ascii="宋体" w:hAnsi="宋体" w:eastAsia="宋体" w:cs="宋体"/>
          <w:szCs w:val="21"/>
          <w:highlight w:val="none"/>
          <w:lang w:val="en-US" w:eastAsia="zh-CN"/>
        </w:rPr>
        <w:t>由此带来的不利评审后果，由投标人自己承担。</w:t>
      </w:r>
    </w:p>
    <w:p>
      <w:pPr>
        <w:autoSpaceDE w:val="0"/>
        <w:autoSpaceDN w:val="0"/>
        <w:adjustRightInd w:val="0"/>
        <w:snapToGrid w:val="0"/>
        <w:spacing w:line="400" w:lineRule="exact"/>
        <w:jc w:val="left"/>
        <w:outlineLvl w:val="1"/>
        <w:rPr>
          <w:rFonts w:hint="eastAsia" w:ascii="宋体" w:hAnsi="宋体" w:eastAsia="宋体" w:cs="宋体"/>
          <w:b/>
          <w:bCs/>
          <w:szCs w:val="21"/>
          <w:highlight w:val="none"/>
          <w:lang w:val="zh-CN"/>
        </w:rPr>
      </w:pPr>
      <w:r>
        <w:rPr>
          <w:rFonts w:hint="eastAsia" w:ascii="宋体" w:hAnsi="宋体" w:eastAsia="宋体" w:cs="宋体"/>
          <w:bCs/>
          <w:szCs w:val="21"/>
          <w:highlight w:val="none"/>
        </w:rPr>
        <w:t xml:space="preserve">   </w:t>
      </w:r>
    </w:p>
    <w:p>
      <w:pPr>
        <w:autoSpaceDE w:val="0"/>
        <w:autoSpaceDN w:val="0"/>
        <w:adjustRightInd w:val="0"/>
        <w:snapToGrid w:val="0"/>
        <w:spacing w:line="400" w:lineRule="exact"/>
        <w:jc w:val="center"/>
        <w:outlineLvl w:val="1"/>
        <w:rPr>
          <w:rFonts w:hint="eastAsia" w:ascii="宋体" w:hAnsi="宋体" w:eastAsia="宋体" w:cs="宋体"/>
          <w:b/>
          <w:bCs/>
          <w:sz w:val="28"/>
          <w:szCs w:val="28"/>
          <w:highlight w:val="none"/>
          <w:lang w:val="zh-CN"/>
        </w:rPr>
      </w:pPr>
      <w:bookmarkStart w:id="11" w:name="_Toc28199"/>
      <w:r>
        <w:rPr>
          <w:rFonts w:hint="eastAsia" w:ascii="宋体" w:hAnsi="宋体" w:eastAsia="宋体" w:cs="宋体"/>
          <w:b/>
          <w:bCs/>
          <w:sz w:val="28"/>
          <w:szCs w:val="28"/>
          <w:highlight w:val="none"/>
          <w:lang w:val="zh-CN"/>
        </w:rPr>
        <w:t>三、响应文件的递交</w:t>
      </w:r>
      <w:bookmarkEnd w:id="10"/>
      <w:bookmarkEnd w:id="11"/>
    </w:p>
    <w:p>
      <w:pPr>
        <w:autoSpaceDE w:val="0"/>
        <w:autoSpaceDN w:val="0"/>
        <w:adjustRightInd w:val="0"/>
        <w:snapToGrid w:val="0"/>
        <w:spacing w:line="400" w:lineRule="exact"/>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3.1响应文件的密封和递交</w:t>
      </w:r>
    </w:p>
    <w:p>
      <w:pPr>
        <w:autoSpaceDE w:val="0"/>
        <w:autoSpaceDN w:val="0"/>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zh-CN"/>
        </w:rPr>
        <w:t>3.1.1</w:t>
      </w:r>
      <w:r>
        <w:rPr>
          <w:rFonts w:hint="eastAsia" w:ascii="宋体" w:hAnsi="宋体" w:eastAsia="宋体" w:cs="宋体"/>
          <w:szCs w:val="21"/>
          <w:highlight w:val="none"/>
        </w:rPr>
        <w:t>供应商应在供应商须知前附表规定的提交响应文件截止时间前提交响应文件。</w:t>
      </w:r>
    </w:p>
    <w:p>
      <w:pPr>
        <w:autoSpaceDE w:val="0"/>
        <w:autoSpaceDN w:val="0"/>
        <w:adjustRightInd w:val="0"/>
        <w:snapToGrid w:val="0"/>
        <w:spacing w:line="400" w:lineRule="exact"/>
        <w:ind w:firstLine="422" w:firstLineChars="200"/>
        <w:rPr>
          <w:rFonts w:hint="eastAsia" w:ascii="宋体" w:hAnsi="宋体" w:eastAsia="宋体" w:cs="宋体"/>
          <w:b/>
          <w:bCs/>
          <w:szCs w:val="22"/>
          <w:highlight w:val="none"/>
        </w:rPr>
      </w:pPr>
      <w:r>
        <w:rPr>
          <w:rFonts w:hint="eastAsia" w:ascii="宋体" w:hAnsi="宋体" w:eastAsia="宋体" w:cs="宋体"/>
          <w:b/>
          <w:bCs/>
          <w:szCs w:val="21"/>
          <w:highlight w:val="none"/>
        </w:rPr>
        <w:t>3.2</w:t>
      </w:r>
      <w:r>
        <w:rPr>
          <w:rFonts w:hint="eastAsia" w:ascii="宋体" w:hAnsi="宋体" w:eastAsia="宋体" w:cs="宋体"/>
          <w:b/>
          <w:bCs/>
          <w:szCs w:val="22"/>
          <w:highlight w:val="none"/>
        </w:rPr>
        <w:t>响应文件的修改与撤回</w:t>
      </w:r>
    </w:p>
    <w:p>
      <w:pPr>
        <w:autoSpaceDE w:val="0"/>
        <w:autoSpaceDN w:val="0"/>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2"/>
          <w:highlight w:val="none"/>
        </w:rPr>
        <w:t>3.</w:t>
      </w:r>
      <w:r>
        <w:rPr>
          <w:rFonts w:hint="eastAsia" w:ascii="宋体" w:hAnsi="宋体" w:eastAsia="宋体" w:cs="宋体"/>
          <w:szCs w:val="21"/>
          <w:highlight w:val="none"/>
        </w:rPr>
        <w:t>2.1投标人在“投标文件</w:t>
      </w:r>
      <w:r>
        <w:rPr>
          <w:rFonts w:hint="eastAsia" w:ascii="宋体" w:hAnsi="宋体" w:eastAsia="宋体" w:cs="宋体"/>
          <w:szCs w:val="21"/>
          <w:highlight w:val="none"/>
          <w:lang w:val="en-US" w:eastAsia="zh-CN"/>
        </w:rPr>
        <w:t>提</w:t>
      </w:r>
      <w:r>
        <w:rPr>
          <w:rFonts w:hint="eastAsia" w:ascii="宋体" w:hAnsi="宋体" w:eastAsia="宋体" w:cs="宋体"/>
          <w:szCs w:val="21"/>
          <w:highlight w:val="none"/>
        </w:rPr>
        <w:t>交截止时间”前可通过电子交易系统撤回其已成功递交的电子投标文件。</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3.2.3</w:t>
      </w:r>
      <w:r>
        <w:rPr>
          <w:rFonts w:hint="eastAsia" w:ascii="宋体" w:hAnsi="宋体" w:eastAsia="宋体" w:cs="宋体"/>
          <w:szCs w:val="21"/>
          <w:highlight w:val="none"/>
        </w:rPr>
        <w:t xml:space="preserve"> </w:t>
      </w:r>
      <w:r>
        <w:rPr>
          <w:rFonts w:hint="eastAsia" w:ascii="宋体" w:hAnsi="宋体" w:eastAsia="宋体" w:cs="宋体"/>
          <w:highlight w:val="none"/>
          <w:lang w:val="zh-CN"/>
        </w:rPr>
        <w:t>鹤壁市公共资源交易公共服务平台</w:t>
      </w:r>
      <w:r>
        <w:rPr>
          <w:rFonts w:hint="eastAsia" w:ascii="宋体" w:hAnsi="宋体" w:eastAsia="宋体" w:cs="宋体"/>
          <w:highlight w:val="none"/>
        </w:rPr>
        <w:t>以</w:t>
      </w:r>
      <w:r>
        <w:rPr>
          <w:rFonts w:hint="eastAsia" w:ascii="宋体" w:hAnsi="宋体" w:eastAsia="宋体" w:cs="宋体"/>
          <w:highlight w:val="none"/>
          <w:lang w:eastAsia="zh-CN"/>
        </w:rPr>
        <w:t>投标</w:t>
      </w:r>
      <w:r>
        <w:rPr>
          <w:rFonts w:hint="eastAsia" w:ascii="宋体" w:hAnsi="宋体" w:eastAsia="宋体" w:cs="宋体"/>
          <w:highlight w:val="none"/>
        </w:rPr>
        <w:t>人最后上传成功的</w:t>
      </w:r>
      <w:r>
        <w:rPr>
          <w:rFonts w:hint="eastAsia" w:ascii="宋体" w:hAnsi="宋体" w:eastAsia="宋体" w:cs="宋体"/>
          <w:highlight w:val="none"/>
          <w:lang w:val="zh-CN"/>
        </w:rPr>
        <w:t>加密</w:t>
      </w:r>
      <w:r>
        <w:rPr>
          <w:rFonts w:hint="eastAsia" w:ascii="宋体" w:hAnsi="宋体" w:eastAsia="宋体" w:cs="宋体"/>
          <w:highlight w:val="none"/>
        </w:rPr>
        <w:t>电子</w:t>
      </w:r>
      <w:r>
        <w:rPr>
          <w:rFonts w:hint="eastAsia" w:ascii="宋体" w:hAnsi="宋体" w:eastAsia="宋体" w:cs="宋体"/>
          <w:highlight w:val="none"/>
          <w:lang w:eastAsia="zh-CN"/>
        </w:rPr>
        <w:t>投标</w:t>
      </w:r>
      <w:r>
        <w:rPr>
          <w:rFonts w:hint="eastAsia" w:ascii="宋体" w:hAnsi="宋体" w:eastAsia="宋体" w:cs="宋体"/>
          <w:highlight w:val="none"/>
        </w:rPr>
        <w:t>文件为准</w:t>
      </w:r>
      <w:r>
        <w:rPr>
          <w:rFonts w:hint="eastAsia" w:ascii="宋体" w:hAnsi="宋体" w:eastAsia="宋体" w:cs="宋体"/>
          <w:szCs w:val="21"/>
          <w:highlight w:val="none"/>
        </w:rPr>
        <w:t>。</w:t>
      </w:r>
    </w:p>
    <w:p>
      <w:pPr>
        <w:pStyle w:val="7"/>
        <w:spacing w:after="0" w:line="400" w:lineRule="exact"/>
        <w:ind w:left="0" w:leftChars="0" w:firstLine="0" w:firstLineChars="0"/>
        <w:rPr>
          <w:rFonts w:hint="eastAsia" w:ascii="宋体" w:hAnsi="宋体" w:eastAsia="宋体" w:cs="宋体"/>
          <w:b/>
          <w:bCs/>
          <w:szCs w:val="22"/>
          <w:highlight w:val="none"/>
        </w:rPr>
      </w:pPr>
      <w:r>
        <w:rPr>
          <w:rFonts w:hint="eastAsia" w:ascii="宋体" w:hAnsi="宋体" w:eastAsia="宋体" w:cs="宋体"/>
          <w:b/>
          <w:bCs/>
          <w:szCs w:val="22"/>
          <w:highlight w:val="none"/>
        </w:rPr>
        <w:t>3.4响应文件签署及修改</w:t>
      </w:r>
    </w:p>
    <w:p>
      <w:pPr>
        <w:adjustRightInd w:val="0"/>
        <w:snapToGrid w:val="0"/>
        <w:spacing w:line="480" w:lineRule="atLeas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3.4.1</w:t>
      </w:r>
      <w:r>
        <w:rPr>
          <w:rFonts w:hint="eastAsia" w:ascii="宋体" w:hAnsi="宋体" w:eastAsia="宋体" w:cs="宋体"/>
          <w:szCs w:val="21"/>
          <w:highlight w:val="none"/>
        </w:rPr>
        <w:t>如果在“投标文件</w:t>
      </w:r>
      <w:r>
        <w:rPr>
          <w:rFonts w:hint="eastAsia" w:ascii="宋体" w:hAnsi="宋体" w:eastAsia="宋体" w:cs="宋体"/>
          <w:szCs w:val="21"/>
          <w:highlight w:val="none"/>
          <w:lang w:val="en-US" w:eastAsia="zh-CN"/>
        </w:rPr>
        <w:t>提</w:t>
      </w:r>
      <w:r>
        <w:rPr>
          <w:rFonts w:hint="eastAsia" w:ascii="宋体" w:hAnsi="宋体" w:eastAsia="宋体" w:cs="宋体"/>
          <w:szCs w:val="21"/>
          <w:highlight w:val="none"/>
        </w:rPr>
        <w:t>交截止时间”前需要对已经成功</w:t>
      </w:r>
      <w:r>
        <w:rPr>
          <w:rFonts w:hint="eastAsia" w:ascii="宋体" w:hAnsi="宋体" w:eastAsia="宋体" w:cs="宋体"/>
          <w:szCs w:val="21"/>
          <w:highlight w:val="none"/>
          <w:lang w:val="en-US" w:eastAsia="zh-CN"/>
        </w:rPr>
        <w:t>提</w:t>
      </w:r>
      <w:r>
        <w:rPr>
          <w:rFonts w:hint="eastAsia" w:ascii="宋体" w:hAnsi="宋体" w:eastAsia="宋体" w:cs="宋体"/>
          <w:szCs w:val="21"/>
          <w:highlight w:val="none"/>
        </w:rPr>
        <w:t>交的电子投标文件进行修改、补充的，投标人应当重新制作导出完整的电子投标文件，并按要求重新上传至</w:t>
      </w:r>
      <w:r>
        <w:rPr>
          <w:rFonts w:hint="eastAsia" w:ascii="宋体" w:hAnsi="宋体" w:eastAsia="宋体" w:cs="宋体"/>
          <w:szCs w:val="21"/>
          <w:highlight w:val="none"/>
          <w:lang w:val="zh-CN"/>
        </w:rPr>
        <w:t>鹤壁市公共资源交易公共服务平台</w:t>
      </w:r>
      <w:r>
        <w:rPr>
          <w:rFonts w:hint="eastAsia" w:ascii="宋体" w:hAnsi="宋体" w:eastAsia="宋体" w:cs="宋体"/>
          <w:szCs w:val="21"/>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 xml:space="preserve">  3.4.2</w:t>
      </w:r>
      <w:r>
        <w:rPr>
          <w:rFonts w:hint="eastAsia" w:ascii="宋体" w:hAnsi="宋体" w:eastAsia="宋体" w:cs="宋体"/>
          <w:szCs w:val="21"/>
          <w:highlight w:val="none"/>
        </w:rPr>
        <w:t xml:space="preserve"> </w:t>
      </w:r>
      <w:r>
        <w:rPr>
          <w:rFonts w:hint="eastAsia" w:ascii="宋体" w:hAnsi="宋体" w:eastAsia="宋体" w:cs="宋体"/>
          <w:highlight w:val="none"/>
          <w:lang w:val="zh-CN"/>
        </w:rPr>
        <w:t>鹤壁市公共资源交易公共服务平台</w:t>
      </w:r>
      <w:r>
        <w:rPr>
          <w:rFonts w:hint="eastAsia" w:ascii="宋体" w:hAnsi="宋体" w:eastAsia="宋体" w:cs="宋体"/>
          <w:highlight w:val="none"/>
        </w:rPr>
        <w:t>以</w:t>
      </w:r>
      <w:r>
        <w:rPr>
          <w:rFonts w:hint="eastAsia" w:ascii="宋体" w:hAnsi="宋体" w:eastAsia="宋体" w:cs="宋体"/>
          <w:highlight w:val="none"/>
          <w:lang w:eastAsia="zh-CN"/>
        </w:rPr>
        <w:t>投标</w:t>
      </w:r>
      <w:r>
        <w:rPr>
          <w:rFonts w:hint="eastAsia" w:ascii="宋体" w:hAnsi="宋体" w:eastAsia="宋体" w:cs="宋体"/>
          <w:highlight w:val="none"/>
        </w:rPr>
        <w:t>人最后上传成功的</w:t>
      </w:r>
      <w:r>
        <w:rPr>
          <w:rFonts w:hint="eastAsia" w:ascii="宋体" w:hAnsi="宋体" w:eastAsia="宋体" w:cs="宋体"/>
          <w:highlight w:val="none"/>
          <w:lang w:val="zh-CN"/>
        </w:rPr>
        <w:t>加密</w:t>
      </w:r>
      <w:r>
        <w:rPr>
          <w:rFonts w:hint="eastAsia" w:ascii="宋体" w:hAnsi="宋体" w:eastAsia="宋体" w:cs="宋体"/>
          <w:highlight w:val="none"/>
        </w:rPr>
        <w:t>电子</w:t>
      </w:r>
      <w:r>
        <w:rPr>
          <w:rFonts w:hint="eastAsia" w:ascii="宋体" w:hAnsi="宋体" w:eastAsia="宋体" w:cs="宋体"/>
          <w:highlight w:val="none"/>
          <w:lang w:eastAsia="zh-CN"/>
        </w:rPr>
        <w:t>投标</w:t>
      </w:r>
      <w:r>
        <w:rPr>
          <w:rFonts w:hint="eastAsia" w:ascii="宋体" w:hAnsi="宋体" w:eastAsia="宋体" w:cs="宋体"/>
          <w:highlight w:val="none"/>
        </w:rPr>
        <w:t>文件为准</w:t>
      </w:r>
      <w:r>
        <w:rPr>
          <w:rFonts w:hint="eastAsia" w:ascii="宋体" w:hAnsi="宋体" w:eastAsia="宋体" w:cs="宋体"/>
          <w:szCs w:val="21"/>
          <w:highlight w:val="none"/>
        </w:rPr>
        <w:t>。</w:t>
      </w:r>
    </w:p>
    <w:p>
      <w:pPr>
        <w:autoSpaceDE w:val="0"/>
        <w:autoSpaceDN w:val="0"/>
        <w:adjustRightInd w:val="0"/>
        <w:snapToGrid w:val="0"/>
        <w:spacing w:before="240" w:after="240" w:line="400" w:lineRule="exact"/>
        <w:jc w:val="center"/>
        <w:outlineLvl w:val="1"/>
        <w:rPr>
          <w:rFonts w:hint="eastAsia" w:ascii="宋体" w:hAnsi="宋体" w:eastAsia="宋体" w:cs="宋体"/>
          <w:b/>
          <w:bCs/>
          <w:sz w:val="28"/>
          <w:szCs w:val="28"/>
          <w:highlight w:val="none"/>
          <w:lang w:val="zh-CN"/>
        </w:rPr>
      </w:pPr>
      <w:bookmarkStart w:id="12" w:name="_Toc24058"/>
      <w:r>
        <w:rPr>
          <w:rFonts w:hint="eastAsia" w:ascii="宋体" w:hAnsi="宋体" w:eastAsia="宋体" w:cs="宋体"/>
          <w:b/>
          <w:bCs/>
          <w:sz w:val="28"/>
          <w:szCs w:val="28"/>
          <w:highlight w:val="none"/>
          <w:lang w:val="zh-CN"/>
        </w:rPr>
        <w:t>四、磋商程序和成交标准</w:t>
      </w:r>
      <w:bookmarkEnd w:id="12"/>
    </w:p>
    <w:p>
      <w:pPr>
        <w:adjustRightInd w:val="0"/>
        <w:snapToGrid w:val="0"/>
        <w:spacing w:before="240" w:line="400" w:lineRule="exact"/>
        <w:rPr>
          <w:rFonts w:hint="eastAsia" w:ascii="宋体" w:hAnsi="宋体" w:eastAsia="宋体" w:cs="宋体"/>
          <w:b/>
          <w:kern w:val="1"/>
          <w:szCs w:val="21"/>
          <w:highlight w:val="none"/>
        </w:rPr>
      </w:pPr>
      <w:r>
        <w:rPr>
          <w:rFonts w:hint="eastAsia" w:ascii="宋体" w:hAnsi="宋体" w:eastAsia="宋体" w:cs="宋体"/>
          <w:b/>
          <w:kern w:val="1"/>
          <w:szCs w:val="21"/>
          <w:highlight w:val="none"/>
        </w:rPr>
        <w:t>4.1 磋商开启程序及规定</w:t>
      </w:r>
    </w:p>
    <w:p>
      <w:pPr>
        <w:adjustRightInd w:val="0"/>
        <w:snapToGrid w:val="0"/>
        <w:spacing w:line="400" w:lineRule="exact"/>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4.1开标</w:t>
      </w:r>
    </w:p>
    <w:p>
      <w:pPr>
        <w:pStyle w:val="6"/>
        <w:rPr>
          <w:rFonts w:hint="eastAsia" w:ascii="宋体" w:hAnsi="宋体" w:eastAsia="宋体" w:cs="宋体"/>
          <w:highlight w:val="none"/>
        </w:rPr>
      </w:pPr>
      <w:r>
        <w:rPr>
          <w:rFonts w:hint="eastAsia" w:ascii="宋体" w:hAnsi="宋体" w:eastAsia="宋体" w:cs="宋体"/>
          <w:highlight w:val="none"/>
          <w:lang w:eastAsia="zh-CN"/>
        </w:rPr>
        <w:t>采购人</w:t>
      </w:r>
      <w:r>
        <w:rPr>
          <w:rFonts w:hint="eastAsia" w:ascii="宋体" w:hAnsi="宋体" w:eastAsia="宋体" w:cs="宋体"/>
          <w:highlight w:val="none"/>
        </w:rPr>
        <w:t>在</w:t>
      </w:r>
      <w:r>
        <w:rPr>
          <w:rFonts w:hint="eastAsia" w:ascii="宋体" w:hAnsi="宋体" w:eastAsia="宋体" w:cs="宋体"/>
          <w:highlight w:val="none"/>
          <w:lang w:eastAsia="zh-CN"/>
        </w:rPr>
        <w:t>招标文件规定的</w:t>
      </w:r>
      <w:r>
        <w:rPr>
          <w:rFonts w:hint="eastAsia" w:ascii="宋体" w:hAnsi="宋体" w:eastAsia="宋体" w:cs="宋体"/>
          <w:highlight w:val="none"/>
        </w:rPr>
        <w:t>开标时间和地点公开开标。</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主持人按下列程序进行：</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（1）投标截止时间到宣布投标截止，宣布开标纪律；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（2）公布投标单位信息；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（3）投标人使用与制作投标文件时同一数字认证证书对投标文件进行解密（</w:t>
      </w:r>
      <w:r>
        <w:rPr>
          <w:rFonts w:hint="eastAsia" w:ascii="宋体" w:hAnsi="宋体" w:eastAsia="宋体" w:cs="宋体"/>
          <w:kern w:val="2"/>
          <w:sz w:val="21"/>
          <w:szCs w:val="24"/>
          <w:highlight w:val="none"/>
          <w:lang w:val="zh-CN" w:eastAsia="zh-CN" w:bidi="ar-SA"/>
        </w:rPr>
        <w:t>未在规定</w:t>
      </w:r>
      <w:r>
        <w:rPr>
          <w:rFonts w:hint="eastAsia" w:ascii="宋体" w:hAnsi="宋体" w:eastAsia="宋体" w:cs="宋体"/>
          <w:kern w:val="2"/>
          <w:sz w:val="21"/>
          <w:szCs w:val="24"/>
          <w:highlight w:val="none"/>
          <w:lang w:val="en-US" w:eastAsia="zh-CN" w:bidi="ar-SA"/>
        </w:rPr>
        <w:t>时间完成解密的视</w:t>
      </w:r>
      <w:r>
        <w:rPr>
          <w:rFonts w:hint="eastAsia" w:ascii="宋体" w:hAnsi="宋体" w:eastAsia="宋体" w:cs="宋体"/>
          <w:kern w:val="2"/>
          <w:sz w:val="21"/>
          <w:szCs w:val="24"/>
          <w:highlight w:val="none"/>
          <w:lang w:val="zh-CN" w:eastAsia="zh-CN" w:bidi="ar-SA"/>
        </w:rPr>
        <w:t>为</w:t>
      </w:r>
      <w:r>
        <w:rPr>
          <w:rFonts w:hint="eastAsia" w:ascii="宋体" w:hAnsi="宋体" w:eastAsia="宋体" w:cs="宋体"/>
          <w:kern w:val="2"/>
          <w:sz w:val="21"/>
          <w:szCs w:val="24"/>
          <w:highlight w:val="none"/>
          <w:lang w:val="en-US" w:eastAsia="zh-CN" w:bidi="ar-SA"/>
        </w:rPr>
        <w:t>自动</w:t>
      </w:r>
      <w:r>
        <w:rPr>
          <w:rFonts w:hint="eastAsia" w:ascii="宋体" w:hAnsi="宋体" w:eastAsia="宋体" w:cs="宋体"/>
          <w:kern w:val="2"/>
          <w:sz w:val="21"/>
          <w:szCs w:val="24"/>
          <w:highlight w:val="none"/>
          <w:lang w:val="zh-CN" w:eastAsia="zh-CN" w:bidi="ar-SA"/>
        </w:rPr>
        <w:t>放弃</w:t>
      </w:r>
      <w:r>
        <w:rPr>
          <w:rFonts w:hint="eastAsia" w:ascii="宋体" w:hAnsi="宋体" w:eastAsia="宋体" w:cs="宋体"/>
          <w:kern w:val="2"/>
          <w:sz w:val="21"/>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（4）唱标（如需要）；</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（5）投标人对开标过程进行确认；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（6）开标结束。</w:t>
      </w:r>
    </w:p>
    <w:p>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本项目涉及二次( 多次)报价，请响应人随时关注本项目评审进度，避免错过报价，专家发起报价时，会在潜在响应人系统弹出窗口，请响应人在规定的30分钟内进行报价。因响应人未按规定时间进行报价的视为响应人放弃投标。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投标人未参加开标的，视同认可开标结果。</w:t>
      </w:r>
    </w:p>
    <w:p>
      <w:pPr>
        <w:adjustRightInd w:val="0"/>
        <w:snapToGrid w:val="0"/>
        <w:spacing w:line="400" w:lineRule="exact"/>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4.2.1 磋商小组由采购人代表和评审专家共3人组成，其中评审专家不得少于磋商小组成员总数的三分之二。</w:t>
      </w:r>
    </w:p>
    <w:p>
      <w:pPr>
        <w:adjustRightInd w:val="0"/>
        <w:snapToGrid w:val="0"/>
        <w:spacing w:line="400" w:lineRule="exact"/>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4.2.2除采购人代表外的其他采购人不得以评审专家的身份参加本部门或本单位采购项目的评审。采购代理机构人员不得参加由本机构代理的采购项目的评审。</w:t>
      </w:r>
    </w:p>
    <w:p>
      <w:pPr>
        <w:adjustRightInd w:val="0"/>
        <w:snapToGrid w:val="0"/>
        <w:spacing w:line="400" w:lineRule="exact"/>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4.2.3 磋商小组在采购活动过程中应当履行下列职责：</w:t>
      </w:r>
    </w:p>
    <w:p>
      <w:pPr>
        <w:numPr>
          <w:ilvl w:val="0"/>
          <w:numId w:val="2"/>
        </w:num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确认磋商文件；</w:t>
      </w:r>
    </w:p>
    <w:p>
      <w:pPr>
        <w:numPr>
          <w:ilvl w:val="0"/>
          <w:numId w:val="2"/>
        </w:num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与满足磋商文件要求的供应商进行磋商；</w:t>
      </w:r>
    </w:p>
    <w:p>
      <w:pPr>
        <w:numPr>
          <w:ilvl w:val="0"/>
          <w:numId w:val="2"/>
        </w:num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审查供应商的响应文件并作出评价；</w:t>
      </w:r>
    </w:p>
    <w:p>
      <w:pPr>
        <w:numPr>
          <w:ilvl w:val="0"/>
          <w:numId w:val="2"/>
        </w:num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要求供应商解释或者澄清其响应文件；</w:t>
      </w:r>
    </w:p>
    <w:p>
      <w:pPr>
        <w:numPr>
          <w:ilvl w:val="0"/>
          <w:numId w:val="2"/>
        </w:num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编写评审报告；</w:t>
      </w:r>
    </w:p>
    <w:p>
      <w:pPr>
        <w:numPr>
          <w:ilvl w:val="0"/>
          <w:numId w:val="2"/>
        </w:num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告知采购人、采购代理机构在评审过程中发现的供应商的违法违规行为。</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4.2.4磋商小组将本着公开、公平、公正和规范的原则，严格按照竞争性磋商文件要求和标准进行评标，履行评委职责，并承担相应的法律责任。</w:t>
      </w:r>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4.2.5如磋商小组的工作明显偏离了竞争性磋商文件的要求，或明显违犯了国家的法律法规，采购人有权解散磋商小组委员会。</w:t>
      </w:r>
    </w:p>
    <w:p>
      <w:pPr>
        <w:adjustRightInd w:val="0"/>
        <w:snapToGrid w:val="0"/>
        <w:spacing w:line="400" w:lineRule="exact"/>
        <w:rPr>
          <w:rFonts w:hint="eastAsia" w:ascii="宋体" w:hAnsi="宋体" w:eastAsia="宋体" w:cs="宋体"/>
          <w:b/>
          <w:kern w:val="1"/>
          <w:szCs w:val="21"/>
          <w:highlight w:val="none"/>
          <w:lang w:val="zh-CN"/>
        </w:rPr>
      </w:pPr>
      <w:r>
        <w:rPr>
          <w:rFonts w:hint="eastAsia" w:ascii="宋体" w:hAnsi="宋体" w:eastAsia="宋体" w:cs="宋体"/>
          <w:b/>
          <w:kern w:val="1"/>
          <w:szCs w:val="21"/>
          <w:highlight w:val="none"/>
          <w:lang w:val="zh-CN"/>
        </w:rPr>
        <w:t>4.</w:t>
      </w:r>
      <w:r>
        <w:rPr>
          <w:rFonts w:hint="eastAsia" w:ascii="宋体" w:hAnsi="宋体" w:eastAsia="宋体" w:cs="宋体"/>
          <w:b/>
          <w:kern w:val="1"/>
          <w:szCs w:val="21"/>
          <w:highlight w:val="none"/>
        </w:rPr>
        <w:t>2</w:t>
      </w:r>
      <w:r>
        <w:rPr>
          <w:rFonts w:hint="eastAsia" w:ascii="宋体" w:hAnsi="宋体" w:eastAsia="宋体" w:cs="宋体"/>
          <w:b/>
          <w:kern w:val="1"/>
          <w:szCs w:val="21"/>
          <w:highlight w:val="none"/>
          <w:lang w:val="zh-CN"/>
        </w:rPr>
        <w:t>磋商组织</w:t>
      </w:r>
    </w:p>
    <w:p>
      <w:pPr>
        <w:adjustRightInd w:val="0"/>
        <w:snapToGrid w:val="0"/>
        <w:spacing w:line="400" w:lineRule="exact"/>
        <w:ind w:firstLine="421"/>
        <w:rPr>
          <w:rFonts w:hint="eastAsia" w:ascii="宋体" w:hAnsi="宋体" w:eastAsia="宋体" w:cs="宋体"/>
          <w:kern w:val="0"/>
          <w:highlight w:val="none"/>
        </w:rPr>
      </w:pPr>
      <w:r>
        <w:rPr>
          <w:rFonts w:hint="eastAsia" w:ascii="宋体" w:hAnsi="宋体" w:eastAsia="宋体" w:cs="宋体"/>
          <w:bCs/>
          <w:kern w:val="1"/>
          <w:szCs w:val="21"/>
          <w:highlight w:val="none"/>
        </w:rPr>
        <w:t>4.2.1</w:t>
      </w:r>
      <w:r>
        <w:rPr>
          <w:rFonts w:hint="eastAsia" w:ascii="宋体" w:hAnsi="宋体" w:eastAsia="宋体" w:cs="宋体"/>
          <w:kern w:val="0"/>
          <w:highlight w:val="none"/>
        </w:rPr>
        <w:t>磋商小组：磋商由采购人依法组建的磋商小组负责。磋商小组由采购人或其委托的采购代理机构熟悉相关业务的代表，以及有关技术、经济等方面的专家组成。</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4.</w:t>
      </w:r>
      <w:r>
        <w:rPr>
          <w:rFonts w:hint="eastAsia" w:ascii="宋体" w:hAnsi="宋体" w:eastAsia="宋体" w:cs="宋体"/>
          <w:kern w:val="1"/>
          <w:szCs w:val="21"/>
          <w:highlight w:val="none"/>
        </w:rPr>
        <w:t>2</w:t>
      </w:r>
      <w:r>
        <w:rPr>
          <w:rFonts w:hint="eastAsia" w:ascii="宋体" w:hAnsi="宋体" w:eastAsia="宋体" w:cs="宋体"/>
          <w:kern w:val="1"/>
          <w:szCs w:val="21"/>
          <w:highlight w:val="none"/>
          <w:lang w:val="zh-CN"/>
        </w:rPr>
        <w:t>.</w:t>
      </w:r>
      <w:r>
        <w:rPr>
          <w:rFonts w:hint="eastAsia" w:ascii="宋体" w:hAnsi="宋体" w:eastAsia="宋体" w:cs="宋体"/>
          <w:kern w:val="1"/>
          <w:szCs w:val="21"/>
          <w:highlight w:val="none"/>
        </w:rPr>
        <w:t>2</w:t>
      </w:r>
      <w:r>
        <w:rPr>
          <w:rFonts w:hint="eastAsia" w:ascii="宋体" w:hAnsi="宋体" w:eastAsia="宋体" w:cs="宋体"/>
          <w:kern w:val="1"/>
          <w:szCs w:val="21"/>
          <w:highlight w:val="none"/>
          <w:lang w:val="zh-CN"/>
        </w:rPr>
        <w:t>磋商小组将在磋商文件规定的时间和地点集中与资格性审查的单一供应商分别进行磋商。并给予所有参加磋商的供应商平等的磋商机会。</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4.2.3</w:t>
      </w:r>
      <w:r>
        <w:rPr>
          <w:rFonts w:hint="eastAsia" w:ascii="宋体" w:hAnsi="宋体" w:eastAsia="宋体" w:cs="宋体"/>
          <w:kern w:val="1"/>
          <w:szCs w:val="21"/>
          <w:highlight w:val="none"/>
          <w:lang w:val="zh-CN"/>
        </w:rPr>
        <w:t>参加磋商的供应商代表应签名报到证明其出席，如未按时签到，将被视为供应商自动放弃竞争性磋商权利。</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4.</w:t>
      </w:r>
      <w:r>
        <w:rPr>
          <w:rFonts w:hint="eastAsia" w:ascii="宋体" w:hAnsi="宋体" w:eastAsia="宋体" w:cs="宋体"/>
          <w:kern w:val="1"/>
          <w:szCs w:val="21"/>
          <w:highlight w:val="none"/>
        </w:rPr>
        <w:t>2</w:t>
      </w:r>
      <w:r>
        <w:rPr>
          <w:rFonts w:hint="eastAsia" w:ascii="宋体" w:hAnsi="宋体" w:eastAsia="宋体" w:cs="宋体"/>
          <w:kern w:val="1"/>
          <w:szCs w:val="21"/>
          <w:highlight w:val="none"/>
          <w:lang w:val="zh-CN"/>
        </w:rPr>
        <w:t>.</w:t>
      </w:r>
      <w:r>
        <w:rPr>
          <w:rFonts w:hint="eastAsia" w:ascii="宋体" w:hAnsi="宋体" w:eastAsia="宋体" w:cs="宋体"/>
          <w:kern w:val="1"/>
          <w:szCs w:val="21"/>
          <w:highlight w:val="none"/>
        </w:rPr>
        <w:t>4</w:t>
      </w:r>
      <w:r>
        <w:rPr>
          <w:rFonts w:hint="eastAsia" w:ascii="宋体" w:hAnsi="宋体" w:eastAsia="宋体" w:cs="宋体"/>
          <w:kern w:val="1"/>
          <w:szCs w:val="21"/>
          <w:highlight w:val="none"/>
          <w:lang w:val="zh-CN"/>
        </w:rPr>
        <w:t>磋商过程中，磋商小组成员不得与供应商私下交换意见，并在磋商工作结束后，不得将磋商情况进行泄露。</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4.</w:t>
      </w:r>
      <w:r>
        <w:rPr>
          <w:rFonts w:hint="eastAsia" w:ascii="宋体" w:hAnsi="宋体" w:eastAsia="宋体" w:cs="宋体"/>
          <w:kern w:val="1"/>
          <w:szCs w:val="21"/>
          <w:highlight w:val="none"/>
        </w:rPr>
        <w:t>2</w:t>
      </w:r>
      <w:r>
        <w:rPr>
          <w:rFonts w:hint="eastAsia" w:ascii="宋体" w:hAnsi="宋体" w:eastAsia="宋体" w:cs="宋体"/>
          <w:kern w:val="1"/>
          <w:szCs w:val="21"/>
          <w:highlight w:val="none"/>
          <w:lang w:val="zh-CN"/>
        </w:rPr>
        <w:t>.</w:t>
      </w:r>
      <w:r>
        <w:rPr>
          <w:rFonts w:hint="eastAsia" w:ascii="宋体" w:hAnsi="宋体" w:eastAsia="宋体" w:cs="宋体"/>
          <w:kern w:val="1"/>
          <w:szCs w:val="21"/>
          <w:highlight w:val="none"/>
        </w:rPr>
        <w:t>5</w:t>
      </w:r>
      <w:r>
        <w:rPr>
          <w:rFonts w:hint="eastAsia" w:ascii="宋体" w:hAnsi="宋体" w:eastAsia="宋体" w:cs="宋体"/>
          <w:kern w:val="1"/>
          <w:szCs w:val="21"/>
          <w:highlight w:val="none"/>
          <w:lang w:val="zh-CN"/>
        </w:rPr>
        <w:t>回避</w:t>
      </w:r>
    </w:p>
    <w:p>
      <w:pPr>
        <w:widowControl/>
        <w:adjustRightInd w:val="0"/>
        <w:snapToGrid w:val="0"/>
        <w:spacing w:line="400" w:lineRule="exact"/>
        <w:ind w:firstLine="420" w:firstLineChars="200"/>
        <w:jc w:val="left"/>
        <w:rPr>
          <w:rFonts w:hint="eastAsia" w:ascii="宋体" w:hAnsi="宋体" w:eastAsia="宋体" w:cs="宋体"/>
          <w:kern w:val="21"/>
          <w:highlight w:val="none"/>
        </w:rPr>
      </w:pPr>
      <w:r>
        <w:rPr>
          <w:rFonts w:hint="eastAsia" w:ascii="宋体" w:hAnsi="宋体" w:eastAsia="宋体" w:cs="宋体"/>
          <w:kern w:val="21"/>
          <w:highlight w:val="none"/>
        </w:rPr>
        <w:t>（1）除采购人代表外的其他采购人不得以评审专家的身份参加本部门或本单位采购项目的评审。采购代理机构人员不得参加由本机构代理的采购项目的评审；</w:t>
      </w:r>
    </w:p>
    <w:p>
      <w:pPr>
        <w:widowControl/>
        <w:adjustRightInd w:val="0"/>
        <w:snapToGrid w:val="0"/>
        <w:spacing w:line="400" w:lineRule="exact"/>
        <w:ind w:firstLine="420" w:firstLineChars="200"/>
        <w:jc w:val="left"/>
        <w:rPr>
          <w:rFonts w:hint="eastAsia" w:ascii="宋体" w:hAnsi="宋体" w:eastAsia="宋体" w:cs="宋体"/>
          <w:kern w:val="21"/>
          <w:highlight w:val="none"/>
        </w:rPr>
      </w:pPr>
      <w:r>
        <w:rPr>
          <w:rFonts w:hint="eastAsia" w:ascii="宋体" w:hAnsi="宋体" w:eastAsia="宋体" w:cs="宋体"/>
          <w:kern w:val="21"/>
          <w:highlight w:val="none"/>
        </w:rPr>
        <w:t xml:space="preserve">（2）与供应商有经济利益关系，可能影响对磋商公正评审的； </w:t>
      </w:r>
    </w:p>
    <w:p>
      <w:pPr>
        <w:widowControl/>
        <w:adjustRightInd w:val="0"/>
        <w:snapToGrid w:val="0"/>
        <w:spacing w:line="400" w:lineRule="exact"/>
        <w:ind w:firstLine="420" w:firstLineChars="200"/>
        <w:jc w:val="left"/>
        <w:rPr>
          <w:rFonts w:hint="eastAsia" w:ascii="宋体" w:hAnsi="宋体" w:eastAsia="宋体" w:cs="宋体"/>
          <w:kern w:val="21"/>
          <w:highlight w:val="none"/>
        </w:rPr>
      </w:pPr>
      <w:r>
        <w:rPr>
          <w:rFonts w:hint="eastAsia" w:ascii="宋体" w:hAnsi="宋体" w:eastAsia="宋体" w:cs="宋体"/>
          <w:kern w:val="21"/>
          <w:highlight w:val="none"/>
        </w:rPr>
        <w:t xml:space="preserve">（3）曾因在招标以及其他与竞争性磋商有关活动中从事违法行为而受过行政处罚或刑事处罚的。 </w:t>
      </w:r>
    </w:p>
    <w:p>
      <w:pPr>
        <w:adjustRightInd w:val="0"/>
        <w:snapToGrid w:val="0"/>
        <w:spacing w:line="400" w:lineRule="exact"/>
        <w:rPr>
          <w:rFonts w:hint="eastAsia" w:ascii="宋体" w:hAnsi="宋体" w:eastAsia="宋体" w:cs="宋体"/>
          <w:b/>
          <w:kern w:val="1"/>
          <w:szCs w:val="21"/>
          <w:highlight w:val="none"/>
          <w:lang w:val="zh-CN"/>
        </w:rPr>
      </w:pPr>
      <w:r>
        <w:rPr>
          <w:rFonts w:hint="eastAsia" w:ascii="宋体" w:hAnsi="宋体" w:eastAsia="宋体" w:cs="宋体"/>
          <w:b/>
          <w:kern w:val="1"/>
          <w:szCs w:val="21"/>
          <w:highlight w:val="none"/>
          <w:lang w:val="zh-CN"/>
        </w:rPr>
        <w:t>4.</w:t>
      </w:r>
      <w:r>
        <w:rPr>
          <w:rFonts w:hint="eastAsia" w:ascii="宋体" w:hAnsi="宋体" w:eastAsia="宋体" w:cs="宋体"/>
          <w:b/>
          <w:kern w:val="1"/>
          <w:szCs w:val="21"/>
          <w:highlight w:val="none"/>
        </w:rPr>
        <w:t>3</w:t>
      </w:r>
      <w:r>
        <w:rPr>
          <w:rFonts w:hint="eastAsia" w:ascii="宋体" w:hAnsi="宋体" w:eastAsia="宋体" w:cs="宋体"/>
          <w:b/>
          <w:kern w:val="1"/>
          <w:szCs w:val="21"/>
          <w:highlight w:val="none"/>
          <w:lang w:val="zh-CN"/>
        </w:rPr>
        <w:t xml:space="preserve"> 磋商方法</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4.</w:t>
      </w:r>
      <w:r>
        <w:rPr>
          <w:rFonts w:hint="eastAsia" w:ascii="宋体" w:hAnsi="宋体" w:eastAsia="宋体" w:cs="宋体"/>
          <w:kern w:val="1"/>
          <w:szCs w:val="21"/>
          <w:highlight w:val="none"/>
        </w:rPr>
        <w:t>3</w:t>
      </w:r>
      <w:r>
        <w:rPr>
          <w:rFonts w:hint="eastAsia" w:ascii="宋体" w:hAnsi="宋体" w:eastAsia="宋体" w:cs="宋体"/>
          <w:kern w:val="1"/>
          <w:szCs w:val="21"/>
          <w:highlight w:val="none"/>
          <w:lang w:val="zh-CN"/>
        </w:rPr>
        <w:t>.1磋商小组对第一轮报价（响应报价函）、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4.</w:t>
      </w:r>
      <w:r>
        <w:rPr>
          <w:rFonts w:hint="eastAsia" w:ascii="宋体" w:hAnsi="宋体" w:eastAsia="宋体" w:cs="宋体"/>
          <w:kern w:val="1"/>
          <w:szCs w:val="21"/>
          <w:highlight w:val="none"/>
        </w:rPr>
        <w:t>3</w:t>
      </w:r>
      <w:r>
        <w:rPr>
          <w:rFonts w:hint="eastAsia" w:ascii="宋体" w:hAnsi="宋体" w:eastAsia="宋体" w:cs="宋体"/>
          <w:kern w:val="1"/>
          <w:szCs w:val="21"/>
          <w:highlight w:val="none"/>
          <w:lang w:val="zh-CN"/>
        </w:rPr>
        <w:t>.2磋商小组所有成员集中与通过资格性审查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对磋商文件作出的实质性变动是磋商文件的有效组成部分，磋商小组应当及时以书面形式同时通知所有参加磋商的供应商。</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4.2.3磋商小组按照竞争性磋商文件“第三部分  评审办法”规定的评审方法、评审因素、标准和程序对响应文件进行评审。“第三部分  评审办法”没有规定的评审方法、评审因素和标准，不作为评审依据。</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4.2.4提交最后报价</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经磋商确定实质性响应的供应商后，磋商小组要求所有实质性响应的供应商在规定时间（</w:t>
      </w:r>
      <w:r>
        <w:rPr>
          <w:rFonts w:hint="eastAsia" w:ascii="宋体" w:hAnsi="宋体" w:eastAsia="宋体" w:cs="宋体"/>
          <w:kern w:val="1"/>
          <w:szCs w:val="21"/>
          <w:highlight w:val="none"/>
          <w:lang w:val="en-US" w:eastAsia="zh-CN"/>
        </w:rPr>
        <w:t>30分钟</w:t>
      </w:r>
      <w:r>
        <w:rPr>
          <w:rFonts w:hint="eastAsia" w:ascii="宋体" w:hAnsi="宋体" w:eastAsia="宋体" w:cs="宋体"/>
          <w:kern w:val="1"/>
          <w:szCs w:val="21"/>
          <w:highlight w:val="none"/>
          <w:lang w:val="zh-CN"/>
        </w:rPr>
        <w:t>）内提交最后报价，提交最后报价的供应商不得小于3家；根据《政府采购竞争性磋商采购方式管理暂行办法》（财库[2014]214号）第二十一条规定：符合《政府采购竞争性磋商采购方式管理暂行办法》第三条第四条情形的，提交最后报价的供应商可以为2家。</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4.2.5采用综合评分法对供应商的响应文件进行综合评分</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经磋商确定最终采购需求和提交最后报价的供应商后，由磋商小组采用综合评分法对提交最后报价的供应商的响应文件和最后报价进行综合评分，择优选择综合实力较强的候选供应商。</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4.2.6推荐成交候选供应商</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磋商小组根据综合评分情况，按照评审得分由高到低顺序推荐成交候选供应商（若总分一样的，价格分高的排名在前），推荐1-3名成交候选供应商并编写评审报告。</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4.2.7采购人确认评审报告及成交供应商，并公告成交结果</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评审结束后2个工作日内采购代理机构将评审报告送采购人确认。</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采购人或者采购代理机构应当在成交供应商确定后2个工作日内，在省级以上财政部门指定的政府采购信息发布媒体上公告磋商结果，同时向成交供应商发出成交通知书，并将磋商文件本非涉密部分随成交结果进行公示，公示期不少于1个工作日。</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采购人在授予合同之前仍有选择和拒绝任何或全部磋商的权力，并对所采取的行为不做任何解释。</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采购人有权利根据供应商响应文件对采购文件实质性响应的程度决定接受其全部或部分的磋商。</w:t>
      </w:r>
    </w:p>
    <w:p>
      <w:pPr>
        <w:pStyle w:val="6"/>
        <w:spacing w:line="400" w:lineRule="exact"/>
        <w:ind w:firstLine="211"/>
        <w:rPr>
          <w:rFonts w:hint="eastAsia" w:ascii="宋体" w:hAnsi="宋体" w:eastAsia="宋体" w:cs="宋体"/>
          <w:b/>
          <w:kern w:val="1"/>
          <w:szCs w:val="21"/>
          <w:highlight w:val="none"/>
          <w:lang w:val="zh-CN"/>
        </w:rPr>
      </w:pPr>
      <w:r>
        <w:rPr>
          <w:rFonts w:hint="eastAsia" w:ascii="宋体" w:hAnsi="宋体" w:eastAsia="宋体" w:cs="宋体"/>
          <w:b/>
          <w:kern w:val="1"/>
          <w:szCs w:val="21"/>
          <w:highlight w:val="none"/>
          <w:lang w:val="zh-CN"/>
        </w:rPr>
        <w:t xml:space="preserve">  4.3评审办法</w:t>
      </w:r>
    </w:p>
    <w:p>
      <w:pPr>
        <w:adjustRightInd w:val="0"/>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资格审查条件</w:t>
      </w:r>
    </w:p>
    <w:tbl>
      <w:tblPr>
        <w:tblStyle w:val="16"/>
        <w:tblpPr w:leftFromText="180" w:rightFromText="180" w:vertAnchor="text" w:horzAnchor="margin" w:tblpX="-435" w:tblpY="259"/>
        <w:tblOverlap w:val="never"/>
        <w:tblW w:w="10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97"/>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条款号</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评审</w:t>
            </w:r>
          </w:p>
          <w:p>
            <w:pPr>
              <w:adjustRightInd w:val="0"/>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因素</w:t>
            </w:r>
          </w:p>
        </w:tc>
        <w:tc>
          <w:tcPr>
            <w:tcW w:w="73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73" w:type="dxa"/>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1697" w:type="dxa"/>
            <w:tcBorders>
              <w:top w:val="single" w:color="auto" w:sz="4" w:space="0"/>
              <w:lef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供应商资格</w:t>
            </w:r>
          </w:p>
        </w:tc>
        <w:tc>
          <w:tcPr>
            <w:tcW w:w="7368" w:type="dxa"/>
            <w:tcBorders>
              <w:top w:val="single" w:color="auto" w:sz="4" w:space="0"/>
              <w:left w:val="single" w:color="auto" w:sz="4" w:space="0"/>
              <w:bottom w:val="single" w:color="auto" w:sz="4" w:space="0"/>
            </w:tcBorders>
            <w:noWrap w:val="0"/>
            <w:vAlign w:val="center"/>
          </w:tcPr>
          <w:p>
            <w:pPr>
              <w:spacing w:before="133" w:line="351" w:lineRule="auto"/>
              <w:ind w:right="2"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1、满足《中华人民共和国政府采购法》第二十二条规定； (提供资格条件承诺函或相应的证明材料)</w:t>
            </w:r>
          </w:p>
          <w:p>
            <w:pPr>
              <w:spacing w:before="133" w:line="351" w:lineRule="auto"/>
              <w:ind w:right="2"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2、落实政府采购政策满足的资格要求： </w:t>
            </w:r>
          </w:p>
          <w:p>
            <w:pPr>
              <w:spacing w:before="133" w:line="351" w:lineRule="auto"/>
              <w:ind w:right="2"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本项目执行扶持不发达地区和少数民族地区、促进中小微企业、监狱企业、残疾人福利性单位等政府采购政策。 </w:t>
            </w:r>
          </w:p>
          <w:p>
            <w:pPr>
              <w:spacing w:before="133" w:line="351" w:lineRule="auto"/>
              <w:ind w:right="2"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3、本项目的特定资格要求 </w:t>
            </w:r>
          </w:p>
          <w:p>
            <w:pPr>
              <w:spacing w:before="133" w:line="351" w:lineRule="auto"/>
              <w:ind w:right="2"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3.1供应商满足《中华人民共和国政府采购法》第二十二条的规定；(提供资格条件承诺函或相应的证明材料)</w:t>
            </w:r>
          </w:p>
          <w:p>
            <w:pPr>
              <w:spacing w:before="133" w:line="351" w:lineRule="auto"/>
              <w:ind w:right="2"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3.2供应商需具备市政公用工程施工总承包叁级</w:t>
            </w:r>
            <w:r>
              <w:rPr>
                <w:rFonts w:hint="eastAsia" w:ascii="宋体" w:hAnsi="宋体" w:cs="宋体"/>
                <w:szCs w:val="21"/>
                <w:highlight w:val="none"/>
                <w:lang w:val="en-US" w:eastAsia="zh-CN"/>
              </w:rPr>
              <w:t>或</w:t>
            </w:r>
            <w:r>
              <w:rPr>
                <w:rFonts w:hint="eastAsia" w:ascii="宋体" w:hAnsi="宋体" w:eastAsia="宋体" w:cs="宋体"/>
                <w:szCs w:val="21"/>
                <w:highlight w:val="none"/>
                <w:lang w:val="en-US" w:eastAsia="zh-CN"/>
              </w:rPr>
              <w:t>以上资质，具有有效的安全生产许可证；</w:t>
            </w:r>
          </w:p>
          <w:p>
            <w:pPr>
              <w:adjustRightInd w:val="0"/>
              <w:snapToGrid w:val="0"/>
              <w:spacing w:line="380" w:lineRule="exact"/>
              <w:ind w:firstLine="525" w:firstLineChars="250"/>
              <w:jc w:val="left"/>
              <w:rPr>
                <w:rFonts w:hint="eastAsia" w:ascii="宋体" w:hAnsi="宋体" w:eastAsia="宋体" w:cs="宋体"/>
                <w:sz w:val="21"/>
                <w:szCs w:val="21"/>
                <w:highlight w:val="none"/>
              </w:rPr>
            </w:pPr>
            <w:r>
              <w:rPr>
                <w:rFonts w:hint="eastAsia" w:ascii="宋体" w:hAnsi="宋体" w:eastAsia="宋体" w:cs="宋体"/>
                <w:szCs w:val="21"/>
                <w:highlight w:val="none"/>
                <w:lang w:val="en-US" w:eastAsia="zh-CN"/>
              </w:rPr>
              <w:t>3.3</w:t>
            </w:r>
            <w:r>
              <w:rPr>
                <w:rFonts w:hint="eastAsia" w:ascii="宋体" w:hAnsi="宋体" w:eastAsia="宋体" w:cs="宋体"/>
                <w:szCs w:val="21"/>
                <w:highlight w:val="none"/>
              </w:rPr>
              <w:t>拟派项目经理需具备</w:t>
            </w:r>
            <w:r>
              <w:rPr>
                <w:rFonts w:hint="eastAsia" w:ascii="宋体" w:hAnsi="宋体" w:eastAsia="宋体" w:cs="宋体"/>
                <w:szCs w:val="21"/>
                <w:highlight w:val="none"/>
                <w:lang w:val="en-US" w:eastAsia="zh-CN"/>
              </w:rPr>
              <w:t>市政公用工程</w:t>
            </w:r>
            <w:r>
              <w:rPr>
                <w:rFonts w:hint="eastAsia" w:ascii="宋体" w:hAnsi="宋体" w:eastAsia="宋体" w:cs="宋体"/>
                <w:szCs w:val="21"/>
                <w:highlight w:val="none"/>
              </w:rPr>
              <w:t>专业贰级</w:t>
            </w:r>
            <w:r>
              <w:rPr>
                <w:rFonts w:hint="eastAsia" w:ascii="宋体" w:hAnsi="宋体" w:cs="宋体"/>
                <w:szCs w:val="21"/>
                <w:highlight w:val="none"/>
                <w:lang w:eastAsia="zh-CN"/>
              </w:rPr>
              <w:t>或</w:t>
            </w:r>
            <w:r>
              <w:rPr>
                <w:rFonts w:hint="eastAsia" w:ascii="宋体" w:hAnsi="宋体" w:eastAsia="宋体" w:cs="宋体"/>
                <w:szCs w:val="21"/>
                <w:highlight w:val="none"/>
              </w:rPr>
              <w:t>以上注册建造师执业资格、有效的安全生产考核合格证书（B证），且无在建项目（提供无在建承诺书）；</w:t>
            </w:r>
            <w:r>
              <w:rPr>
                <w:rFonts w:hint="eastAsia" w:ascii="宋体" w:hAnsi="宋体" w:eastAsia="宋体" w:cs="宋体"/>
                <w:bCs/>
                <w:szCs w:val="21"/>
                <w:highlight w:val="none"/>
              </w:rPr>
              <w:t>拟派项目经理在投标截止日前 120 天内，有在其他工程项目上担任项目经理任职变更事项的，请在响应文件中说明情况并附经建设行政主管部门备案的相关证明材料； 拟派项目经理必须为本单位正式人员，并</w:t>
            </w:r>
            <w:r>
              <w:rPr>
                <w:rFonts w:hint="eastAsia" w:ascii="宋体" w:hAnsi="宋体" w:eastAsia="宋体" w:cs="宋体"/>
                <w:szCs w:val="21"/>
                <w:highlight w:val="none"/>
                <w:lang w:val="zh-CN"/>
              </w:rPr>
              <w:t>提供</w:t>
            </w:r>
            <w:r>
              <w:rPr>
                <w:rFonts w:hint="eastAsia" w:ascii="宋体" w:hAnsi="宋体" w:eastAsia="宋体" w:cs="宋体"/>
                <w:szCs w:val="21"/>
                <w:highlight w:val="none"/>
                <w:lang w:val="en-US" w:eastAsia="zh-CN"/>
              </w:rPr>
              <w:t>近三个月内任意一个月</w:t>
            </w:r>
            <w:r>
              <w:rPr>
                <w:rFonts w:hint="eastAsia" w:ascii="宋体" w:hAnsi="宋体" w:eastAsia="宋体" w:cs="宋体"/>
                <w:szCs w:val="21"/>
                <w:highlight w:val="none"/>
                <w:lang w:val="zh-CN"/>
              </w:rPr>
              <w:t>缴</w:t>
            </w:r>
            <w:r>
              <w:rPr>
                <w:rFonts w:hint="eastAsia" w:ascii="宋体" w:hAnsi="宋体" w:eastAsia="宋体" w:cs="宋体"/>
                <w:sz w:val="21"/>
                <w:szCs w:val="21"/>
                <w:highlight w:val="none"/>
                <w:lang w:val="zh-CN"/>
              </w:rPr>
              <w:t>纳社保证明</w:t>
            </w:r>
            <w:r>
              <w:rPr>
                <w:rFonts w:hint="eastAsia" w:ascii="宋体" w:hAnsi="宋体" w:eastAsia="宋体" w:cs="宋体"/>
                <w:bCs/>
                <w:sz w:val="21"/>
                <w:szCs w:val="21"/>
                <w:highlight w:val="none"/>
              </w:rPr>
              <w:t>。</w:t>
            </w:r>
          </w:p>
          <w:p>
            <w:pPr>
              <w:adjustRightInd w:val="0"/>
              <w:snapToGrid w:val="0"/>
              <w:spacing w:line="380" w:lineRule="exact"/>
              <w:ind w:firstLine="525" w:firstLineChars="25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3.4</w:t>
            </w:r>
            <w:r>
              <w:rPr>
                <w:rFonts w:hint="eastAsia" w:ascii="宋体" w:hAnsi="宋体" w:eastAsia="宋体" w:cs="宋体"/>
                <w:b w:val="0"/>
                <w:bCs/>
                <w:spacing w:val="2"/>
                <w:sz w:val="21"/>
                <w:szCs w:val="21"/>
                <w:highlight w:val="none"/>
              </w:rPr>
              <w:t>投标人</w:t>
            </w:r>
            <w:r>
              <w:rPr>
                <w:rFonts w:hint="eastAsia" w:ascii="宋体" w:hAnsi="宋体" w:eastAsia="宋体" w:cs="宋体"/>
                <w:b w:val="0"/>
                <w:bCs/>
                <w:spacing w:val="2"/>
                <w:sz w:val="21"/>
                <w:szCs w:val="21"/>
                <w:highlight w:val="none"/>
                <w:lang w:val="en-US" w:eastAsia="zh-CN"/>
              </w:rPr>
              <w:t>未被</w:t>
            </w:r>
            <w:r>
              <w:rPr>
                <w:rFonts w:hint="eastAsia" w:ascii="宋体" w:hAnsi="宋体" w:eastAsia="宋体" w:cs="宋体"/>
                <w:b w:val="0"/>
                <w:bCs/>
                <w:spacing w:val="2"/>
                <w:sz w:val="21"/>
                <w:szCs w:val="21"/>
                <w:highlight w:val="none"/>
              </w:rPr>
              <w:t>“中国执行信息公开网”网站</w:t>
            </w:r>
            <w:r>
              <w:rPr>
                <w:rFonts w:hint="eastAsia" w:ascii="宋体" w:hAnsi="宋体" w:eastAsia="宋体" w:cs="宋体"/>
                <w:b w:val="0"/>
                <w:bCs/>
                <w:spacing w:val="2"/>
                <w:sz w:val="21"/>
                <w:szCs w:val="21"/>
                <w:highlight w:val="none"/>
                <w:lang w:val="en-US" w:eastAsia="en-US"/>
              </w:rPr>
              <w:t>（</w:t>
            </w:r>
            <w:r>
              <w:rPr>
                <w:rFonts w:hint="eastAsia" w:ascii="宋体" w:hAnsi="宋体" w:eastAsia="宋体" w:cs="宋体"/>
                <w:b w:val="0"/>
                <w:bCs/>
                <w:spacing w:val="2"/>
                <w:sz w:val="21"/>
                <w:szCs w:val="21"/>
                <w:highlight w:val="none"/>
              </w:rPr>
              <w:fldChar w:fldCharType="begin"/>
            </w:r>
            <w:r>
              <w:rPr>
                <w:rFonts w:hint="eastAsia" w:ascii="宋体" w:hAnsi="宋体" w:eastAsia="宋体" w:cs="宋体"/>
                <w:b w:val="0"/>
                <w:bCs/>
                <w:spacing w:val="2"/>
                <w:sz w:val="21"/>
                <w:szCs w:val="21"/>
                <w:highlight w:val="none"/>
              </w:rPr>
              <w:instrText xml:space="preserve">HYPERLINK "http://zxgk"</w:instrText>
            </w:r>
            <w:r>
              <w:rPr>
                <w:rFonts w:hint="eastAsia" w:ascii="宋体" w:hAnsi="宋体" w:eastAsia="宋体" w:cs="宋体"/>
                <w:b w:val="0"/>
                <w:bCs/>
                <w:spacing w:val="2"/>
                <w:sz w:val="21"/>
                <w:szCs w:val="21"/>
                <w:highlight w:val="none"/>
              </w:rPr>
              <w:fldChar w:fldCharType="separate"/>
            </w:r>
            <w:r>
              <w:rPr>
                <w:rFonts w:hint="eastAsia" w:ascii="宋体" w:hAnsi="宋体" w:eastAsia="宋体" w:cs="宋体"/>
                <w:b w:val="0"/>
                <w:bCs/>
                <w:spacing w:val="2"/>
                <w:sz w:val="21"/>
                <w:szCs w:val="21"/>
                <w:highlight w:val="none"/>
                <w:lang w:val="en-US" w:eastAsia="en-US"/>
              </w:rPr>
              <w:t>http://zxgk</w:t>
            </w:r>
            <w:r>
              <w:rPr>
                <w:rFonts w:hint="eastAsia" w:ascii="宋体" w:hAnsi="宋体" w:eastAsia="宋体" w:cs="宋体"/>
                <w:b w:val="0"/>
                <w:bCs/>
                <w:spacing w:val="2"/>
                <w:sz w:val="21"/>
                <w:szCs w:val="21"/>
                <w:highlight w:val="none"/>
              </w:rPr>
              <w:fldChar w:fldCharType="end"/>
            </w:r>
            <w:r>
              <w:rPr>
                <w:rFonts w:hint="eastAsia" w:ascii="宋体" w:hAnsi="宋体" w:eastAsia="宋体" w:cs="宋体"/>
                <w:b w:val="0"/>
                <w:bCs/>
                <w:spacing w:val="2"/>
                <w:sz w:val="21"/>
                <w:szCs w:val="21"/>
                <w:highlight w:val="none"/>
                <w:lang w:val="en-US" w:eastAsia="en-US"/>
              </w:rPr>
              <w:t>. court. gov. cn/shixin/）</w:t>
            </w:r>
            <w:r>
              <w:rPr>
                <w:rFonts w:hint="eastAsia" w:ascii="宋体" w:hAnsi="宋体" w:eastAsia="宋体" w:cs="宋体"/>
                <w:b w:val="0"/>
                <w:bCs/>
                <w:spacing w:val="2"/>
                <w:sz w:val="21"/>
                <w:szCs w:val="21"/>
                <w:highlight w:val="none"/>
              </w:rPr>
              <w:t>列入失信被执行人、未被列入 “信用中国”（http://www.creditchina.gov.cn/）</w:t>
            </w:r>
            <w:r>
              <w:rPr>
                <w:rFonts w:hint="eastAsia" w:ascii="宋体" w:hAnsi="宋体" w:eastAsia="宋体" w:cs="宋体"/>
                <w:b w:val="0"/>
                <w:bCs/>
                <w:spacing w:val="2"/>
                <w:sz w:val="21"/>
                <w:szCs w:val="21"/>
                <w:highlight w:val="none"/>
                <w:lang w:eastAsia="zh-CN"/>
              </w:rPr>
              <w:t>重大税收违法失信主体</w:t>
            </w:r>
            <w:r>
              <w:rPr>
                <w:rFonts w:hint="eastAsia" w:ascii="宋体" w:hAnsi="宋体" w:eastAsia="宋体" w:cs="宋体"/>
                <w:b w:val="0"/>
                <w:bCs/>
                <w:spacing w:val="2"/>
                <w:sz w:val="21"/>
                <w:szCs w:val="21"/>
                <w:highlight w:val="none"/>
              </w:rPr>
              <w:t>、政府采购严重违法失信名单网站（时间：公告发布之日起至投标截止时间前），被列入失信被执行人、</w:t>
            </w:r>
            <w:r>
              <w:rPr>
                <w:rFonts w:hint="eastAsia" w:ascii="宋体" w:hAnsi="宋体" w:eastAsia="宋体" w:cs="宋体"/>
                <w:b w:val="0"/>
                <w:bCs/>
                <w:spacing w:val="2"/>
                <w:sz w:val="21"/>
                <w:szCs w:val="21"/>
                <w:highlight w:val="none"/>
                <w:lang w:eastAsia="zh-CN"/>
              </w:rPr>
              <w:t>重大税收违法失信主体、政府采购严重违法失信名单，不得参与本项目，并提供投标人承诺书，投标人对承诺书真实性负责，提供虚假承诺，投标人承担全部责任）。</w:t>
            </w:r>
          </w:p>
          <w:p>
            <w:pPr>
              <w:adjustRightInd w:val="0"/>
              <w:snapToGrid w:val="0"/>
              <w:spacing w:line="380" w:lineRule="exact"/>
              <w:ind w:firstLine="525" w:firstLineChars="250"/>
              <w:jc w:val="left"/>
              <w:rPr>
                <w:rFonts w:hint="eastAsia" w:ascii="宋体" w:hAnsi="宋体" w:eastAsia="宋体" w:cs="宋体"/>
                <w:b/>
                <w:kern w:val="21"/>
                <w:szCs w:val="21"/>
                <w:highlight w:val="none"/>
              </w:rPr>
            </w:pPr>
            <w:r>
              <w:rPr>
                <w:rFonts w:hint="eastAsia" w:ascii="宋体" w:hAnsi="宋体" w:eastAsia="宋体" w:cs="宋体"/>
                <w:sz w:val="21"/>
                <w:szCs w:val="21"/>
                <w:highlight w:val="none"/>
                <w:lang w:val="en-US" w:eastAsia="zh-CN"/>
              </w:rPr>
              <w:t>3.5</w:t>
            </w:r>
            <w:r>
              <w:rPr>
                <w:rFonts w:hint="eastAsia" w:ascii="宋体" w:hAnsi="宋体" w:eastAsia="宋体" w:cs="宋体"/>
                <w:sz w:val="21"/>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73" w:type="dxa"/>
            <w:vMerge w:val="restart"/>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符合性审查</w:t>
            </w:r>
          </w:p>
        </w:tc>
        <w:tc>
          <w:tcPr>
            <w:tcW w:w="1697" w:type="dxa"/>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供应商名称</w:t>
            </w:r>
          </w:p>
        </w:tc>
        <w:tc>
          <w:tcPr>
            <w:tcW w:w="7368" w:type="dxa"/>
            <w:tcBorders>
              <w:top w:val="single" w:color="auto" w:sz="4" w:space="0"/>
              <w:left w:val="single" w:color="auto" w:sz="4" w:space="0"/>
              <w:bottom w:val="single" w:color="auto" w:sz="4" w:space="0"/>
            </w:tcBorders>
            <w:noWrap w:val="0"/>
            <w:vAlign w:val="center"/>
          </w:tcPr>
          <w:p>
            <w:pPr>
              <w:adjustRightInd w:val="0"/>
              <w:snapToGrid w:val="0"/>
              <w:spacing w:line="400" w:lineRule="exact"/>
              <w:jc w:val="left"/>
              <w:rPr>
                <w:rFonts w:hint="eastAsia" w:ascii="宋体" w:hAnsi="宋体" w:eastAsia="宋体" w:cs="宋体"/>
                <w:kern w:val="0"/>
                <w:szCs w:val="21"/>
                <w:highlight w:val="none"/>
              </w:rPr>
            </w:pPr>
            <w:r>
              <w:rPr>
                <w:rFonts w:hint="eastAsia" w:ascii="宋体" w:hAnsi="宋体" w:eastAsia="宋体" w:cs="宋体"/>
                <w:szCs w:val="21"/>
                <w:highlight w:val="none"/>
              </w:rPr>
              <w:t>与营业执照</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资质证书名称</w:t>
            </w:r>
            <w:r>
              <w:rPr>
                <w:rFonts w:hint="eastAsia" w:ascii="宋体" w:hAnsi="宋体" w:eastAsia="宋体" w:cs="宋体"/>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3" w:type="dxa"/>
            <w:vMerge w:val="continue"/>
            <w:tcBorders>
              <w:left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szCs w:val="21"/>
                <w:highlight w:val="none"/>
              </w:rPr>
            </w:pPr>
          </w:p>
        </w:tc>
        <w:tc>
          <w:tcPr>
            <w:tcW w:w="1697" w:type="dxa"/>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投标函签字盖章</w:t>
            </w:r>
          </w:p>
        </w:tc>
        <w:tc>
          <w:tcPr>
            <w:tcW w:w="7368" w:type="dxa"/>
            <w:tcBorders>
              <w:top w:val="single" w:color="auto" w:sz="4" w:space="0"/>
              <w:left w:val="single" w:color="auto" w:sz="4" w:space="0"/>
              <w:bottom w:val="single" w:color="auto" w:sz="4" w:space="0"/>
            </w:tcBorders>
            <w:noWrap w:val="0"/>
            <w:vAlign w:val="center"/>
          </w:tcPr>
          <w:p>
            <w:pPr>
              <w:adjustRightInd w:val="0"/>
              <w:snapToGrid w:val="0"/>
              <w:spacing w:line="400" w:lineRule="exact"/>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符合第五章响应文件的格式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73" w:type="dxa"/>
            <w:vMerge w:val="continue"/>
            <w:tcBorders>
              <w:left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szCs w:val="21"/>
                <w:highlight w:val="none"/>
              </w:rPr>
            </w:pPr>
          </w:p>
        </w:tc>
        <w:tc>
          <w:tcPr>
            <w:tcW w:w="1697" w:type="dxa"/>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响应文件格式</w:t>
            </w:r>
          </w:p>
        </w:tc>
        <w:tc>
          <w:tcPr>
            <w:tcW w:w="7368" w:type="dxa"/>
            <w:tcBorders>
              <w:top w:val="single" w:color="auto" w:sz="4" w:space="0"/>
              <w:left w:val="single" w:color="auto" w:sz="4" w:space="0"/>
              <w:bottom w:val="single" w:color="auto" w:sz="4" w:space="0"/>
            </w:tcBorders>
            <w:noWrap w:val="0"/>
            <w:vAlign w:val="center"/>
          </w:tcPr>
          <w:p>
            <w:pPr>
              <w:adjustRightInd w:val="0"/>
              <w:snapToGrid w:val="0"/>
              <w:spacing w:line="400" w:lineRule="exact"/>
              <w:jc w:val="left"/>
              <w:rPr>
                <w:rFonts w:hint="eastAsia" w:ascii="宋体" w:hAnsi="宋体" w:eastAsia="宋体" w:cs="宋体"/>
                <w:kern w:val="0"/>
                <w:szCs w:val="21"/>
                <w:highlight w:val="none"/>
              </w:rPr>
            </w:pPr>
            <w:r>
              <w:rPr>
                <w:rFonts w:hint="eastAsia" w:ascii="宋体" w:hAnsi="宋体" w:eastAsia="宋体" w:cs="宋体"/>
                <w:szCs w:val="21"/>
                <w:highlight w:val="none"/>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73" w:type="dxa"/>
            <w:vMerge w:val="continue"/>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p>
        </w:tc>
        <w:tc>
          <w:tcPr>
            <w:tcW w:w="16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招标</w:t>
            </w:r>
            <w:r>
              <w:rPr>
                <w:rFonts w:hint="eastAsia" w:ascii="宋体" w:hAnsi="宋体" w:eastAsia="宋体" w:cs="宋体"/>
                <w:szCs w:val="21"/>
                <w:highlight w:val="none"/>
              </w:rPr>
              <w:t>范围</w:t>
            </w:r>
          </w:p>
        </w:tc>
        <w:tc>
          <w:tcPr>
            <w:tcW w:w="7368" w:type="dxa"/>
            <w:tcBorders>
              <w:top w:val="single" w:color="auto" w:sz="4" w:space="0"/>
              <w:left w:val="single" w:color="auto" w:sz="4" w:space="0"/>
            </w:tcBorders>
            <w:noWrap w:val="0"/>
            <w:vAlign w:val="center"/>
          </w:tcPr>
          <w:p>
            <w:pPr>
              <w:adjustRightInd w:val="0"/>
              <w:snapToGrid w:val="0"/>
              <w:spacing w:line="400" w:lineRule="exact"/>
              <w:jc w:val="left"/>
              <w:rPr>
                <w:rFonts w:hint="eastAsia" w:ascii="宋体" w:hAnsi="宋体" w:eastAsia="宋体" w:cs="宋体"/>
                <w:kern w:val="0"/>
                <w:sz w:val="20"/>
                <w:highlight w:val="none"/>
              </w:rPr>
            </w:pPr>
            <w:r>
              <w:rPr>
                <w:rFonts w:hint="eastAsia" w:ascii="宋体" w:hAnsi="宋体" w:eastAsia="宋体" w:cs="宋体"/>
                <w:bCs/>
                <w:szCs w:val="21"/>
                <w:highlight w:val="none"/>
              </w:rPr>
              <w:t>竞争性磋商文件“第四部分  技术部分</w:t>
            </w:r>
            <w:r>
              <w:rPr>
                <w:rFonts w:hint="eastAsia" w:ascii="宋体" w:hAnsi="宋体" w:cs="宋体"/>
                <w:bCs/>
                <w:szCs w:val="21"/>
                <w:highlight w:val="none"/>
                <w:lang w:val="en-US" w:eastAsia="zh-CN"/>
              </w:rPr>
              <w:t>标</w:t>
            </w:r>
            <w:r>
              <w:rPr>
                <w:rFonts w:hint="eastAsia" w:ascii="宋体" w:hAnsi="宋体" w:eastAsia="宋体" w:cs="宋体"/>
                <w:bCs/>
                <w:szCs w:val="21"/>
                <w:highlight w:val="none"/>
              </w:rPr>
              <w:t>准和要求”中要求的全部内容；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3" w:type="dxa"/>
            <w:vMerge w:val="continue"/>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p>
        </w:tc>
        <w:tc>
          <w:tcPr>
            <w:tcW w:w="16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工   期</w:t>
            </w:r>
          </w:p>
        </w:tc>
        <w:tc>
          <w:tcPr>
            <w:tcW w:w="7368" w:type="dxa"/>
            <w:tcBorders>
              <w:top w:val="single" w:color="auto" w:sz="4" w:space="0"/>
              <w:left w:val="single" w:color="auto" w:sz="4" w:space="0"/>
            </w:tcBorders>
            <w:noWrap w:val="0"/>
            <w:vAlign w:val="center"/>
          </w:tcPr>
          <w:p>
            <w:pPr>
              <w:adjustRightInd w:val="0"/>
              <w:snapToGrid w:val="0"/>
              <w:spacing w:line="400" w:lineRule="exact"/>
              <w:jc w:val="left"/>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30</w:t>
            </w:r>
            <w:r>
              <w:rPr>
                <w:rFonts w:hint="eastAsia" w:ascii="宋体" w:hAnsi="宋体" w:eastAsia="宋体" w:cs="宋体"/>
                <w:kern w:val="0"/>
                <w:szCs w:val="21"/>
                <w:highlight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73" w:type="dxa"/>
            <w:vMerge w:val="continue"/>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p>
        </w:tc>
        <w:tc>
          <w:tcPr>
            <w:tcW w:w="16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7368" w:type="dxa"/>
            <w:tcBorders>
              <w:top w:val="single" w:color="auto" w:sz="4" w:space="0"/>
              <w:left w:val="single" w:color="auto" w:sz="4" w:space="0"/>
            </w:tcBorders>
            <w:noWrap w:val="0"/>
            <w:vAlign w:val="center"/>
          </w:tcPr>
          <w:p>
            <w:pPr>
              <w:adjustRightInd w:val="0"/>
              <w:snapToGrid w:val="0"/>
              <w:spacing w:line="400" w:lineRule="exact"/>
              <w:jc w:val="left"/>
              <w:rPr>
                <w:rFonts w:hint="eastAsia" w:ascii="宋体" w:hAnsi="宋体" w:eastAsia="宋体" w:cs="宋体"/>
                <w:szCs w:val="21"/>
                <w:highlight w:val="none"/>
                <w:lang w:eastAsia="zh-CN"/>
              </w:rPr>
            </w:pPr>
            <w:r>
              <w:rPr>
                <w:rFonts w:hint="eastAsia" w:ascii="宋体" w:hAnsi="宋体" w:eastAsia="宋体" w:cs="宋体"/>
                <w:snapToGrid w:val="0"/>
                <w:szCs w:val="21"/>
                <w:highlight w:val="none"/>
              </w:rPr>
              <w:t>合格</w:t>
            </w:r>
            <w:r>
              <w:rPr>
                <w:rFonts w:hint="eastAsia" w:ascii="宋体" w:hAnsi="宋体" w:cs="宋体"/>
                <w:snapToGrid w:val="0"/>
                <w:szCs w:val="21"/>
                <w:highlight w:val="none"/>
                <w:lang w:eastAsia="zh-CN"/>
              </w:rPr>
              <w:t>，达到</w:t>
            </w:r>
            <w:r>
              <w:rPr>
                <w:rFonts w:hint="eastAsia" w:ascii="宋体" w:hAnsi="宋体" w:cs="宋体"/>
                <w:snapToGrid w:val="0"/>
                <w:szCs w:val="21"/>
                <w:highlight w:val="none"/>
                <w:lang w:val="en-US" w:eastAsia="zh-CN"/>
              </w:rPr>
              <w:t>2018年新国标的施工验收规范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73" w:type="dxa"/>
            <w:vMerge w:val="continue"/>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p>
        </w:tc>
        <w:tc>
          <w:tcPr>
            <w:tcW w:w="16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质保期</w:t>
            </w:r>
          </w:p>
        </w:tc>
        <w:tc>
          <w:tcPr>
            <w:tcW w:w="7368" w:type="dxa"/>
            <w:tcBorders>
              <w:top w:val="single" w:color="auto" w:sz="4" w:space="0"/>
              <w:left w:val="single" w:color="auto" w:sz="4" w:space="0"/>
            </w:tcBorders>
            <w:noWrap w:val="0"/>
            <w:vAlign w:val="center"/>
          </w:tcPr>
          <w:p>
            <w:pPr>
              <w:adjustRightInd w:val="0"/>
              <w:snapToGrid w:val="0"/>
              <w:spacing w:line="400" w:lineRule="exact"/>
              <w:jc w:val="left"/>
              <w:rPr>
                <w:rFonts w:hint="eastAsia"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73" w:type="dxa"/>
            <w:vMerge w:val="continue"/>
            <w:tcBorders>
              <w:left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szCs w:val="21"/>
                <w:highlight w:val="none"/>
              </w:rPr>
            </w:pPr>
          </w:p>
        </w:tc>
        <w:tc>
          <w:tcPr>
            <w:tcW w:w="16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磋商报价</w:t>
            </w:r>
          </w:p>
        </w:tc>
        <w:tc>
          <w:tcPr>
            <w:tcW w:w="7368" w:type="dxa"/>
            <w:tcBorders>
              <w:top w:val="single" w:color="auto" w:sz="4" w:space="0"/>
              <w:left w:val="single" w:color="auto" w:sz="4" w:space="0"/>
              <w:bottom w:val="single" w:color="auto" w:sz="4" w:space="0"/>
            </w:tcBorders>
            <w:noWrap w:val="0"/>
            <w:vAlign w:val="center"/>
          </w:tcPr>
          <w:p>
            <w:p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highlight w:val="none"/>
              </w:rPr>
              <w:t>供应商磋商报价高于控制价的为无效投标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73" w:type="dxa"/>
            <w:vMerge w:val="continue"/>
            <w:tcBorders>
              <w:left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szCs w:val="21"/>
                <w:highlight w:val="none"/>
              </w:rPr>
            </w:pPr>
          </w:p>
        </w:tc>
        <w:tc>
          <w:tcPr>
            <w:tcW w:w="16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pacing w:val="-2"/>
                <w:szCs w:val="21"/>
                <w:highlight w:val="none"/>
              </w:rPr>
            </w:pPr>
            <w:r>
              <w:rPr>
                <w:rFonts w:hint="eastAsia" w:ascii="宋体" w:hAnsi="宋体" w:eastAsia="宋体" w:cs="宋体"/>
                <w:spacing w:val="-2"/>
                <w:szCs w:val="21"/>
                <w:highlight w:val="none"/>
              </w:rPr>
              <w:t>已标价工程量</w:t>
            </w:r>
          </w:p>
          <w:p>
            <w:pPr>
              <w:adjustRightInd w:val="0"/>
              <w:snapToGrid w:val="0"/>
              <w:spacing w:line="400" w:lineRule="exact"/>
              <w:jc w:val="center"/>
              <w:rPr>
                <w:rFonts w:hint="eastAsia" w:ascii="宋体" w:hAnsi="宋体" w:eastAsia="宋体" w:cs="宋体"/>
                <w:szCs w:val="21"/>
                <w:highlight w:val="none"/>
              </w:rPr>
            </w:pPr>
            <w:r>
              <w:rPr>
                <w:rFonts w:hint="eastAsia" w:ascii="宋体" w:hAnsi="宋体" w:eastAsia="宋体" w:cs="宋体"/>
                <w:spacing w:val="-2"/>
                <w:szCs w:val="21"/>
                <w:highlight w:val="none"/>
              </w:rPr>
              <w:t>清单</w:t>
            </w:r>
          </w:p>
        </w:tc>
        <w:tc>
          <w:tcPr>
            <w:tcW w:w="7368" w:type="dxa"/>
            <w:tcBorders>
              <w:top w:val="single" w:color="auto" w:sz="4" w:space="0"/>
              <w:left w:val="single" w:color="auto" w:sz="4" w:space="0"/>
              <w:bottom w:val="single" w:color="auto" w:sz="4" w:space="0"/>
            </w:tcBorders>
            <w:noWrap w:val="0"/>
            <w:vAlign w:val="center"/>
          </w:tcPr>
          <w:p>
            <w:pPr>
              <w:adjustRightInd w:val="0"/>
              <w:snapToGrid w:val="0"/>
              <w:spacing w:line="400" w:lineRule="exact"/>
              <w:rPr>
                <w:rFonts w:hint="eastAsia" w:ascii="宋体" w:hAnsi="宋体" w:eastAsia="宋体" w:cs="宋体"/>
                <w:highlight w:val="none"/>
              </w:rPr>
            </w:pPr>
            <w:r>
              <w:rPr>
                <w:rFonts w:hint="eastAsia" w:ascii="宋体" w:hAnsi="宋体" w:eastAsia="宋体" w:cs="宋体"/>
                <w:color w:val="auto"/>
                <w:szCs w:val="21"/>
                <w:highlight w:val="none"/>
                <w:lang w:val="en-US" w:eastAsia="zh-CN"/>
              </w:rPr>
              <w:t>符合“工程量清单”给出的项目编码、项目名称、项目特征、计量单位和工程量。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3" w:type="dxa"/>
            <w:vMerge w:val="continue"/>
            <w:tcBorders>
              <w:left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szCs w:val="21"/>
                <w:highlight w:val="none"/>
              </w:rPr>
            </w:pPr>
          </w:p>
        </w:tc>
        <w:tc>
          <w:tcPr>
            <w:tcW w:w="16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磋商有效期</w:t>
            </w:r>
          </w:p>
        </w:tc>
        <w:tc>
          <w:tcPr>
            <w:tcW w:w="7368" w:type="dxa"/>
            <w:tcBorders>
              <w:top w:val="single" w:color="auto" w:sz="4" w:space="0"/>
              <w:left w:val="single" w:color="auto" w:sz="4" w:space="0"/>
              <w:bottom w:val="single" w:color="auto" w:sz="4" w:space="0"/>
            </w:tcBorders>
            <w:noWrap w:val="0"/>
            <w:vAlign w:val="center"/>
          </w:tcPr>
          <w:p>
            <w:p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自磋商之日起</w:t>
            </w:r>
            <w:r>
              <w:rPr>
                <w:rFonts w:hint="eastAsia" w:ascii="宋体" w:hAnsi="宋体" w:eastAsia="宋体" w:cs="宋体"/>
                <w:szCs w:val="21"/>
                <w:highlight w:val="none"/>
                <w:lang w:val="en-US" w:eastAsia="zh-CN"/>
              </w:rPr>
              <w:t>90</w:t>
            </w:r>
            <w:r>
              <w:rPr>
                <w:rFonts w:hint="eastAsia" w:ascii="宋体" w:hAnsi="宋体" w:eastAsia="宋体" w:cs="宋体"/>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3" w:type="dxa"/>
            <w:vMerge w:val="continue"/>
            <w:tcBorders>
              <w:left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szCs w:val="21"/>
                <w:highlight w:val="none"/>
              </w:rPr>
            </w:pPr>
          </w:p>
        </w:tc>
        <w:tc>
          <w:tcPr>
            <w:tcW w:w="16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其他要求</w:t>
            </w:r>
          </w:p>
        </w:tc>
        <w:tc>
          <w:tcPr>
            <w:tcW w:w="7368" w:type="dxa"/>
            <w:tcBorders>
              <w:top w:val="single" w:color="auto" w:sz="4" w:space="0"/>
              <w:left w:val="single" w:color="auto" w:sz="4" w:space="0"/>
              <w:bottom w:val="single" w:color="auto" w:sz="4" w:space="0"/>
            </w:tcBorders>
            <w:noWrap w:val="0"/>
            <w:vAlign w:val="center"/>
          </w:tcPr>
          <w:p>
            <w:pPr>
              <w:adjustRightInd w:val="0"/>
              <w:snapToGrid w:val="0"/>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未按照文件要求提供承诺的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038" w:type="dxa"/>
            <w:gridSpan w:val="3"/>
            <w:tcBorders>
              <w:left w:val="single" w:color="auto" w:sz="4" w:space="0"/>
            </w:tcBorders>
            <w:noWrap w:val="0"/>
            <w:vAlign w:val="center"/>
          </w:tcPr>
          <w:p>
            <w:pPr>
              <w:adjustRightInd w:val="0"/>
              <w:snapToGrid w:val="0"/>
              <w:spacing w:line="400" w:lineRule="exact"/>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供应商提交响应文件时不再提交以上各种证明（证书）等材料原件，中标公示期满后，由采购人对拟中标人相关证明（证书）材料原件进行核对，发现伪造、变造、虚假等行为，采购人可按有关规定否定其中标人资格。</w:t>
            </w:r>
          </w:p>
        </w:tc>
      </w:tr>
    </w:tbl>
    <w:p>
      <w:pPr>
        <w:adjustRightInd w:val="0"/>
        <w:snapToGrid w:val="0"/>
        <w:spacing w:line="400" w:lineRule="exact"/>
        <w:ind w:firstLine="420"/>
        <w:rPr>
          <w:rFonts w:hint="eastAsia" w:ascii="宋体" w:hAnsi="宋体" w:eastAsia="宋体" w:cs="宋体"/>
          <w:b/>
          <w:kern w:val="1"/>
          <w:sz w:val="24"/>
          <w:highlight w:val="none"/>
          <w:lang w:val="zh-CN"/>
        </w:rPr>
      </w:pPr>
      <w:r>
        <w:rPr>
          <w:rFonts w:hint="eastAsia" w:ascii="宋体" w:hAnsi="宋体" w:eastAsia="宋体" w:cs="宋体"/>
          <w:kern w:val="1"/>
          <w:szCs w:val="21"/>
          <w:highlight w:val="none"/>
        </w:rPr>
        <w:t>注：以上有一项未通过的即未通过资格预审，将不得进入下一步评标。</w:t>
      </w:r>
      <w:r>
        <w:rPr>
          <w:rFonts w:hint="eastAsia" w:ascii="宋体" w:hAnsi="宋体" w:eastAsia="宋体" w:cs="宋体"/>
          <w:szCs w:val="21"/>
          <w:highlight w:val="none"/>
        </w:rPr>
        <w:t>在通过资格审查后的供应商才有权进入竞争性磋商报价。由磋商小组依据下列综合评审标准对提交最后报价的供应商的响应文件和最后报价进行综合评分。</w:t>
      </w:r>
    </w:p>
    <w:p>
      <w:pPr>
        <w:kinsoku w:val="0"/>
        <w:overflowPunct w:val="0"/>
        <w:autoSpaceDE w:val="0"/>
        <w:autoSpaceDN w:val="0"/>
        <w:adjustRightInd w:val="0"/>
        <w:snapToGrid w:val="0"/>
        <w:spacing w:line="400" w:lineRule="exact"/>
        <w:ind w:firstLine="420"/>
        <w:jc w:val="center"/>
        <w:rPr>
          <w:rFonts w:hint="eastAsia" w:ascii="宋体" w:hAnsi="宋体" w:eastAsia="宋体" w:cs="宋体"/>
          <w:b/>
          <w:kern w:val="1"/>
          <w:sz w:val="24"/>
          <w:highlight w:val="none"/>
          <w:lang w:val="zh-CN"/>
        </w:rPr>
      </w:pPr>
      <w:r>
        <w:rPr>
          <w:rFonts w:hint="eastAsia" w:ascii="宋体" w:hAnsi="宋体" w:eastAsia="宋体" w:cs="宋体"/>
          <w:b/>
          <w:kern w:val="1"/>
          <w:sz w:val="24"/>
          <w:highlight w:val="none"/>
          <w:lang w:val="zh-CN"/>
        </w:rPr>
        <w:br w:type="page"/>
      </w:r>
      <w:r>
        <w:rPr>
          <w:rFonts w:hint="eastAsia" w:ascii="宋体" w:hAnsi="宋体" w:eastAsia="宋体" w:cs="宋体"/>
          <w:b/>
          <w:kern w:val="1"/>
          <w:sz w:val="24"/>
          <w:highlight w:val="none"/>
          <w:lang w:val="zh-CN"/>
        </w:rPr>
        <w:t>评分标准</w:t>
      </w:r>
    </w:p>
    <w:tbl>
      <w:tblPr>
        <w:tblStyle w:val="16"/>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703"/>
        <w:gridCol w:w="1222"/>
        <w:gridCol w:w="2571"/>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046" w:type="dxa"/>
            <w:gridSpan w:val="3"/>
            <w:noWrap w:val="0"/>
            <w:vAlign w:val="center"/>
          </w:tcPr>
          <w:p>
            <w:pPr>
              <w:tabs>
                <w:tab w:val="left" w:pos="1400"/>
              </w:tabs>
              <w:autoSpaceDE w:val="0"/>
              <w:autoSpaceDN w:val="0"/>
              <w:adjustRightInd w:val="0"/>
              <w:spacing w:line="240" w:lineRule="auto"/>
              <w:jc w:val="center"/>
              <w:rPr>
                <w:rFonts w:hint="eastAsia" w:ascii="宋体" w:hAnsi="宋体" w:eastAsia="宋体" w:cs="宋体"/>
                <w:bCs/>
                <w:kern w:val="0"/>
                <w:sz w:val="21"/>
                <w:szCs w:val="21"/>
                <w:highlight w:val="none"/>
                <w:lang w:eastAsia="zh-CN"/>
              </w:rPr>
            </w:pPr>
            <w:bookmarkStart w:id="13" w:name="_Hlk35002673"/>
            <w:r>
              <w:rPr>
                <w:rFonts w:hint="eastAsia" w:ascii="宋体" w:hAnsi="宋体" w:cs="宋体"/>
                <w:bCs/>
                <w:kern w:val="0"/>
                <w:sz w:val="21"/>
                <w:szCs w:val="21"/>
                <w:highlight w:val="none"/>
                <w:lang w:eastAsia="zh-CN"/>
              </w:rPr>
              <w:t>评分因素</w:t>
            </w:r>
          </w:p>
        </w:tc>
        <w:tc>
          <w:tcPr>
            <w:tcW w:w="7488" w:type="dxa"/>
            <w:gridSpan w:val="2"/>
            <w:noWrap w:val="0"/>
            <w:vAlign w:val="center"/>
          </w:tcPr>
          <w:p>
            <w:pPr>
              <w:tabs>
                <w:tab w:val="left" w:pos="1400"/>
              </w:tabs>
              <w:autoSpaceDE w:val="0"/>
              <w:autoSpaceDN w:val="0"/>
              <w:adjustRightInd w:val="0"/>
              <w:spacing w:line="240" w:lineRule="auto"/>
              <w:jc w:val="center"/>
              <w:rPr>
                <w:rFonts w:hint="eastAsia" w:ascii="宋体" w:hAnsi="宋体" w:eastAsia="宋体" w:cs="宋体"/>
                <w:bCs/>
                <w:kern w:val="0"/>
                <w:sz w:val="21"/>
                <w:szCs w:val="21"/>
                <w:highlight w:val="none"/>
                <w:lang w:eastAsia="zh-CN"/>
              </w:rPr>
            </w:pPr>
            <w:r>
              <w:rPr>
                <w:rFonts w:hint="eastAsia" w:ascii="宋体" w:hAnsi="宋体" w:cs="宋体"/>
                <w:bCs/>
                <w:kern w:val="0"/>
                <w:sz w:val="21"/>
                <w:szCs w:val="21"/>
                <w:highlight w:val="no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3046" w:type="dxa"/>
            <w:gridSpan w:val="3"/>
            <w:noWrap w:val="0"/>
            <w:vAlign w:val="center"/>
          </w:tcPr>
          <w:p>
            <w:pPr>
              <w:tabs>
                <w:tab w:val="left" w:pos="1400"/>
              </w:tabs>
              <w:autoSpaceDE w:val="0"/>
              <w:autoSpaceDN w:val="0"/>
              <w:adjustRightInd w:val="0"/>
              <w:spacing w:line="240" w:lineRule="auto"/>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分值构成</w:t>
            </w:r>
          </w:p>
          <w:p>
            <w:pPr>
              <w:tabs>
                <w:tab w:val="left" w:pos="1400"/>
              </w:tabs>
              <w:autoSpaceDE w:val="0"/>
              <w:autoSpaceDN w:val="0"/>
              <w:adjustRightInd w:val="0"/>
              <w:spacing w:line="240" w:lineRule="auto"/>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（总分100分）</w:t>
            </w:r>
          </w:p>
        </w:tc>
        <w:tc>
          <w:tcPr>
            <w:tcW w:w="7488" w:type="dxa"/>
            <w:gridSpan w:val="2"/>
            <w:noWrap w:val="0"/>
            <w:vAlign w:val="center"/>
          </w:tcPr>
          <w:p>
            <w:pPr>
              <w:tabs>
                <w:tab w:val="left" w:pos="1400"/>
              </w:tabs>
              <w:autoSpaceDE w:val="0"/>
              <w:autoSpaceDN w:val="0"/>
              <w:adjustRightIn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投标报价：30分</w:t>
            </w:r>
          </w:p>
          <w:p>
            <w:pPr>
              <w:tabs>
                <w:tab w:val="left" w:pos="1400"/>
              </w:tabs>
              <w:autoSpaceDE w:val="0"/>
              <w:autoSpaceDN w:val="0"/>
              <w:adjustRightInd w:val="0"/>
              <w:spacing w:line="240" w:lineRule="auto"/>
              <w:jc w:val="left"/>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综合信用标：</w:t>
            </w:r>
            <w:r>
              <w:rPr>
                <w:rFonts w:hint="eastAsia" w:ascii="宋体" w:hAnsi="宋体" w:cs="宋体"/>
                <w:b w:val="0"/>
                <w:bCs/>
                <w:kern w:val="0"/>
                <w:sz w:val="21"/>
                <w:szCs w:val="21"/>
                <w:highlight w:val="none"/>
                <w:lang w:val="en-US" w:eastAsia="zh-CN"/>
              </w:rPr>
              <w:t>30</w:t>
            </w:r>
            <w:r>
              <w:rPr>
                <w:rFonts w:hint="eastAsia" w:ascii="宋体" w:hAnsi="宋体" w:eastAsia="宋体" w:cs="宋体"/>
                <w:b w:val="0"/>
                <w:bCs/>
                <w:kern w:val="0"/>
                <w:sz w:val="21"/>
                <w:szCs w:val="21"/>
                <w:highlight w:val="none"/>
                <w:lang w:val="en-US" w:eastAsia="zh-CN"/>
              </w:rPr>
              <w:t>分</w:t>
            </w:r>
          </w:p>
          <w:p>
            <w:pPr>
              <w:tabs>
                <w:tab w:val="left" w:pos="1400"/>
              </w:tabs>
              <w:autoSpaceDE w:val="0"/>
              <w:autoSpaceDN w:val="0"/>
              <w:adjustRightIn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 术 标：</w:t>
            </w:r>
            <w:r>
              <w:rPr>
                <w:rFonts w:hint="eastAsia" w:ascii="宋体" w:hAnsi="宋体" w:cs="宋体"/>
                <w:bCs/>
                <w:kern w:val="0"/>
                <w:sz w:val="21"/>
                <w:szCs w:val="21"/>
                <w:highlight w:val="none"/>
                <w:lang w:val="en-US" w:eastAsia="zh-CN"/>
              </w:rPr>
              <w:t>40</w:t>
            </w:r>
            <w:r>
              <w:rPr>
                <w:rFonts w:hint="eastAsia" w:ascii="宋体" w:hAnsi="宋体" w:eastAsia="宋体" w:cs="宋体"/>
                <w:bCs/>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121" w:type="dxa"/>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投标报价</w:t>
            </w: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评审标准30分</w:t>
            </w:r>
          </w:p>
        </w:tc>
        <w:tc>
          <w:tcPr>
            <w:tcW w:w="9413" w:type="dxa"/>
            <w:gridSpan w:val="4"/>
            <w:noWrap w:val="0"/>
            <w:vAlign w:val="center"/>
          </w:tcPr>
          <w:p>
            <w:pPr>
              <w:keepNext w:val="0"/>
              <w:keepLines w:val="0"/>
              <w:pageBreakBefore w:val="0"/>
              <w:kinsoku/>
              <w:wordWrap/>
              <w:overflowPunct/>
              <w:topLinePunct w:val="0"/>
              <w:bidi w:val="0"/>
              <w:snapToGrid/>
              <w:spacing w:line="40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价格分采用低价优先法计算，满足磋商文件要求且最后报价最低的为评标基准价，其价格分为满分，最后报价不得超出预算控制价。其他供应商的价格分统一按照下列公式计算：</w:t>
            </w:r>
          </w:p>
          <w:p>
            <w:pPr>
              <w:keepNext w:val="0"/>
              <w:keepLines w:val="0"/>
              <w:pageBreakBefore w:val="0"/>
              <w:kinsoku/>
              <w:wordWrap/>
              <w:overflowPunct/>
              <w:topLinePunct w:val="0"/>
              <w:bidi w:val="0"/>
              <w:snapToGrid/>
              <w:spacing w:line="40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磋商报价得分=（磋商基准价/最后磋商报价）×30。</w:t>
            </w:r>
          </w:p>
          <w:p>
            <w:pPr>
              <w:keepNext w:val="0"/>
              <w:keepLines w:val="0"/>
              <w:pageBreakBefore w:val="0"/>
              <w:kinsoku/>
              <w:wordWrap/>
              <w:overflowPunct/>
              <w:topLinePunct w:val="0"/>
              <w:bidi w:val="0"/>
              <w:snapToGrid/>
              <w:spacing w:line="400" w:lineRule="atLeast"/>
              <w:textAlignment w:val="auto"/>
              <w:rPr>
                <w:rFonts w:hint="eastAsia" w:ascii="宋体" w:hAnsi="宋体" w:eastAsia="宋体" w:cs="宋体"/>
                <w:sz w:val="21"/>
                <w:szCs w:val="21"/>
              </w:rPr>
            </w:pPr>
            <w:r>
              <w:rPr>
                <w:rFonts w:hint="eastAsia" w:ascii="宋体" w:hAnsi="宋体" w:eastAsia="宋体" w:cs="宋体"/>
                <w:sz w:val="21"/>
                <w:szCs w:val="21"/>
              </w:rPr>
              <w:t>评标过程中，不得去掉报价中的最高报价和最低报价，价格分计算保留小数点后二位。</w:t>
            </w:r>
          </w:p>
          <w:p>
            <w:pPr>
              <w:keepNext w:val="0"/>
              <w:keepLines w:val="0"/>
              <w:pageBreakBefore w:val="0"/>
              <w:kinsoku/>
              <w:wordWrap/>
              <w:overflowPunct/>
              <w:topLinePunct w:val="0"/>
              <w:bidi w:val="0"/>
              <w:snapToGrid/>
              <w:spacing w:line="40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.为促进中小企业发展，根据《中华人民共和国政府采购法实施条例》“第六条”、财库【2011】181号文《政府采购促进中小企业发展暂行办法》“第五条”的规定，给予中小</w:t>
            </w:r>
            <w:r>
              <w:rPr>
                <w:rFonts w:hint="eastAsia" w:ascii="宋体" w:hAnsi="宋体" w:cs="宋体"/>
                <w:sz w:val="21"/>
                <w:szCs w:val="21"/>
                <w:lang w:eastAsia="zh-CN"/>
              </w:rPr>
              <w:t>微</w:t>
            </w:r>
            <w:r>
              <w:rPr>
                <w:rFonts w:hint="eastAsia" w:ascii="宋体" w:hAnsi="宋体" w:eastAsia="宋体" w:cs="宋体"/>
                <w:sz w:val="21"/>
                <w:szCs w:val="21"/>
              </w:rPr>
              <w:t>型企业</w:t>
            </w:r>
            <w:r>
              <w:rPr>
                <w:rFonts w:hint="eastAsia" w:ascii="宋体" w:hAnsi="宋体" w:eastAsia="宋体" w:cs="宋体"/>
                <w:sz w:val="21"/>
                <w:szCs w:val="21"/>
                <w:lang w:eastAsia="zh-CN"/>
              </w:rPr>
              <w:t>供应商</w:t>
            </w:r>
            <w:r>
              <w:rPr>
                <w:rFonts w:hint="eastAsia" w:ascii="宋体" w:hAnsi="宋体" w:eastAsia="宋体" w:cs="宋体"/>
                <w:sz w:val="21"/>
                <w:szCs w:val="21"/>
              </w:rPr>
              <w:t>的投标报价</w:t>
            </w:r>
            <w:r>
              <w:rPr>
                <w:rFonts w:hint="eastAsia" w:ascii="宋体" w:hAnsi="宋体" w:eastAsia="宋体" w:cs="宋体"/>
                <w:sz w:val="21"/>
                <w:szCs w:val="21"/>
                <w:lang w:val="en-US" w:eastAsia="zh-CN"/>
              </w:rPr>
              <w:t>5</w:t>
            </w:r>
            <w:r>
              <w:rPr>
                <w:rFonts w:hint="eastAsia" w:ascii="宋体" w:hAnsi="宋体" w:eastAsia="宋体" w:cs="宋体"/>
                <w:sz w:val="21"/>
                <w:szCs w:val="21"/>
              </w:rPr>
              <w:t>%的扣除，用扣除后的投标报价参与评审。中小企业划型标准见《关于印发中小企业划型标规定的通知》（工信部联企业[2011]300号），须提供有效证明材料（按《政府采购促进中小企业发展暂行办法》要求提供中小企业声明函或监狱企业证明函或残疾人福利性单位声明函）。</w:t>
            </w:r>
          </w:p>
          <w:p>
            <w:pPr>
              <w:keepNext w:val="0"/>
              <w:keepLines w:val="0"/>
              <w:pageBreakBefore w:val="0"/>
              <w:kinsoku/>
              <w:wordWrap/>
              <w:overflowPunct/>
              <w:topLinePunct w:val="0"/>
              <w:bidi w:val="0"/>
              <w:snapToGrid/>
              <w:spacing w:line="40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.监狱企业视同中小型企业，享受中小型企业同等政策待遇。监狱企业参加政府采购活动时，应当提供省级以上监狱管理局、戒毒管理局（含新疆生产建设兵团）出具的属于监狱企业的证明文件。</w:t>
            </w:r>
          </w:p>
          <w:p>
            <w:pPr>
              <w:keepNext w:val="0"/>
              <w:keepLines w:val="0"/>
              <w:pageBreakBefore w:val="0"/>
              <w:kinsoku/>
              <w:wordWrap/>
              <w:overflowPunct/>
              <w:topLinePunct w:val="0"/>
              <w:bidi w:val="0"/>
              <w:snapToGrid/>
              <w:spacing w:line="40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.残疾人福利性单位属于小型、微型企业的，不重复享受政策。因落实政府采购政策进行价格调整的，以调整后的价格计算评标基准价和投标报价。</w:t>
            </w:r>
          </w:p>
          <w:p>
            <w:pPr>
              <w:pStyle w:val="6"/>
              <w:keepNext w:val="0"/>
              <w:keepLines w:val="0"/>
              <w:pageBreakBefore w:val="0"/>
              <w:kinsoku/>
              <w:wordWrap/>
              <w:overflowPunct/>
              <w:topLinePunct w:val="0"/>
              <w:bidi w:val="0"/>
              <w:snapToGrid/>
              <w:spacing w:line="400" w:lineRule="atLeast"/>
              <w:ind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.没有提供有效证明材料的供应商将被视为不接受价格的扣除，用原投标价格参与评审。</w:t>
            </w:r>
          </w:p>
          <w:p>
            <w:pPr>
              <w:pStyle w:val="7"/>
              <w:keepNext w:val="0"/>
              <w:keepLines w:val="0"/>
              <w:pageBreakBefore w:val="0"/>
              <w:kinsoku/>
              <w:wordWrap/>
              <w:overflowPunct/>
              <w:topLinePunct w:val="0"/>
              <w:bidi w:val="0"/>
              <w:snapToGrid/>
              <w:spacing w:line="400" w:lineRule="atLeas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5.</w:t>
            </w:r>
            <w:r>
              <w:rPr>
                <w:rFonts w:hint="eastAsia" w:ascii="宋体" w:hAnsi="宋体" w:eastAsia="宋体" w:cs="宋体"/>
                <w:sz w:val="21"/>
                <w:szCs w:val="21"/>
              </w:rPr>
              <w:t xml:space="preserve">未通过资格审查或符合性审查的投标单位不参与价格分的计算。 </w:t>
            </w:r>
          </w:p>
          <w:p>
            <w:pPr>
              <w:pStyle w:val="7"/>
              <w:keepNext w:val="0"/>
              <w:keepLines w:val="0"/>
              <w:pageBreakBefore w:val="0"/>
              <w:kinsoku/>
              <w:wordWrap/>
              <w:overflowPunct/>
              <w:topLinePunct w:val="0"/>
              <w:bidi w:val="0"/>
              <w:snapToGrid/>
              <w:spacing w:line="400" w:lineRule="atLeas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.投标人投标报价低于招标控制价的</w:t>
            </w:r>
            <w:r>
              <w:rPr>
                <w:rFonts w:hint="eastAsia" w:ascii="宋体" w:hAnsi="宋体" w:cs="宋体"/>
                <w:sz w:val="21"/>
                <w:szCs w:val="21"/>
                <w:lang w:val="en-US" w:eastAsia="zh-CN"/>
              </w:rPr>
              <w:t>95</w:t>
            </w:r>
            <w:r>
              <w:rPr>
                <w:rFonts w:hint="eastAsia" w:ascii="宋体" w:hAnsi="宋体" w:eastAsia="宋体" w:cs="宋体"/>
                <w:sz w:val="21"/>
                <w:szCs w:val="21"/>
              </w:rPr>
              <w:t>%</w:t>
            </w:r>
            <w:r>
              <w:rPr>
                <w:rFonts w:hint="eastAsia" w:ascii="宋体" w:hAnsi="宋体" w:cs="宋体"/>
                <w:sz w:val="21"/>
                <w:szCs w:val="21"/>
                <w:lang w:val="en-US" w:eastAsia="zh-CN"/>
              </w:rPr>
              <w:t>,</w:t>
            </w:r>
            <w:r>
              <w:rPr>
                <w:rFonts w:hint="eastAsia" w:ascii="宋体" w:hAnsi="宋体" w:eastAsia="宋体" w:cs="宋体"/>
                <w:sz w:val="21"/>
                <w:szCs w:val="21"/>
              </w:rPr>
              <w:t>并且低于所有有效投标人投标价算术平均值（所有有效投标人投标报价之和除以家数</w:t>
            </w:r>
            <w:r>
              <w:rPr>
                <w:rFonts w:hint="eastAsia" w:ascii="宋体" w:hAnsi="宋体" w:eastAsia="宋体" w:cs="宋体"/>
                <w:sz w:val="21"/>
                <w:szCs w:val="21"/>
                <w:lang w:val="en-US" w:eastAsia="zh-CN"/>
              </w:rPr>
              <w:t>)的9</w:t>
            </w:r>
            <w:r>
              <w:rPr>
                <w:rFonts w:hint="eastAsia" w:ascii="宋体" w:hAnsi="宋体" w:cs="宋体"/>
                <w:sz w:val="21"/>
                <w:szCs w:val="21"/>
                <w:lang w:val="en-US" w:eastAsia="zh-CN"/>
              </w:rPr>
              <w:t>5</w:t>
            </w:r>
            <w:r>
              <w:rPr>
                <w:rFonts w:hint="eastAsia" w:ascii="宋体" w:hAnsi="宋体" w:eastAsia="宋体" w:cs="宋体"/>
                <w:sz w:val="21"/>
                <w:szCs w:val="21"/>
              </w:rPr>
              <w:t>%，有可能影响工程质量或者不能诚信履约的</w:t>
            </w:r>
            <w:r>
              <w:rPr>
                <w:rFonts w:hint="eastAsia" w:ascii="宋体" w:hAnsi="宋体" w:eastAsia="宋体" w:cs="宋体"/>
                <w:sz w:val="21"/>
                <w:szCs w:val="21"/>
                <w:lang w:eastAsia="zh-CN"/>
              </w:rPr>
              <w:t>，</w:t>
            </w:r>
            <w:r>
              <w:rPr>
                <w:rFonts w:hint="eastAsia" w:ascii="宋体" w:hAnsi="宋体" w:eastAsia="宋体" w:cs="宋体"/>
                <w:sz w:val="21"/>
                <w:szCs w:val="21"/>
              </w:rPr>
              <w:t>评标委员会应当要求其在评标现场合理时间内提供情况说明，并提交相关证明材料。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8" w:hRule="atLeast"/>
          <w:jc w:val="center"/>
        </w:trPr>
        <w:tc>
          <w:tcPr>
            <w:tcW w:w="1121" w:type="dxa"/>
            <w:vMerge w:val="restart"/>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ind w:firstLine="210" w:firstLineChars="100"/>
              <w:jc w:val="both"/>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综合</w:t>
            </w: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信用标</w:t>
            </w: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（30分）</w:t>
            </w:r>
          </w:p>
        </w:tc>
        <w:tc>
          <w:tcPr>
            <w:tcW w:w="703" w:type="dxa"/>
            <w:noWrap w:val="0"/>
            <w:vAlign w:val="center"/>
          </w:tcPr>
          <w:p>
            <w:pPr>
              <w:pStyle w:val="6"/>
              <w:keepNext w:val="0"/>
              <w:keepLines w:val="0"/>
              <w:pageBreakBefore w:val="0"/>
              <w:numPr>
                <w:ilvl w:val="0"/>
                <w:numId w:val="0"/>
              </w:numPr>
              <w:kinsoku/>
              <w:wordWrap/>
              <w:overflowPunct/>
              <w:topLinePunct w:val="0"/>
              <w:bidi w:val="0"/>
              <w:snapToGrid/>
              <w:spacing w:line="400" w:lineRule="atLeas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综合实力</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分</w:t>
            </w:r>
          </w:p>
        </w:tc>
        <w:tc>
          <w:tcPr>
            <w:tcW w:w="8710" w:type="dxa"/>
            <w:gridSpan w:val="3"/>
            <w:noWrap w:val="0"/>
            <w:vAlign w:val="center"/>
          </w:tcPr>
          <w:p>
            <w:pPr>
              <w:keepNext w:val="0"/>
              <w:keepLines w:val="0"/>
              <w:pageBreakBefore w:val="0"/>
              <w:widowControl/>
              <w:suppressLineNumbers w:val="0"/>
              <w:kinsoku/>
              <w:wordWrap/>
              <w:overflowPunct/>
              <w:topLinePunct w:val="0"/>
              <w:bidi w:val="0"/>
              <w:snapToGrid/>
              <w:spacing w:line="400" w:lineRule="atLeas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1、投标人202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年以来同时获得过市级及以上建设行政主管部门颁发的“建筑安全管理先进企业”、 “建筑业先进企业 ”、“建筑质量管理先进企业 ”的得3分，缺项不得分；</w:t>
            </w:r>
            <w:r>
              <w:rPr>
                <w:rFonts w:hint="eastAsia" w:ascii="宋体" w:hAnsi="宋体" w:cs="宋体"/>
                <w:sz w:val="21"/>
                <w:szCs w:val="21"/>
                <w:lang w:val="en-US" w:eastAsia="zh-CN"/>
              </w:rPr>
              <w:t>（原件扫描件做</w:t>
            </w:r>
            <w:r>
              <w:rPr>
                <w:rFonts w:hint="eastAsia" w:ascii="宋体" w:hAnsi="宋体" w:eastAsia="宋体" w:cs="宋体"/>
                <w:sz w:val="21"/>
                <w:szCs w:val="21"/>
                <w:lang w:val="en-US" w:eastAsia="zh-CN"/>
              </w:rPr>
              <w:t>入文件，并加盖公章）</w:t>
            </w:r>
          </w:p>
          <w:p>
            <w:pPr>
              <w:keepNext w:val="0"/>
              <w:keepLines w:val="0"/>
              <w:pageBreakBefore w:val="0"/>
              <w:widowControl/>
              <w:suppressLineNumbers w:val="0"/>
              <w:kinsoku/>
              <w:wordWrap/>
              <w:overflowPunct/>
              <w:topLinePunct w:val="0"/>
              <w:bidi w:val="0"/>
              <w:snapToGrid/>
              <w:spacing w:line="400" w:lineRule="atLeas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2、投标人近三年以来获得过市级AAA级信用企业证书的得1分；省级AAA级信用企业证书的得2分，</w:t>
            </w:r>
            <w:r>
              <w:rPr>
                <w:rFonts w:hint="eastAsia" w:ascii="宋体" w:hAnsi="宋体" w:eastAsia="宋体" w:cs="宋体"/>
                <w:sz w:val="21"/>
                <w:szCs w:val="21"/>
                <w:lang w:val="en-US" w:eastAsia="zh-CN"/>
              </w:rPr>
              <w:t>最多得2</w:t>
            </w:r>
            <w:r>
              <w:rPr>
                <w:rFonts w:hint="eastAsia" w:ascii="宋体" w:hAnsi="宋体" w:eastAsia="宋体" w:cs="宋体"/>
                <w:sz w:val="21"/>
                <w:szCs w:val="21"/>
                <w:lang w:val="en-US" w:eastAsia="zh-CN"/>
              </w:rPr>
              <w:t>分；（原件扫描件做入文件，并加盖公章）</w:t>
            </w:r>
          </w:p>
          <w:p>
            <w:pPr>
              <w:keepNext w:val="0"/>
              <w:keepLines w:val="0"/>
              <w:pageBreakBefore w:val="0"/>
              <w:widowControl/>
              <w:suppressLineNumbers w:val="0"/>
              <w:kinsoku/>
              <w:wordWrap/>
              <w:overflowPunct/>
              <w:topLinePunct w:val="0"/>
              <w:bidi w:val="0"/>
              <w:snapToGrid/>
              <w:spacing w:line="400" w:lineRule="atLeas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zh-CN"/>
              </w:rPr>
              <w:t>、投标人2022年以来同时获得过职业健康安全管理体系认证证书、质量管理体系认证证书、环境管理体系认证证书的得3分，缺项不得分；（原件扫描件做入文件，并加盖公章）</w:t>
            </w:r>
          </w:p>
          <w:p>
            <w:pPr>
              <w:keepNext w:val="0"/>
              <w:keepLines w:val="0"/>
              <w:pageBreakBefore w:val="0"/>
              <w:widowControl/>
              <w:suppressLineNumbers w:val="0"/>
              <w:kinsoku/>
              <w:wordWrap/>
              <w:overflowPunct/>
              <w:topLinePunct w:val="0"/>
              <w:bidi w:val="0"/>
              <w:snapToGrid/>
              <w:spacing w:line="400" w:lineRule="atLeas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4、投标人自2022年1月1日以来承接过同类业绩的（不低于本次招标控制价），每</w:t>
            </w:r>
            <w:r>
              <w:rPr>
                <w:rFonts w:hint="eastAsia" w:ascii="宋体" w:hAnsi="宋体" w:eastAsia="宋体" w:cs="宋体"/>
                <w:sz w:val="21"/>
                <w:szCs w:val="21"/>
                <w:lang w:val="en-US" w:eastAsia="zh-CN"/>
              </w:rPr>
              <w:t>提供一份得3分，最多得6分，不提供不得分；（同时提供网络中标公示截图、中标通知书、</w:t>
            </w:r>
            <w:r>
              <w:rPr>
                <w:rFonts w:hint="eastAsia" w:ascii="宋体" w:hAnsi="宋体" w:eastAsia="宋体" w:cs="宋体"/>
                <w:sz w:val="21"/>
                <w:szCs w:val="21"/>
                <w:lang w:val="en-US" w:eastAsia="zh-CN"/>
              </w:rPr>
              <w:t>合同、验收报告等相关资料）；（原件扫描件做入文件，并加盖公章）</w:t>
            </w:r>
          </w:p>
          <w:p>
            <w:pPr>
              <w:keepNext w:val="0"/>
              <w:keepLines w:val="0"/>
              <w:pageBreakBefore w:val="0"/>
              <w:kinsoku/>
              <w:wordWrap/>
              <w:overflowPunct/>
              <w:topLinePunct w:val="0"/>
              <w:bidi w:val="0"/>
              <w:snapToGrid/>
              <w:spacing w:line="400" w:lineRule="atLeas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、投标人提供本项目所用材料符合国家标准的资料得</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分，缺项不得分：</w:t>
            </w:r>
          </w:p>
          <w:p>
            <w:pPr>
              <w:keepNext w:val="0"/>
              <w:keepLines w:val="0"/>
              <w:pageBreakBefore w:val="0"/>
              <w:kinsoku/>
              <w:wordWrap/>
              <w:overflowPunct/>
              <w:topLinePunct w:val="0"/>
              <w:bidi w:val="0"/>
              <w:snapToGrid/>
              <w:spacing w:line="400" w:lineRule="atLeas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透气型塑胶跑道材料：</w:t>
            </w:r>
          </w:p>
          <w:p>
            <w:pPr>
              <w:keepNext w:val="0"/>
              <w:keepLines w:val="0"/>
              <w:pageBreakBefore w:val="0"/>
              <w:kinsoku/>
              <w:wordWrap/>
              <w:overflowPunct/>
              <w:topLinePunct w:val="0"/>
              <w:bidi w:val="0"/>
              <w:snapToGrid/>
              <w:spacing w:line="400" w:lineRule="atLeas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EQ \o\ac(○,1)</w:instrTex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、提供具有CMA标志的透气型塑胶材料符</w:t>
            </w:r>
            <w:bookmarkStart w:id="598" w:name="_GoBack"/>
            <w:bookmarkEnd w:id="598"/>
            <w:r>
              <w:rPr>
                <w:rFonts w:hint="eastAsia" w:ascii="宋体" w:hAnsi="宋体" w:eastAsia="宋体" w:cs="宋体"/>
                <w:sz w:val="21"/>
                <w:szCs w:val="21"/>
                <w:lang w:val="en-US" w:eastAsia="zh-CN"/>
              </w:rPr>
              <w:t>合GB36246-2018标准物理性能、耐人工气候老化性能（500h）和化学性能合格的检测报告。（复印件加盖公章）</w:t>
            </w:r>
          </w:p>
          <w:p>
            <w:pPr>
              <w:keepNext w:val="0"/>
              <w:keepLines w:val="0"/>
              <w:pageBreakBefore w:val="0"/>
              <w:kinsoku/>
              <w:wordWrap/>
              <w:overflowPunct/>
              <w:topLinePunct w:val="0"/>
              <w:bidi w:val="0"/>
              <w:snapToGrid/>
              <w:spacing w:line="400" w:lineRule="atLeas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EQ \o\ac(○,2)</w:instrTex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、提供具有CMA标志的塑胶跑道材料通过SGS机构检测并出具的对常接触污染物（汽油、咖啡、6.6%尿溶液、石灰、茶水、墨水、碳酸饮料、蜡笔、鞋油等）不受影响的检测报告。（复印件加盖公章）</w:t>
            </w:r>
          </w:p>
          <w:p>
            <w:pPr>
              <w:keepNext w:val="0"/>
              <w:keepLines w:val="0"/>
              <w:pageBreakBefore w:val="0"/>
              <w:kinsoku/>
              <w:wordWrap/>
              <w:overflowPunct/>
              <w:topLinePunct w:val="0"/>
              <w:bidi w:val="0"/>
              <w:snapToGrid/>
              <w:spacing w:line="400" w:lineRule="atLeas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EQ \o\ac(○,3)</w:instrTex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、提供具有CMA标志的运动场塑胶材料依据GB/T 16585-1996 硫化橡胶人工气候老化(荧光紫外灯)试验方法加速老化3000小时后，进行500-1500转耐磨测试，磨损不大于2克。UVA紫外线加速老化3000小时后拉伸强度和断裂伸长率符合GB/T14833-2020/GB36246-2018标准的检测报告（复印件加盖公章）</w:t>
            </w:r>
          </w:p>
          <w:p>
            <w:pPr>
              <w:keepNext w:val="0"/>
              <w:keepLines w:val="0"/>
              <w:pageBreakBefore w:val="0"/>
              <w:kinsoku/>
              <w:wordWrap/>
              <w:overflowPunct/>
              <w:topLinePunct w:val="0"/>
              <w:bidi w:val="0"/>
              <w:snapToGrid/>
              <w:spacing w:line="400" w:lineRule="atLeas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EQ \o\ac(○,4)</w:instrTex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、提供具有CMA标志的运动场塑胶材料面层耐磨性能依照GB/T14833-2020标准要求测试条件：磨轮类型H18,负载1000g，转速60r/min，检测结果为耐磨性1500r磨耗质量≤0.3g；产品经高温（85℃ 24h）低温（-40℃ 24h）无龟裂、无变形、无裂纹，拉伸强度、拉断伸长率、抗滑值检测符合GB36246-2018标准要求的检测报告。（复印件加盖公章）</w:t>
            </w:r>
          </w:p>
          <w:p>
            <w:pPr>
              <w:keepNext w:val="0"/>
              <w:keepLines w:val="0"/>
              <w:pageBreakBefore w:val="0"/>
              <w:kinsoku/>
              <w:wordWrap/>
              <w:overflowPunct/>
              <w:topLinePunct w:val="0"/>
              <w:bidi w:val="0"/>
              <w:snapToGrid/>
              <w:spacing w:line="400" w:lineRule="atLeas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EQ \o\ac(○,5)</w:instrTex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、提供具有CMA标志的运动场塑胶材料依据GB/T 21606-2022《化学品急性经皮毒性实验方法》检测，实验动物在染毒14天内未见任何异常，气味依据GB 36246-2018《中小学合成材料面层运动场地》标准，判定结果为：气味等级≤3的检测报告（复印件加盖公章）</w:t>
            </w:r>
          </w:p>
          <w:p>
            <w:pPr>
              <w:keepNext w:val="0"/>
              <w:keepLines w:val="0"/>
              <w:pageBreakBefore w:val="0"/>
              <w:kinsoku/>
              <w:wordWrap/>
              <w:overflowPunct/>
              <w:topLinePunct w:val="0"/>
              <w:bidi w:val="0"/>
              <w:snapToGrid/>
              <w:spacing w:line="400" w:lineRule="atLeas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EQ \o\ac(○,6)</w:instrTex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、提供具有CMA标志的运动场塑胶材料耐温变性测试（80℃热空气老化1000小时后）拉伸强度不小于0.5MPa，拉断伸长率不小于100%的检测报告（复印件加盖公章）</w:t>
            </w:r>
          </w:p>
          <w:p>
            <w:pPr>
              <w:keepNext w:val="0"/>
              <w:keepLines w:val="0"/>
              <w:pageBreakBefore w:val="0"/>
              <w:kinsoku/>
              <w:wordWrap/>
              <w:overflowPunct/>
              <w:topLinePunct w:val="0"/>
              <w:bidi w:val="0"/>
              <w:snapToGrid/>
              <w:spacing w:line="400" w:lineRule="atLeas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EQ \o\ac(○,7)</w:instrTex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、提供具有CMA标志的运动场塑胶材料按GB/T1771-2007标准经过200h “耐中性盐雾性”检测，检测结果为无断裂、无分层、颜色和形态无明显变化的国家级质检中心出具的有效检测报告（复印件加盖公章）</w:t>
            </w:r>
          </w:p>
          <w:p>
            <w:pPr>
              <w:pStyle w:val="6"/>
              <w:keepNext w:val="0"/>
              <w:keepLines w:val="0"/>
              <w:pageBreakBefore w:val="0"/>
              <w:kinsoku/>
              <w:wordWrap/>
              <w:overflowPunct/>
              <w:topLinePunct w:val="0"/>
              <w:bidi w:val="0"/>
              <w:snapToGrid/>
              <w:spacing w:line="400" w:lineRule="atLeas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人造草坪</w:t>
            </w:r>
            <w:r>
              <w:rPr>
                <w:rFonts w:hint="eastAsia" w:ascii="宋体" w:hAnsi="宋体" w:cs="宋体"/>
                <w:color w:val="auto"/>
                <w:sz w:val="21"/>
                <w:szCs w:val="21"/>
                <w:lang w:eastAsia="zh-CN"/>
              </w:rPr>
              <w:t>材料</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bidi w:val="0"/>
              <w:snapToGrid/>
              <w:spacing w:line="400" w:lineRule="atLeas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shd w:val="clear" w:color="auto" w:fill="auto"/>
                <w:lang w:val="en-US" w:eastAsia="zh-CN"/>
              </w:rPr>
              <w:fldChar w:fldCharType="begin"/>
            </w:r>
            <w:r>
              <w:rPr>
                <w:rFonts w:hint="eastAsia" w:ascii="宋体" w:hAnsi="宋体" w:eastAsia="宋体" w:cs="宋体"/>
                <w:b w:val="0"/>
                <w:bCs w:val="0"/>
                <w:color w:val="auto"/>
                <w:sz w:val="21"/>
                <w:szCs w:val="21"/>
                <w:shd w:val="clear" w:color="auto" w:fill="auto"/>
                <w:lang w:val="en-US" w:eastAsia="zh-CN"/>
              </w:rPr>
              <w:instrText xml:space="preserve"> EQ \o\ac(</w:instrText>
            </w:r>
            <w:r>
              <w:rPr>
                <w:rFonts w:hint="eastAsia" w:ascii="宋体" w:hAnsi="宋体" w:eastAsia="宋体" w:cs="宋体"/>
                <w:b w:val="0"/>
                <w:bCs w:val="0"/>
                <w:color w:val="auto"/>
                <w:kern w:val="2"/>
                <w:position w:val="-4"/>
                <w:sz w:val="21"/>
                <w:szCs w:val="21"/>
                <w:shd w:val="clear" w:color="auto" w:fill="auto"/>
                <w:lang w:val="en-US" w:eastAsia="zh-CN" w:bidi="ar-SA"/>
              </w:rPr>
              <w:instrText xml:space="preserve">○</w:instrText>
            </w:r>
            <w:r>
              <w:rPr>
                <w:rFonts w:hint="eastAsia" w:ascii="宋体" w:hAnsi="宋体" w:eastAsia="宋体" w:cs="宋体"/>
                <w:b w:val="0"/>
                <w:bCs w:val="0"/>
                <w:color w:val="auto"/>
                <w:position w:val="0"/>
                <w:sz w:val="21"/>
                <w:szCs w:val="21"/>
                <w:shd w:val="clear" w:color="auto" w:fill="auto"/>
                <w:lang w:val="en-US" w:eastAsia="zh-CN"/>
              </w:rPr>
              <w:instrText xml:space="preserve">,</w:instrText>
            </w:r>
            <w:r>
              <w:rPr>
                <w:rFonts w:hint="eastAsia" w:ascii="宋体" w:hAnsi="宋体" w:eastAsia="宋体" w:cs="宋体"/>
                <w:b w:val="0"/>
                <w:bCs w:val="0"/>
                <w:color w:val="auto"/>
                <w:kern w:val="2"/>
                <w:position w:val="0"/>
                <w:sz w:val="21"/>
                <w:szCs w:val="21"/>
                <w:shd w:val="clear" w:color="auto" w:fill="auto"/>
                <w:lang w:val="en-US" w:eastAsia="zh-CN" w:bidi="ar-SA"/>
              </w:rPr>
              <w:instrText xml:space="preserve">1</w:instrText>
            </w:r>
            <w:r>
              <w:rPr>
                <w:rFonts w:hint="eastAsia" w:ascii="宋体" w:hAnsi="宋体" w:eastAsia="宋体" w:cs="宋体"/>
                <w:b w:val="0"/>
                <w:bCs w:val="0"/>
                <w:color w:val="auto"/>
                <w:position w:val="0"/>
                <w:sz w:val="21"/>
                <w:szCs w:val="21"/>
                <w:shd w:val="clear" w:color="auto" w:fill="auto"/>
                <w:lang w:val="en-US" w:eastAsia="zh-CN"/>
              </w:rPr>
              <w:instrText xml:space="preserve">)</w:instrText>
            </w:r>
            <w:r>
              <w:rPr>
                <w:rFonts w:hint="eastAsia" w:ascii="宋体" w:hAnsi="宋体" w:eastAsia="宋体" w:cs="宋体"/>
                <w:b w:val="0"/>
                <w:bCs w:val="0"/>
                <w:color w:val="auto"/>
                <w:sz w:val="21"/>
                <w:szCs w:val="21"/>
                <w:shd w:val="clear" w:color="auto" w:fill="auto"/>
                <w:lang w:val="en-US" w:eastAsia="zh-CN"/>
              </w:rPr>
              <w:fldChar w:fldCharType="end"/>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sz w:val="21"/>
                <w:szCs w:val="21"/>
              </w:rPr>
              <w:t>提供草坪整体依据GB/T 26125-2011标准出具的不含铅、镉、汞、六价铬（低于检出限）的检测报告；</w:t>
            </w:r>
          </w:p>
          <w:p>
            <w:pPr>
              <w:keepNext w:val="0"/>
              <w:keepLines w:val="0"/>
              <w:pageBreakBefore w:val="0"/>
              <w:kinsoku/>
              <w:wordWrap/>
              <w:overflowPunct/>
              <w:topLinePunct w:val="0"/>
              <w:bidi w:val="0"/>
              <w:snapToGrid/>
              <w:spacing w:line="400" w:lineRule="atLeas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EQ \o\ac(</w:instrText>
            </w:r>
            <w:r>
              <w:rPr>
                <w:rFonts w:hint="eastAsia" w:ascii="宋体" w:hAnsi="宋体" w:eastAsia="宋体" w:cs="宋体"/>
                <w:color w:val="auto"/>
                <w:kern w:val="2"/>
                <w:position w:val="-4"/>
                <w:sz w:val="21"/>
                <w:szCs w:val="21"/>
                <w:highlight w:val="none"/>
                <w:lang w:val="en-US" w:eastAsia="zh-CN" w:bidi="ar-SA"/>
              </w:rPr>
              <w:instrText xml:space="preserve">○</w:instrText>
            </w:r>
            <w:r>
              <w:rPr>
                <w:rFonts w:hint="eastAsia" w:ascii="宋体" w:hAnsi="宋体" w:eastAsia="宋体" w:cs="宋体"/>
                <w:color w:val="auto"/>
                <w:position w:val="0"/>
                <w:sz w:val="21"/>
                <w:szCs w:val="21"/>
                <w:highlight w:val="none"/>
                <w:lang w:val="en-US" w:eastAsia="zh-CN"/>
              </w:rPr>
              <w:instrText xml:space="preserve">,</w:instrText>
            </w:r>
            <w:r>
              <w:rPr>
                <w:rFonts w:hint="eastAsia" w:ascii="宋体" w:hAnsi="宋体" w:eastAsia="宋体" w:cs="宋体"/>
                <w:color w:val="auto"/>
                <w:kern w:val="2"/>
                <w:position w:val="0"/>
                <w:sz w:val="21"/>
                <w:szCs w:val="21"/>
                <w:highlight w:val="none"/>
                <w:lang w:val="en-US" w:eastAsia="zh-CN" w:bidi="ar-SA"/>
              </w:rPr>
              <w:instrText xml:space="preserve">2</w:instrText>
            </w:r>
            <w:r>
              <w:rPr>
                <w:rFonts w:hint="eastAsia" w:ascii="宋体" w:hAnsi="宋体" w:eastAsia="宋体" w:cs="宋体"/>
                <w:color w:val="auto"/>
                <w:position w:val="0"/>
                <w:sz w:val="21"/>
                <w:szCs w:val="21"/>
                <w:highlight w:val="none"/>
                <w:lang w:val="en-US" w:eastAsia="zh-CN"/>
              </w:rPr>
              <w:instrText xml:space="preserve">)</w:instrTex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sz w:val="21"/>
                <w:szCs w:val="21"/>
              </w:rPr>
              <w:t>提供草坪整体的环保检测报告，检测结果符合 RoHS 指令 2011/65/EU 附录 II 的修正指令(EU) 2015/863 的限值要求。</w:t>
            </w:r>
          </w:p>
          <w:p>
            <w:pPr>
              <w:keepNext w:val="0"/>
              <w:keepLines w:val="0"/>
              <w:pageBreakBefore w:val="0"/>
              <w:kinsoku/>
              <w:wordWrap/>
              <w:overflowPunct/>
              <w:topLinePunct w:val="0"/>
              <w:bidi w:val="0"/>
              <w:snapToGrid/>
              <w:spacing w:line="400" w:lineRule="atLeas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EQ \o\ac(</w:instrText>
            </w:r>
            <w:r>
              <w:rPr>
                <w:rFonts w:hint="eastAsia" w:ascii="宋体" w:hAnsi="宋体" w:eastAsia="宋体" w:cs="宋体"/>
                <w:b w:val="0"/>
                <w:bCs w:val="0"/>
                <w:color w:val="auto"/>
                <w:kern w:val="2"/>
                <w:position w:val="-4"/>
                <w:sz w:val="21"/>
                <w:szCs w:val="21"/>
                <w:highlight w:val="none"/>
                <w:lang w:val="en-US" w:eastAsia="zh-CN" w:bidi="ar-SA"/>
              </w:rPr>
              <w:instrText xml:space="preserve">○</w:instrText>
            </w:r>
            <w:r>
              <w:rPr>
                <w:rFonts w:hint="eastAsia" w:ascii="宋体" w:hAnsi="宋体" w:eastAsia="宋体" w:cs="宋体"/>
                <w:b w:val="0"/>
                <w:bCs w:val="0"/>
                <w:color w:val="auto"/>
                <w:position w:val="0"/>
                <w:sz w:val="21"/>
                <w:szCs w:val="21"/>
                <w:highlight w:val="none"/>
                <w:lang w:val="en-US" w:eastAsia="zh-CN"/>
              </w:rPr>
              <w:instrText xml:space="preserve">,</w:instrText>
            </w:r>
            <w:r>
              <w:rPr>
                <w:rFonts w:hint="eastAsia" w:ascii="宋体" w:hAnsi="宋体" w:eastAsia="宋体" w:cs="宋体"/>
                <w:b w:val="0"/>
                <w:bCs w:val="0"/>
                <w:color w:val="auto"/>
                <w:kern w:val="2"/>
                <w:position w:val="0"/>
                <w:sz w:val="21"/>
                <w:szCs w:val="21"/>
                <w:highlight w:val="none"/>
                <w:lang w:val="en-US" w:eastAsia="zh-CN" w:bidi="ar-SA"/>
              </w:rPr>
              <w:instrText xml:space="preserve">3</w:instrText>
            </w:r>
            <w:r>
              <w:rPr>
                <w:rFonts w:hint="eastAsia" w:ascii="宋体" w:hAnsi="宋体" w:eastAsia="宋体" w:cs="宋体"/>
                <w:b w:val="0"/>
                <w:bCs w:val="0"/>
                <w:color w:val="auto"/>
                <w:position w:val="0"/>
                <w:sz w:val="21"/>
                <w:szCs w:val="21"/>
                <w:highlight w:val="none"/>
                <w:lang w:val="en-US" w:eastAsia="zh-CN"/>
              </w:rPr>
              <w:instrText xml:space="preserve">)</w:instrTex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sz w:val="21"/>
                <w:szCs w:val="21"/>
              </w:rPr>
              <w:t>出具依据 ISO 5470-1:2016标注出具的不低于1000转的检测报告，要求重量损失均值不得高于0.12%，色牢度不得低于4-5级。</w:t>
            </w:r>
          </w:p>
          <w:p>
            <w:pPr>
              <w:keepNext w:val="0"/>
              <w:keepLines w:val="0"/>
              <w:pageBreakBefore w:val="0"/>
              <w:kinsoku/>
              <w:wordWrap/>
              <w:overflowPunct/>
              <w:topLinePunct w:val="0"/>
              <w:bidi w:val="0"/>
              <w:snapToGrid/>
              <w:spacing w:line="400" w:lineRule="atLeas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EQ \o\ac(</w:instrText>
            </w:r>
            <w:r>
              <w:rPr>
                <w:rFonts w:hint="eastAsia" w:ascii="宋体" w:hAnsi="宋体" w:eastAsia="宋体" w:cs="宋体"/>
                <w:b w:val="0"/>
                <w:bCs w:val="0"/>
                <w:color w:val="auto"/>
                <w:kern w:val="2"/>
                <w:position w:val="-4"/>
                <w:sz w:val="21"/>
                <w:szCs w:val="21"/>
                <w:highlight w:val="none"/>
                <w:lang w:val="en-US" w:eastAsia="zh-CN" w:bidi="ar-SA"/>
              </w:rPr>
              <w:instrText xml:space="preserve">○</w:instrText>
            </w:r>
            <w:r>
              <w:rPr>
                <w:rFonts w:hint="eastAsia" w:ascii="宋体" w:hAnsi="宋体" w:eastAsia="宋体" w:cs="宋体"/>
                <w:b w:val="0"/>
                <w:bCs w:val="0"/>
                <w:color w:val="auto"/>
                <w:position w:val="0"/>
                <w:sz w:val="21"/>
                <w:szCs w:val="21"/>
                <w:highlight w:val="none"/>
                <w:lang w:val="en-US" w:eastAsia="zh-CN"/>
              </w:rPr>
              <w:instrText xml:space="preserve">,</w:instrText>
            </w:r>
            <w:r>
              <w:rPr>
                <w:rFonts w:hint="eastAsia" w:ascii="宋体" w:hAnsi="宋体" w:eastAsia="宋体" w:cs="宋体"/>
                <w:b w:val="0"/>
                <w:bCs w:val="0"/>
                <w:color w:val="auto"/>
                <w:kern w:val="2"/>
                <w:position w:val="0"/>
                <w:sz w:val="21"/>
                <w:szCs w:val="21"/>
                <w:highlight w:val="none"/>
                <w:lang w:val="en-US" w:eastAsia="zh-CN" w:bidi="ar-SA"/>
              </w:rPr>
              <w:instrText xml:space="preserve">4</w:instrText>
            </w:r>
            <w:r>
              <w:rPr>
                <w:rFonts w:hint="eastAsia" w:ascii="宋体" w:hAnsi="宋体" w:eastAsia="宋体" w:cs="宋体"/>
                <w:b w:val="0"/>
                <w:bCs w:val="0"/>
                <w:color w:val="auto"/>
                <w:position w:val="0"/>
                <w:sz w:val="21"/>
                <w:szCs w:val="21"/>
                <w:highlight w:val="none"/>
                <w:lang w:val="en-US" w:eastAsia="zh-CN"/>
              </w:rPr>
              <w:instrText xml:space="preserve">)</w:instrTex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sz w:val="21"/>
                <w:szCs w:val="21"/>
              </w:rPr>
              <w:t>提供第三方权威检验机构出具的针对有害物质铅（Pb）、镉（Cd）、汞（Hg）、六价铬[Cr（Ⅵ）]、多溴联苯（PBBs）、多溴二苯醚（PBDEs）、邻苯二甲酸二异丁酯（DIBP）、邻苯二甲酸丁苄酯（BBP）、邻苯二甲酸二丁酯（DBP）、邻苯二甲酸二（2-乙基己基）酯（DEHP）等未检出的检测（检验）报告。</w:t>
            </w:r>
          </w:p>
          <w:p>
            <w:pPr>
              <w:keepNext w:val="0"/>
              <w:keepLines w:val="0"/>
              <w:pageBreakBefore w:val="0"/>
              <w:kinsoku/>
              <w:wordWrap/>
              <w:overflowPunct/>
              <w:topLinePunct w:val="0"/>
              <w:bidi w:val="0"/>
              <w:snapToGrid/>
              <w:spacing w:line="400" w:lineRule="atLeas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EQ \o\ac(</w:instrText>
            </w:r>
            <w:r>
              <w:rPr>
                <w:rFonts w:hint="eastAsia" w:ascii="宋体" w:hAnsi="宋体" w:eastAsia="宋体" w:cs="宋体"/>
                <w:b w:val="0"/>
                <w:bCs w:val="0"/>
                <w:color w:val="auto"/>
                <w:kern w:val="2"/>
                <w:position w:val="-4"/>
                <w:sz w:val="21"/>
                <w:szCs w:val="21"/>
                <w:highlight w:val="none"/>
                <w:lang w:val="en-US" w:eastAsia="zh-CN" w:bidi="ar-SA"/>
              </w:rPr>
              <w:instrText xml:space="preserve">○</w:instrText>
            </w:r>
            <w:r>
              <w:rPr>
                <w:rFonts w:hint="eastAsia" w:ascii="宋体" w:hAnsi="宋体" w:eastAsia="宋体" w:cs="宋体"/>
                <w:b w:val="0"/>
                <w:bCs w:val="0"/>
                <w:color w:val="auto"/>
                <w:position w:val="0"/>
                <w:sz w:val="21"/>
                <w:szCs w:val="21"/>
                <w:highlight w:val="none"/>
                <w:lang w:val="en-US" w:eastAsia="zh-CN"/>
              </w:rPr>
              <w:instrText xml:space="preserve">,</w:instrText>
            </w:r>
            <w:r>
              <w:rPr>
                <w:rFonts w:hint="eastAsia" w:ascii="宋体" w:hAnsi="宋体" w:eastAsia="宋体" w:cs="宋体"/>
                <w:b w:val="0"/>
                <w:bCs w:val="0"/>
                <w:color w:val="auto"/>
                <w:kern w:val="2"/>
                <w:position w:val="0"/>
                <w:sz w:val="21"/>
                <w:szCs w:val="21"/>
                <w:highlight w:val="none"/>
                <w:lang w:val="en-US" w:eastAsia="zh-CN" w:bidi="ar-SA"/>
              </w:rPr>
              <w:instrText xml:space="preserve">5</w:instrText>
            </w:r>
            <w:r>
              <w:rPr>
                <w:rFonts w:hint="eastAsia" w:ascii="宋体" w:hAnsi="宋体" w:eastAsia="宋体" w:cs="宋体"/>
                <w:b w:val="0"/>
                <w:bCs w:val="0"/>
                <w:color w:val="auto"/>
                <w:position w:val="0"/>
                <w:sz w:val="21"/>
                <w:szCs w:val="21"/>
                <w:highlight w:val="none"/>
                <w:lang w:val="en-US" w:eastAsia="zh-CN"/>
              </w:rPr>
              <w:instrText xml:space="preserve">)</w:instrTex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sz w:val="21"/>
                <w:szCs w:val="21"/>
                <w:lang w:val="en-US" w:eastAsia="zh-CN"/>
              </w:rPr>
              <w:t>提供</w:t>
            </w:r>
            <w:r>
              <w:rPr>
                <w:rFonts w:hint="eastAsia" w:ascii="宋体" w:hAnsi="宋体" w:eastAsia="宋体" w:cs="宋体"/>
                <w:b w:val="0"/>
                <w:bCs w:val="0"/>
                <w:sz w:val="21"/>
                <w:szCs w:val="21"/>
              </w:rPr>
              <w:t>生产厂家产品通过EN 13725-2004测试，检验结果要求气味浓度不高于0.8的检测报告。</w:t>
            </w:r>
          </w:p>
          <w:p>
            <w:pPr>
              <w:keepNext w:val="0"/>
              <w:keepLines w:val="0"/>
              <w:pageBreakBefore w:val="0"/>
              <w:kinsoku/>
              <w:wordWrap/>
              <w:overflowPunct/>
              <w:topLinePunct w:val="0"/>
              <w:bidi w:val="0"/>
              <w:snapToGrid/>
              <w:spacing w:line="400" w:lineRule="atLeas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EQ \o\ac(</w:instrText>
            </w:r>
            <w:r>
              <w:rPr>
                <w:rFonts w:hint="eastAsia" w:ascii="宋体" w:hAnsi="宋体" w:eastAsia="宋体" w:cs="宋体"/>
                <w:b w:val="0"/>
                <w:bCs w:val="0"/>
                <w:color w:val="auto"/>
                <w:kern w:val="2"/>
                <w:position w:val="-4"/>
                <w:sz w:val="21"/>
                <w:szCs w:val="21"/>
                <w:highlight w:val="none"/>
                <w:lang w:val="en-US" w:eastAsia="zh-CN" w:bidi="ar-SA"/>
              </w:rPr>
              <w:instrText xml:space="preserve">○</w:instrText>
            </w:r>
            <w:r>
              <w:rPr>
                <w:rFonts w:hint="eastAsia" w:ascii="宋体" w:hAnsi="宋体" w:eastAsia="宋体" w:cs="宋体"/>
                <w:b w:val="0"/>
                <w:bCs w:val="0"/>
                <w:color w:val="auto"/>
                <w:position w:val="0"/>
                <w:sz w:val="21"/>
                <w:szCs w:val="21"/>
                <w:highlight w:val="none"/>
                <w:lang w:val="en-US" w:eastAsia="zh-CN"/>
              </w:rPr>
              <w:instrText xml:space="preserve">,</w:instrText>
            </w:r>
            <w:r>
              <w:rPr>
                <w:rFonts w:hint="eastAsia" w:ascii="宋体" w:hAnsi="宋体" w:eastAsia="宋体" w:cs="宋体"/>
                <w:b w:val="0"/>
                <w:bCs w:val="0"/>
                <w:color w:val="auto"/>
                <w:kern w:val="2"/>
                <w:position w:val="0"/>
                <w:sz w:val="21"/>
                <w:szCs w:val="21"/>
                <w:highlight w:val="none"/>
                <w:lang w:val="en-US" w:eastAsia="zh-CN" w:bidi="ar-SA"/>
              </w:rPr>
              <w:instrText xml:space="preserve">6</w:instrText>
            </w:r>
            <w:r>
              <w:rPr>
                <w:rFonts w:hint="eastAsia" w:ascii="宋体" w:hAnsi="宋体" w:eastAsia="宋体" w:cs="宋体"/>
                <w:b w:val="0"/>
                <w:bCs w:val="0"/>
                <w:color w:val="auto"/>
                <w:position w:val="0"/>
                <w:sz w:val="21"/>
                <w:szCs w:val="21"/>
                <w:highlight w:val="none"/>
                <w:lang w:val="en-US" w:eastAsia="zh-CN"/>
              </w:rPr>
              <w:instrText xml:space="preserve">)</w:instrTex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、提供</w:t>
            </w:r>
            <w:r>
              <w:rPr>
                <w:rFonts w:hint="eastAsia" w:ascii="宋体" w:hAnsi="宋体" w:eastAsia="宋体" w:cs="宋体"/>
                <w:b w:val="0"/>
                <w:bCs w:val="0"/>
                <w:sz w:val="21"/>
                <w:szCs w:val="21"/>
              </w:rPr>
              <w:t>草坪产品须通过国际足联合作实验室（labosport或者sportslabs或者ISA）出具的人造草坪系统面层经过lisport XL 3万转耐磨测试后垂直球反弹0.6-1.0m，球滚动4-7m，冲击吸收57%-62%,垂直变形4-8mm，旋转阻力25Nm-40Nm，皮肤磨损0.35-0.75μ，能量返还30%-45%检测</w:t>
            </w:r>
            <w:r>
              <w:rPr>
                <w:rFonts w:hint="eastAsia" w:ascii="宋体" w:hAnsi="宋体" w:eastAsia="宋体" w:cs="宋体"/>
                <w:b w:val="0"/>
                <w:bCs w:val="0"/>
                <w:sz w:val="21"/>
                <w:szCs w:val="21"/>
                <w:lang w:eastAsia="zh-CN"/>
              </w:rPr>
              <w:t>报告</w:t>
            </w:r>
            <w:r>
              <w:rPr>
                <w:rFonts w:hint="eastAsia" w:ascii="宋体" w:hAnsi="宋体" w:eastAsia="宋体" w:cs="宋体"/>
                <w:b w:val="0"/>
                <w:bCs w:val="0"/>
                <w:sz w:val="21"/>
                <w:szCs w:val="21"/>
              </w:rPr>
              <w:t>（复印件加盖公章）。</w:t>
            </w:r>
          </w:p>
          <w:p>
            <w:pPr>
              <w:keepNext w:val="0"/>
              <w:keepLines w:val="0"/>
              <w:pageBreakBefore w:val="0"/>
              <w:kinsoku/>
              <w:wordWrap/>
              <w:overflowPunct/>
              <w:topLinePunct w:val="0"/>
              <w:bidi w:val="0"/>
              <w:snapToGrid/>
              <w:spacing w:line="400" w:lineRule="atLeast"/>
              <w:ind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EQ \o\ac(</w:instrText>
            </w:r>
            <w:r>
              <w:rPr>
                <w:rFonts w:hint="eastAsia" w:ascii="宋体" w:hAnsi="宋体" w:eastAsia="宋体" w:cs="宋体"/>
                <w:b w:val="0"/>
                <w:bCs w:val="0"/>
                <w:color w:val="auto"/>
                <w:kern w:val="2"/>
                <w:position w:val="-4"/>
                <w:sz w:val="21"/>
                <w:szCs w:val="21"/>
                <w:highlight w:val="none"/>
                <w:lang w:val="en-US" w:eastAsia="zh-CN" w:bidi="ar-SA"/>
              </w:rPr>
              <w:instrText xml:space="preserve">○</w:instrText>
            </w:r>
            <w:r>
              <w:rPr>
                <w:rFonts w:hint="eastAsia" w:ascii="宋体" w:hAnsi="宋体" w:eastAsia="宋体" w:cs="宋体"/>
                <w:b w:val="0"/>
                <w:bCs w:val="0"/>
                <w:color w:val="auto"/>
                <w:position w:val="0"/>
                <w:sz w:val="21"/>
                <w:szCs w:val="21"/>
                <w:highlight w:val="none"/>
                <w:lang w:val="en-US" w:eastAsia="zh-CN"/>
              </w:rPr>
              <w:instrText xml:space="preserve">,</w:instrText>
            </w:r>
            <w:r>
              <w:rPr>
                <w:rFonts w:hint="eastAsia" w:ascii="宋体" w:hAnsi="宋体" w:eastAsia="宋体" w:cs="宋体"/>
                <w:b w:val="0"/>
                <w:bCs w:val="0"/>
                <w:color w:val="auto"/>
                <w:kern w:val="2"/>
                <w:position w:val="0"/>
                <w:sz w:val="21"/>
                <w:szCs w:val="21"/>
                <w:highlight w:val="none"/>
                <w:lang w:val="en-US" w:eastAsia="zh-CN" w:bidi="ar-SA"/>
              </w:rPr>
              <w:instrText xml:space="preserve">7</w:instrText>
            </w:r>
            <w:r>
              <w:rPr>
                <w:rFonts w:hint="eastAsia" w:ascii="宋体" w:hAnsi="宋体" w:eastAsia="宋体" w:cs="宋体"/>
                <w:b w:val="0"/>
                <w:bCs w:val="0"/>
                <w:color w:val="auto"/>
                <w:position w:val="0"/>
                <w:sz w:val="21"/>
                <w:szCs w:val="21"/>
                <w:highlight w:val="none"/>
                <w:lang w:val="en-US" w:eastAsia="zh-CN"/>
              </w:rPr>
              <w:instrText xml:space="preserve">)</w:instrTex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sz w:val="21"/>
                <w:szCs w:val="21"/>
                <w:lang w:val="en-US" w:eastAsia="zh-CN"/>
              </w:rPr>
              <w:t>提供人造草坪经过老化1200h之后经过LisportXL磨损3万周之后，草丝耐磨性保留率不低于97%，耐气候色牢度不低于5级，单簇草拔出力不低于30N的检测报告。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121" w:type="dxa"/>
            <w:vMerge w:val="continue"/>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lang w:val="en-US" w:eastAsia="zh-CN"/>
              </w:rPr>
            </w:pPr>
          </w:p>
        </w:tc>
        <w:tc>
          <w:tcPr>
            <w:tcW w:w="703" w:type="dxa"/>
            <w:noWrap w:val="0"/>
            <w:vAlign w:val="center"/>
          </w:tcPr>
          <w:p>
            <w:pPr>
              <w:pStyle w:val="6"/>
              <w:keepNext w:val="0"/>
              <w:keepLines w:val="0"/>
              <w:pageBreakBefore w:val="0"/>
              <w:numPr>
                <w:ilvl w:val="0"/>
                <w:numId w:val="0"/>
              </w:numPr>
              <w:kinsoku/>
              <w:wordWrap/>
              <w:overflowPunct/>
              <w:topLinePunct w:val="0"/>
              <w:bidi w:val="0"/>
              <w:snapToGrid/>
              <w:spacing w:line="400" w:lineRule="atLeas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项目组织机构4分</w:t>
            </w:r>
          </w:p>
        </w:tc>
        <w:tc>
          <w:tcPr>
            <w:tcW w:w="8710" w:type="dxa"/>
            <w:gridSpan w:val="3"/>
            <w:noWrap w:val="0"/>
            <w:vAlign w:val="center"/>
          </w:tcPr>
          <w:p>
            <w:pPr>
              <w:pStyle w:val="6"/>
              <w:keepNext w:val="0"/>
              <w:keepLines w:val="0"/>
              <w:pageBreakBefore w:val="0"/>
              <w:numPr>
                <w:ilvl w:val="0"/>
                <w:numId w:val="3"/>
              </w:numPr>
              <w:kinsoku/>
              <w:wordWrap/>
              <w:overflowPunct/>
              <w:topLinePunct w:val="0"/>
              <w:bidi w:val="0"/>
              <w:snapToGrid/>
              <w:spacing w:line="400" w:lineRule="atLeas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人员配备：专业配套齐全（施工员、专职安全员、质量员、材料员、资料员）的得3分，缺项为0分；</w:t>
            </w:r>
          </w:p>
          <w:p>
            <w:pPr>
              <w:pStyle w:val="6"/>
              <w:keepNext w:val="0"/>
              <w:keepLines w:val="0"/>
              <w:pageBreakBefore w:val="0"/>
              <w:numPr>
                <w:ilvl w:val="0"/>
                <w:numId w:val="3"/>
              </w:numPr>
              <w:kinsoku/>
              <w:wordWrap/>
              <w:overflowPunct/>
              <w:topLinePunct w:val="0"/>
              <w:bidi w:val="0"/>
              <w:snapToGrid/>
              <w:spacing w:line="400" w:lineRule="atLeas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rPr>
              <w:t>技术负责人具有相关专业工程师中级</w:t>
            </w:r>
            <w:r>
              <w:rPr>
                <w:rFonts w:hint="eastAsia" w:ascii="宋体" w:hAnsi="宋体" w:cs="宋体"/>
                <w:sz w:val="21"/>
                <w:szCs w:val="21"/>
                <w:lang w:eastAsia="zh-CN"/>
              </w:rPr>
              <w:t>或</w:t>
            </w:r>
            <w:r>
              <w:rPr>
                <w:rFonts w:hint="eastAsia" w:ascii="宋体" w:hAnsi="宋体" w:eastAsia="宋体" w:cs="宋体"/>
                <w:sz w:val="21"/>
                <w:szCs w:val="21"/>
              </w:rPr>
              <w:t>以上职称或具有一级建造师执业资格的</w:t>
            </w:r>
            <w:r>
              <w:rPr>
                <w:rFonts w:hint="eastAsia" w:ascii="宋体" w:hAnsi="宋体" w:eastAsia="宋体" w:cs="宋体"/>
                <w:sz w:val="21"/>
                <w:szCs w:val="21"/>
                <w:highlight w:val="none"/>
                <w:lang w:val="en-US" w:eastAsia="zh-CN"/>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121" w:type="dxa"/>
            <w:vMerge w:val="continue"/>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lang w:val="en-US" w:eastAsia="zh-CN"/>
              </w:rPr>
            </w:pPr>
          </w:p>
        </w:tc>
        <w:tc>
          <w:tcPr>
            <w:tcW w:w="703" w:type="dxa"/>
            <w:noWrap w:val="0"/>
            <w:vAlign w:val="center"/>
          </w:tcPr>
          <w:p>
            <w:pPr>
              <w:pStyle w:val="6"/>
              <w:keepNext w:val="0"/>
              <w:keepLines w:val="0"/>
              <w:pageBreakBefore w:val="0"/>
              <w:numPr>
                <w:ilvl w:val="0"/>
                <w:numId w:val="0"/>
              </w:numPr>
              <w:kinsoku/>
              <w:wordWrap/>
              <w:overflowPunct/>
              <w:topLinePunct w:val="0"/>
              <w:bidi w:val="0"/>
              <w:snapToGrid/>
              <w:spacing w:line="400" w:lineRule="atLeas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服务承诺</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分</w:t>
            </w:r>
          </w:p>
        </w:tc>
        <w:tc>
          <w:tcPr>
            <w:tcW w:w="8710" w:type="dxa"/>
            <w:gridSpan w:val="3"/>
            <w:noWrap w:val="0"/>
            <w:vAlign w:val="center"/>
          </w:tcPr>
          <w:p>
            <w:pPr>
              <w:pStyle w:val="6"/>
              <w:keepNext w:val="0"/>
              <w:keepLines w:val="0"/>
              <w:pageBreakBefore w:val="0"/>
              <w:numPr>
                <w:ilvl w:val="0"/>
                <w:numId w:val="4"/>
              </w:numPr>
              <w:kinsoku/>
              <w:wordWrap/>
              <w:overflowPunct/>
              <w:topLinePunct w:val="0"/>
              <w:bidi w:val="0"/>
              <w:snapToGrid/>
              <w:spacing w:line="400" w:lineRule="atLeast"/>
              <w:textAlignment w:val="auto"/>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针对</w:t>
            </w:r>
            <w:r>
              <w:rPr>
                <w:rFonts w:hint="eastAsia" w:ascii="宋体" w:hAnsi="宋体" w:eastAsia="宋体" w:cs="宋体"/>
                <w:sz w:val="21"/>
                <w:szCs w:val="21"/>
                <w:lang w:eastAsia="zh-CN"/>
              </w:rPr>
              <w:t>本</w:t>
            </w:r>
            <w:r>
              <w:rPr>
                <w:rFonts w:hint="eastAsia" w:ascii="宋体" w:hAnsi="宋体" w:eastAsia="宋体" w:cs="宋体"/>
                <w:sz w:val="21"/>
                <w:szCs w:val="21"/>
              </w:rPr>
              <w:t>工程的特点和要求，结合自身的条件和潜力，做出有利于安全文明施工</w:t>
            </w:r>
            <w:r>
              <w:rPr>
                <w:rFonts w:hint="eastAsia" w:ascii="宋体" w:hAnsi="宋体" w:eastAsia="宋体" w:cs="宋体"/>
                <w:sz w:val="21"/>
                <w:szCs w:val="21"/>
                <w:lang w:eastAsia="zh-CN"/>
              </w:rPr>
              <w:t>、质量保证措施等</w:t>
            </w:r>
            <w:r>
              <w:rPr>
                <w:rFonts w:hint="eastAsia" w:ascii="宋体" w:hAnsi="宋体" w:eastAsia="宋体" w:cs="宋体"/>
                <w:sz w:val="21"/>
                <w:szCs w:val="21"/>
              </w:rPr>
              <w:t>承诺（包括但不限于噪声控制、人员管理、封闭施工、现场管理等）内容</w:t>
            </w:r>
            <w:r>
              <w:rPr>
                <w:rFonts w:hint="eastAsia" w:ascii="宋体" w:hAnsi="宋体" w:cs="宋体"/>
                <w:sz w:val="21"/>
                <w:szCs w:val="21"/>
                <w:lang w:eastAsia="zh-CN"/>
              </w:rPr>
              <w:t>详实</w:t>
            </w:r>
            <w:r>
              <w:rPr>
                <w:rFonts w:hint="eastAsia" w:ascii="宋体" w:hAnsi="宋体" w:eastAsia="宋体" w:cs="宋体"/>
                <w:sz w:val="21"/>
                <w:szCs w:val="21"/>
              </w:rPr>
              <w:t>可行得</w:t>
            </w:r>
            <w:r>
              <w:rPr>
                <w:rFonts w:hint="eastAsia" w:ascii="宋体" w:hAnsi="宋体" w:cs="宋体"/>
                <w:sz w:val="21"/>
                <w:szCs w:val="21"/>
                <w:lang w:val="en-US" w:eastAsia="zh-CN"/>
              </w:rPr>
              <w:t>2</w:t>
            </w:r>
            <w:r>
              <w:rPr>
                <w:rFonts w:hint="eastAsia" w:ascii="宋体" w:hAnsi="宋体" w:eastAsia="宋体" w:cs="宋体"/>
                <w:sz w:val="21"/>
                <w:szCs w:val="21"/>
              </w:rPr>
              <w:t>分；个别内容</w:t>
            </w:r>
            <w:r>
              <w:rPr>
                <w:rFonts w:hint="eastAsia" w:ascii="宋体" w:hAnsi="宋体" w:cs="宋体"/>
                <w:sz w:val="21"/>
                <w:szCs w:val="21"/>
                <w:lang w:eastAsia="zh-CN"/>
              </w:rPr>
              <w:t>一般</w:t>
            </w:r>
            <w:r>
              <w:rPr>
                <w:rFonts w:hint="eastAsia" w:ascii="宋体" w:hAnsi="宋体" w:eastAsia="宋体" w:cs="宋体"/>
                <w:sz w:val="21"/>
                <w:szCs w:val="21"/>
              </w:rPr>
              <w:t>可行得1分；如有缺项则该项得0分，满分</w:t>
            </w:r>
            <w:r>
              <w:rPr>
                <w:rFonts w:hint="eastAsia" w:ascii="宋体" w:hAnsi="宋体" w:cs="宋体"/>
                <w:sz w:val="21"/>
                <w:szCs w:val="21"/>
                <w:lang w:val="en-US" w:eastAsia="zh-CN"/>
              </w:rPr>
              <w:t>2</w:t>
            </w:r>
            <w:r>
              <w:rPr>
                <w:rFonts w:hint="eastAsia" w:ascii="宋体" w:hAnsi="宋体" w:eastAsia="宋体" w:cs="宋体"/>
                <w:sz w:val="21"/>
                <w:szCs w:val="21"/>
              </w:rPr>
              <w:t xml:space="preserve">分。 </w:t>
            </w:r>
          </w:p>
          <w:p>
            <w:pPr>
              <w:pStyle w:val="6"/>
              <w:keepNext w:val="0"/>
              <w:keepLines w:val="0"/>
              <w:pageBreakBefore w:val="0"/>
              <w:numPr>
                <w:ilvl w:val="0"/>
                <w:numId w:val="4"/>
              </w:numPr>
              <w:kinsoku/>
              <w:wordWrap/>
              <w:overflowPunct/>
              <w:topLinePunct w:val="0"/>
              <w:bidi w:val="0"/>
              <w:snapToGrid/>
              <w:spacing w:line="400" w:lineRule="atLeast"/>
              <w:ind w:left="0" w:leftChars="0" w:firstLine="210" w:firstLineChars="100"/>
              <w:textAlignment w:val="auto"/>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有利于</w:t>
            </w:r>
            <w:r>
              <w:rPr>
                <w:rFonts w:hint="eastAsia" w:ascii="宋体" w:hAnsi="宋体" w:eastAsia="宋体" w:cs="宋体"/>
                <w:sz w:val="21"/>
                <w:szCs w:val="21"/>
                <w:lang w:eastAsia="zh-CN"/>
              </w:rPr>
              <w:t>保证</w:t>
            </w:r>
            <w:r>
              <w:rPr>
                <w:rFonts w:hint="eastAsia" w:ascii="宋体" w:hAnsi="宋体" w:eastAsia="宋体" w:cs="宋体"/>
                <w:sz w:val="21"/>
                <w:szCs w:val="21"/>
              </w:rPr>
              <w:t>工程质量</w:t>
            </w:r>
            <w:r>
              <w:rPr>
                <w:rFonts w:hint="eastAsia" w:ascii="宋体" w:hAnsi="宋体" w:eastAsia="宋体" w:cs="宋体"/>
                <w:sz w:val="21"/>
                <w:szCs w:val="21"/>
                <w:lang w:eastAsia="zh-CN"/>
              </w:rPr>
              <w:t>的措施方案、</w:t>
            </w:r>
            <w:r>
              <w:rPr>
                <w:rFonts w:hint="eastAsia" w:ascii="宋体" w:hAnsi="宋体" w:eastAsia="宋体" w:cs="宋体"/>
                <w:sz w:val="21"/>
                <w:szCs w:val="21"/>
              </w:rPr>
              <w:t>加快工程进度和交工后回访、保修等方面的承诺（包括但不限于材料材质、交叉施工、关系协调、质保期维修等）内容</w:t>
            </w:r>
            <w:r>
              <w:rPr>
                <w:rFonts w:hint="eastAsia" w:ascii="宋体" w:hAnsi="宋体" w:cs="宋体"/>
                <w:sz w:val="21"/>
                <w:szCs w:val="21"/>
                <w:lang w:eastAsia="zh-CN"/>
              </w:rPr>
              <w:t>详实</w:t>
            </w:r>
            <w:r>
              <w:rPr>
                <w:rFonts w:hint="eastAsia" w:ascii="宋体" w:hAnsi="宋体" w:eastAsia="宋体" w:cs="宋体"/>
                <w:sz w:val="21"/>
                <w:szCs w:val="21"/>
              </w:rPr>
              <w:t>可行得</w:t>
            </w:r>
            <w:r>
              <w:rPr>
                <w:rFonts w:hint="eastAsia" w:ascii="宋体" w:hAnsi="宋体" w:cs="宋体"/>
                <w:sz w:val="21"/>
                <w:szCs w:val="21"/>
                <w:lang w:val="en-US" w:eastAsia="zh-CN"/>
              </w:rPr>
              <w:t>2</w:t>
            </w:r>
            <w:r>
              <w:rPr>
                <w:rFonts w:hint="eastAsia" w:ascii="宋体" w:hAnsi="宋体" w:eastAsia="宋体" w:cs="宋体"/>
                <w:sz w:val="21"/>
                <w:szCs w:val="21"/>
              </w:rPr>
              <w:t>分；个别内容</w:t>
            </w:r>
            <w:r>
              <w:rPr>
                <w:rFonts w:hint="eastAsia" w:ascii="宋体" w:hAnsi="宋体" w:cs="宋体"/>
                <w:sz w:val="21"/>
                <w:szCs w:val="21"/>
                <w:lang w:eastAsia="zh-CN"/>
              </w:rPr>
              <w:t>一般</w:t>
            </w:r>
            <w:r>
              <w:rPr>
                <w:rFonts w:hint="eastAsia" w:ascii="宋体" w:hAnsi="宋体" w:eastAsia="宋体" w:cs="宋体"/>
                <w:sz w:val="21"/>
                <w:szCs w:val="21"/>
              </w:rPr>
              <w:t>可行得1分；如有缺项则该项得0分，满分</w:t>
            </w:r>
            <w:r>
              <w:rPr>
                <w:rFonts w:hint="eastAsia" w:ascii="宋体" w:hAnsi="宋体" w:cs="宋体"/>
                <w:sz w:val="21"/>
                <w:szCs w:val="21"/>
                <w:lang w:val="en-US" w:eastAsia="zh-CN"/>
              </w:rPr>
              <w:t>2</w:t>
            </w:r>
            <w:r>
              <w:rPr>
                <w:rFonts w:hint="eastAsia" w:ascii="宋体" w:hAnsi="宋体" w:eastAsia="宋体" w:cs="宋体"/>
                <w:sz w:val="21"/>
                <w:szCs w:val="21"/>
              </w:rPr>
              <w:t>分。</w:t>
            </w:r>
          </w:p>
          <w:p>
            <w:pPr>
              <w:pStyle w:val="6"/>
              <w:keepNext w:val="0"/>
              <w:keepLines w:val="0"/>
              <w:pageBreakBefore w:val="0"/>
              <w:numPr>
                <w:ilvl w:val="0"/>
                <w:numId w:val="0"/>
              </w:numPr>
              <w:kinsoku/>
              <w:wordWrap/>
              <w:overflowPunct/>
              <w:topLinePunct w:val="0"/>
              <w:bidi w:val="0"/>
              <w:snapToGrid/>
              <w:spacing w:line="400" w:lineRule="atLeast"/>
              <w:ind w:firstLine="210" w:firstLineChars="1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质保期在响应招标文件基础上，每延长</w:t>
            </w:r>
            <w:r>
              <w:rPr>
                <w:rFonts w:hint="eastAsia" w:ascii="宋体" w:hAnsi="宋体" w:eastAsia="宋体" w:cs="宋体"/>
                <w:sz w:val="21"/>
                <w:szCs w:val="21"/>
                <w:lang w:val="en-US" w:eastAsia="zh-CN"/>
              </w:rPr>
              <w:t>6</w:t>
            </w:r>
            <w:r>
              <w:rPr>
                <w:rFonts w:hint="eastAsia" w:ascii="宋体" w:hAnsi="宋体" w:eastAsia="宋体" w:cs="宋体"/>
                <w:sz w:val="21"/>
                <w:szCs w:val="21"/>
              </w:rPr>
              <w:t>个月增加1分，满分</w:t>
            </w:r>
            <w:r>
              <w:rPr>
                <w:rFonts w:hint="eastAsia" w:ascii="宋体" w:hAnsi="宋体" w:eastAsia="宋体" w:cs="宋体"/>
                <w:sz w:val="21"/>
                <w:szCs w:val="21"/>
                <w:lang w:val="en-US" w:eastAsia="zh-CN"/>
              </w:rPr>
              <w:t>2</w:t>
            </w:r>
            <w:r>
              <w:rPr>
                <w:rFonts w:hint="eastAsia" w:ascii="宋体" w:hAnsi="宋体" w:eastAsia="宋体" w:cs="宋体"/>
                <w:sz w:val="21"/>
                <w:szCs w:val="21"/>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1121" w:type="dxa"/>
            <w:vMerge w:val="restart"/>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lang w:val="en-US" w:eastAsia="zh-CN"/>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both"/>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技术标</w:t>
            </w: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评分标准</w:t>
            </w:r>
            <w:r>
              <w:rPr>
                <w:rFonts w:hint="eastAsia" w:ascii="宋体" w:hAnsi="宋体" w:eastAsia="宋体" w:cs="宋体"/>
                <w:bCs/>
                <w:kern w:val="0"/>
                <w:sz w:val="21"/>
                <w:szCs w:val="21"/>
                <w:highlight w:val="none"/>
                <w:lang w:val="en-US" w:eastAsia="zh-CN"/>
              </w:rPr>
              <w:t>40</w:t>
            </w:r>
            <w:r>
              <w:rPr>
                <w:rFonts w:hint="eastAsia" w:ascii="宋体" w:hAnsi="宋体" w:eastAsia="宋体" w:cs="宋体"/>
                <w:bCs/>
                <w:kern w:val="0"/>
                <w:sz w:val="21"/>
                <w:szCs w:val="21"/>
                <w:highlight w:val="none"/>
              </w:rPr>
              <w:t>分</w:t>
            </w: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rPr>
            </w:pP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center"/>
              <w:textAlignment w:val="auto"/>
              <w:rPr>
                <w:rFonts w:hint="eastAsia" w:ascii="宋体" w:hAnsi="宋体" w:eastAsia="宋体" w:cs="宋体"/>
                <w:bCs/>
                <w:kern w:val="0"/>
                <w:sz w:val="21"/>
                <w:szCs w:val="21"/>
                <w:highlight w:val="none"/>
                <w:lang w:val="en-US" w:eastAsia="zh-CN"/>
              </w:rPr>
            </w:pPr>
          </w:p>
        </w:tc>
        <w:tc>
          <w:tcPr>
            <w:tcW w:w="4496" w:type="dxa"/>
            <w:gridSpan w:val="3"/>
            <w:noWrap w:val="0"/>
            <w:vAlign w:val="center"/>
          </w:tcPr>
          <w:p>
            <w:pPr>
              <w:pStyle w:val="32"/>
              <w:keepNext w:val="0"/>
              <w:keepLines w:val="0"/>
              <w:pageBreakBefore w:val="0"/>
              <w:kinsoku/>
              <w:wordWrap/>
              <w:overflowPunct/>
              <w:topLinePunct w:val="0"/>
              <w:bidi w:val="0"/>
              <w:snapToGrid/>
              <w:spacing w:line="400" w:lineRule="atLeast"/>
              <w:jc w:val="both"/>
              <w:textAlignment w:val="auto"/>
              <w:rPr>
                <w:rFonts w:hint="eastAsia" w:ascii="宋体" w:hAnsi="宋体" w:eastAsia="宋体" w:cs="宋体"/>
                <w:color w:val="000000"/>
                <w:sz w:val="21"/>
                <w:szCs w:val="21"/>
                <w:highlight w:val="none"/>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rPr>
              <w:t>施工方案和技术措施（应包含但不限于以下内容）：编制依据和原则、工程概况、总体布置和工期安排、制定施工方案及技术措施等内容。</w:t>
            </w:r>
          </w:p>
        </w:tc>
        <w:tc>
          <w:tcPr>
            <w:tcW w:w="4917" w:type="dxa"/>
            <w:noWrap w:val="0"/>
            <w:vAlign w:val="center"/>
          </w:tcPr>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①技术措施符合国家施工技术规范、切合采购文件提供的清单项得4分。</w:t>
            </w:r>
          </w:p>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②技术措施符合国家施工技术规范，但相对于本项目的清单项有个别细节(如在施工流程等方面)需要进一步完善得2分。</w:t>
            </w:r>
          </w:p>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bCs/>
                <w:kern w:val="0"/>
                <w:sz w:val="21"/>
                <w:szCs w:val="21"/>
                <w:highlight w:val="none"/>
                <w:lang w:eastAsia="zh-CN"/>
              </w:rPr>
            </w:pPr>
            <w:r>
              <w:rPr>
                <w:rFonts w:hint="eastAsia" w:ascii="宋体" w:hAnsi="宋体" w:eastAsia="宋体" w:cs="宋体"/>
                <w:sz w:val="21"/>
                <w:szCs w:val="21"/>
              </w:rPr>
              <w:t xml:space="preserve"> ③技术措施相对于本项目的清单项有明显不符的</w:t>
            </w:r>
            <w:r>
              <w:rPr>
                <w:rFonts w:hint="eastAsia" w:ascii="宋体" w:hAnsi="宋体" w:eastAsia="宋体" w:cs="宋体"/>
                <w:sz w:val="21"/>
                <w:szCs w:val="21"/>
                <w:lang w:eastAsia="zh-CN"/>
              </w:rPr>
              <w:t>，</w:t>
            </w:r>
            <w:r>
              <w:rPr>
                <w:rFonts w:hint="eastAsia" w:ascii="宋体" w:hAnsi="宋体" w:eastAsia="宋体" w:cs="宋体"/>
                <w:sz w:val="21"/>
                <w:szCs w:val="21"/>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1121" w:type="dxa"/>
            <w:vMerge w:val="continue"/>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left"/>
              <w:textAlignment w:val="auto"/>
              <w:rPr>
                <w:rFonts w:hint="eastAsia" w:ascii="宋体" w:hAnsi="宋体" w:eastAsia="宋体" w:cs="宋体"/>
                <w:bCs/>
                <w:kern w:val="0"/>
                <w:sz w:val="21"/>
                <w:szCs w:val="21"/>
                <w:highlight w:val="none"/>
              </w:rPr>
            </w:pPr>
          </w:p>
        </w:tc>
        <w:tc>
          <w:tcPr>
            <w:tcW w:w="4496" w:type="dxa"/>
            <w:gridSpan w:val="3"/>
            <w:noWrap w:val="0"/>
            <w:vAlign w:val="center"/>
          </w:tcPr>
          <w:p>
            <w:pPr>
              <w:pStyle w:val="33"/>
              <w:keepNext w:val="0"/>
              <w:keepLines w:val="0"/>
              <w:pageBreakBefore w:val="0"/>
              <w:kinsoku/>
              <w:wordWrap/>
              <w:overflowPunct/>
              <w:topLinePunct w:val="0"/>
              <w:bidi w:val="0"/>
              <w:snapToGrid/>
              <w:spacing w:line="400" w:lineRule="atLeast"/>
              <w:jc w:val="both"/>
              <w:textAlignment w:val="auto"/>
              <w:rPr>
                <w:rFonts w:hint="eastAsia" w:ascii="宋体" w:hAnsi="宋体" w:eastAsia="宋体" w:cs="宋体"/>
                <w:sz w:val="21"/>
                <w:szCs w:val="21"/>
                <w:highlight w:val="none"/>
                <w:lang w:eastAsia="zh-CN"/>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质量管理体系与措施（应包含但不限于以下内容）：质量管理的组织机构及职责、项目质量目标、制度及保障措施等内容、建设过程质量检查制度、制定纠正和预防措施。</w:t>
            </w:r>
          </w:p>
        </w:tc>
        <w:tc>
          <w:tcPr>
            <w:tcW w:w="4917" w:type="dxa"/>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①质量管理符合国家施工技术规范、切合采购文件提供的清单项得4分。</w:t>
            </w: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②质量管理符合国家施工技术规范，但相对于本项目的清单项有个别细节（如质量管理模式、</w:t>
            </w:r>
            <w:r>
              <w:rPr>
                <w:rFonts w:hint="eastAsia" w:ascii="宋体" w:hAnsi="宋体" w:eastAsia="宋体" w:cs="宋体"/>
                <w:sz w:val="21"/>
                <w:szCs w:val="21"/>
                <w:lang w:eastAsia="zh-CN"/>
              </w:rPr>
              <w:t>材料</w:t>
            </w:r>
            <w:r>
              <w:rPr>
                <w:rFonts w:hint="eastAsia" w:ascii="宋体" w:hAnsi="宋体" w:eastAsia="宋体" w:cs="宋体"/>
                <w:sz w:val="21"/>
                <w:szCs w:val="21"/>
              </w:rPr>
              <w:t>质量方面</w:t>
            </w:r>
            <w:r>
              <w:rPr>
                <w:rFonts w:hint="eastAsia" w:ascii="宋体" w:hAnsi="宋体" w:eastAsia="宋体" w:cs="宋体"/>
                <w:sz w:val="21"/>
                <w:szCs w:val="21"/>
                <w:lang w:eastAsia="zh-CN"/>
              </w:rPr>
              <w:t>控制措施</w:t>
            </w:r>
            <w:r>
              <w:rPr>
                <w:rFonts w:hint="eastAsia" w:ascii="宋体" w:hAnsi="宋体" w:eastAsia="宋体" w:cs="宋体"/>
                <w:sz w:val="21"/>
                <w:szCs w:val="21"/>
              </w:rPr>
              <w:t>）需要进一步完善得2分。</w:t>
            </w:r>
          </w:p>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both"/>
              <w:textAlignment w:val="auto"/>
              <w:rPr>
                <w:rFonts w:hint="eastAsia" w:ascii="宋体" w:hAnsi="宋体" w:eastAsia="宋体" w:cs="宋体"/>
                <w:bCs/>
                <w:kern w:val="0"/>
                <w:sz w:val="21"/>
                <w:szCs w:val="21"/>
                <w:highlight w:val="none"/>
              </w:rPr>
            </w:pPr>
            <w:r>
              <w:rPr>
                <w:rFonts w:hint="eastAsia" w:ascii="宋体" w:hAnsi="宋体" w:eastAsia="宋体" w:cs="宋体"/>
                <w:sz w:val="21"/>
                <w:szCs w:val="21"/>
              </w:rPr>
              <w:t>③质量管理相对于本项目的清单项有明显不符的，得0分。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121" w:type="dxa"/>
            <w:vMerge w:val="continue"/>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left"/>
              <w:textAlignment w:val="auto"/>
              <w:rPr>
                <w:rFonts w:hint="eastAsia" w:ascii="宋体" w:hAnsi="宋体" w:eastAsia="宋体" w:cs="宋体"/>
                <w:bCs/>
                <w:kern w:val="0"/>
                <w:sz w:val="21"/>
                <w:szCs w:val="21"/>
                <w:highlight w:val="none"/>
              </w:rPr>
            </w:pPr>
          </w:p>
        </w:tc>
        <w:tc>
          <w:tcPr>
            <w:tcW w:w="4496" w:type="dxa"/>
            <w:gridSpan w:val="3"/>
            <w:noWrap w:val="0"/>
            <w:vAlign w:val="center"/>
          </w:tcPr>
          <w:p>
            <w:pPr>
              <w:pStyle w:val="39"/>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highlight w:val="none"/>
              </w:rPr>
            </w:pPr>
            <w:r>
              <w:rPr>
                <w:rFonts w:hint="eastAsia" w:ascii="宋体" w:hAnsi="宋体" w:eastAsia="宋体" w:cs="宋体"/>
                <w:sz w:val="21"/>
                <w:szCs w:val="21"/>
                <w:lang w:val="en-US" w:eastAsia="zh-CN"/>
              </w:rPr>
              <w:t>3、</w:t>
            </w:r>
            <w:r>
              <w:rPr>
                <w:rFonts w:hint="eastAsia" w:ascii="宋体" w:hAnsi="宋体" w:eastAsia="宋体" w:cs="宋体"/>
                <w:sz w:val="21"/>
                <w:szCs w:val="21"/>
              </w:rPr>
              <w:t>安全管理体系与措施（应包含但不限于以下内容）：施工安全生产保障体系、安全管理制度、安全管理目标、全员安全责任制、现场安全管理组织机构、人员配备满足国家规定要求等内容。</w:t>
            </w:r>
          </w:p>
        </w:tc>
        <w:tc>
          <w:tcPr>
            <w:tcW w:w="4917" w:type="dxa"/>
            <w:noWrap w:val="0"/>
            <w:vAlign w:val="center"/>
          </w:tcPr>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①安全管理符合国家施工技术规范、切合采购文件提供的清单项得4分。</w:t>
            </w:r>
          </w:p>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②安全管理符合国家施工技术规范，但相对于本项目的清单项有个别细节（如应急预案方面）需要进一步完善得2分。</w:t>
            </w:r>
          </w:p>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bCs/>
                <w:kern w:val="0"/>
                <w:sz w:val="21"/>
                <w:szCs w:val="21"/>
                <w:highlight w:val="none"/>
              </w:rPr>
            </w:pPr>
            <w:r>
              <w:rPr>
                <w:rFonts w:hint="eastAsia" w:ascii="宋体" w:hAnsi="宋体" w:eastAsia="宋体" w:cs="宋体"/>
                <w:sz w:val="21"/>
                <w:szCs w:val="21"/>
              </w:rPr>
              <w:t>③安全管理相对于本项目的清单项有明显不符的，得0分。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121" w:type="dxa"/>
            <w:vMerge w:val="continue"/>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left"/>
              <w:textAlignment w:val="auto"/>
              <w:rPr>
                <w:rFonts w:hint="eastAsia" w:ascii="宋体" w:hAnsi="宋体" w:eastAsia="宋体" w:cs="宋体"/>
                <w:bCs/>
                <w:kern w:val="0"/>
                <w:sz w:val="21"/>
                <w:szCs w:val="21"/>
                <w:highlight w:val="none"/>
              </w:rPr>
            </w:pPr>
          </w:p>
        </w:tc>
        <w:tc>
          <w:tcPr>
            <w:tcW w:w="4496" w:type="dxa"/>
            <w:gridSpan w:val="3"/>
            <w:noWrap w:val="0"/>
            <w:vAlign w:val="center"/>
          </w:tcPr>
          <w:p>
            <w:pPr>
              <w:pStyle w:val="39"/>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highlight w:val="none"/>
              </w:rPr>
            </w:pPr>
            <w:r>
              <w:rPr>
                <w:rFonts w:hint="eastAsia" w:ascii="宋体" w:hAnsi="宋体" w:eastAsia="宋体" w:cs="宋体"/>
                <w:sz w:val="21"/>
                <w:szCs w:val="21"/>
                <w:lang w:val="en-US" w:eastAsia="zh-CN"/>
              </w:rPr>
              <w:t>4、</w:t>
            </w:r>
            <w:r>
              <w:rPr>
                <w:rFonts w:hint="eastAsia" w:ascii="宋体" w:hAnsi="宋体" w:eastAsia="宋体" w:cs="宋体"/>
                <w:sz w:val="21"/>
                <w:szCs w:val="21"/>
              </w:rPr>
              <w:t>文明施工环境保护管理体系与措施（应包含但不限于以下 内容）：环境保护管理的组织机构及职责、环境保护管理管理目标、制度与措施、建筑垃圾处置方案等内容。</w:t>
            </w:r>
          </w:p>
        </w:tc>
        <w:tc>
          <w:tcPr>
            <w:tcW w:w="4917" w:type="dxa"/>
            <w:noWrap w:val="0"/>
            <w:vAlign w:val="center"/>
          </w:tcPr>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①环保、扬尘管理符合国家施工技术规范、切合采购文件提供的清单项得4分。</w:t>
            </w:r>
          </w:p>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②环保、扬尘管理符合国家施工技术规范，但相对于本项目的清单项有个别细节（如环境保护管理目标、制度与措施</w:t>
            </w:r>
            <w:r>
              <w:rPr>
                <w:rFonts w:hint="eastAsia" w:ascii="宋体" w:hAnsi="宋体" w:eastAsia="宋体" w:cs="宋体"/>
                <w:sz w:val="21"/>
                <w:szCs w:val="21"/>
                <w:lang w:eastAsia="zh-CN"/>
              </w:rPr>
              <w:t>、扬尘管理</w:t>
            </w:r>
            <w:r>
              <w:rPr>
                <w:rFonts w:hint="eastAsia" w:ascii="宋体" w:hAnsi="宋体" w:eastAsia="宋体" w:cs="宋体"/>
                <w:sz w:val="21"/>
                <w:szCs w:val="21"/>
              </w:rPr>
              <w:t>）需要进一步完善得2分。</w:t>
            </w:r>
          </w:p>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bCs/>
                <w:kern w:val="0"/>
                <w:sz w:val="21"/>
                <w:szCs w:val="21"/>
                <w:highlight w:val="none"/>
              </w:rPr>
            </w:pPr>
            <w:r>
              <w:rPr>
                <w:rFonts w:hint="eastAsia" w:ascii="宋体" w:hAnsi="宋体" w:eastAsia="宋体" w:cs="宋体"/>
                <w:sz w:val="21"/>
                <w:szCs w:val="21"/>
              </w:rPr>
              <w:t>③环保、扬尘管理相对于本项目的清单项有明显不符的，得0分。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121" w:type="dxa"/>
            <w:vMerge w:val="continue"/>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left"/>
              <w:textAlignment w:val="auto"/>
              <w:rPr>
                <w:rFonts w:hint="eastAsia" w:ascii="宋体" w:hAnsi="宋体" w:eastAsia="宋体" w:cs="宋体"/>
                <w:bCs/>
                <w:kern w:val="0"/>
                <w:sz w:val="21"/>
                <w:szCs w:val="21"/>
                <w:highlight w:val="none"/>
              </w:rPr>
            </w:pPr>
          </w:p>
        </w:tc>
        <w:tc>
          <w:tcPr>
            <w:tcW w:w="4496" w:type="dxa"/>
            <w:gridSpan w:val="3"/>
            <w:noWrap w:val="0"/>
            <w:vAlign w:val="center"/>
          </w:tcPr>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bCs/>
                <w:kern w:val="0"/>
                <w:sz w:val="21"/>
                <w:szCs w:val="21"/>
                <w:highlight w:val="none"/>
              </w:rPr>
            </w:pPr>
            <w:r>
              <w:rPr>
                <w:rFonts w:hint="eastAsia" w:ascii="宋体" w:hAnsi="宋体" w:eastAsia="宋体" w:cs="宋体"/>
                <w:sz w:val="21"/>
                <w:szCs w:val="21"/>
                <w:lang w:val="en-US" w:eastAsia="zh-CN"/>
              </w:rPr>
              <w:t>5、</w:t>
            </w:r>
            <w:r>
              <w:rPr>
                <w:rFonts w:hint="eastAsia" w:ascii="宋体" w:hAnsi="宋体" w:eastAsia="宋体" w:cs="宋体"/>
                <w:sz w:val="21"/>
                <w:szCs w:val="21"/>
              </w:rPr>
              <w:t>工程进度计划与措施（应包含但不限于以下内容）：施工进度表、工程进度计划、施工工期保证措施、进度控制和保证措施等内容。</w:t>
            </w:r>
          </w:p>
        </w:tc>
        <w:tc>
          <w:tcPr>
            <w:tcW w:w="4917" w:type="dxa"/>
            <w:noWrap w:val="0"/>
            <w:vAlign w:val="center"/>
          </w:tcPr>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①工程进度计划与措施符合国家施工技术规范、切合采购文件提供的清单项得4分。</w:t>
            </w:r>
          </w:p>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②工程进度计划与措施符合国家施工技术规范，但相对于本项目的清单项有个别细节（如施工进度保证措施等方面）需要进一步完善得2分。</w:t>
            </w:r>
          </w:p>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bCs/>
                <w:kern w:val="0"/>
                <w:sz w:val="21"/>
                <w:szCs w:val="21"/>
                <w:highlight w:val="none"/>
                <w:lang w:eastAsia="zh-CN"/>
              </w:rPr>
            </w:pPr>
            <w:r>
              <w:rPr>
                <w:rFonts w:hint="eastAsia" w:ascii="宋体" w:hAnsi="宋体" w:eastAsia="宋体" w:cs="宋体"/>
                <w:sz w:val="21"/>
                <w:szCs w:val="21"/>
              </w:rPr>
              <w:t>③工程进度计划与措施相对于本项目的清单项有明显不符的，得0分。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121" w:type="dxa"/>
            <w:vMerge w:val="continue"/>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left"/>
              <w:textAlignment w:val="auto"/>
              <w:rPr>
                <w:rFonts w:hint="eastAsia" w:ascii="宋体" w:hAnsi="宋体" w:eastAsia="宋体" w:cs="宋体"/>
                <w:bCs/>
                <w:kern w:val="0"/>
                <w:sz w:val="21"/>
                <w:szCs w:val="21"/>
                <w:highlight w:val="none"/>
              </w:rPr>
            </w:pPr>
          </w:p>
        </w:tc>
        <w:tc>
          <w:tcPr>
            <w:tcW w:w="4496" w:type="dxa"/>
            <w:gridSpan w:val="3"/>
            <w:noWrap w:val="0"/>
            <w:vAlign w:val="center"/>
          </w:tcPr>
          <w:p>
            <w:pPr>
              <w:pStyle w:val="39"/>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bCs/>
                <w:kern w:val="0"/>
                <w:sz w:val="21"/>
                <w:szCs w:val="21"/>
                <w:highlight w:val="none"/>
              </w:rPr>
            </w:pPr>
            <w:r>
              <w:rPr>
                <w:rFonts w:hint="eastAsia" w:ascii="宋体" w:hAnsi="宋体" w:eastAsia="宋体" w:cs="宋体"/>
                <w:snapToGrid w:val="0"/>
                <w:color w:val="auto"/>
                <w:spacing w:val="14"/>
                <w:kern w:val="0"/>
                <w:sz w:val="21"/>
                <w:szCs w:val="21"/>
                <w:highlight w:val="none"/>
                <w:lang w:val="en-US" w:eastAsia="zh-CN" w:bidi="ar-SA"/>
              </w:rPr>
              <w:t>6、拟投入资源配备计划：（应包含但不限于以下内容）：现场管理组织机构、资源配备及保障措施、材料供应保证措施、设备进场计划及合理布置</w:t>
            </w:r>
          </w:p>
        </w:tc>
        <w:tc>
          <w:tcPr>
            <w:tcW w:w="4917" w:type="dxa"/>
            <w:noWrap w:val="0"/>
            <w:vAlign w:val="center"/>
          </w:tcPr>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bCs/>
                <w:kern w:val="0"/>
                <w:sz w:val="21"/>
                <w:szCs w:val="21"/>
                <w:highlight w:val="none"/>
                <w:lang w:eastAsia="zh-CN"/>
              </w:rPr>
            </w:pPr>
            <w:r>
              <w:rPr>
                <w:rFonts w:hint="eastAsia" w:ascii="宋体" w:hAnsi="宋体" w:eastAsia="宋体" w:cs="宋体"/>
                <w:bCs/>
                <w:kern w:val="0"/>
                <w:sz w:val="21"/>
                <w:szCs w:val="21"/>
                <w:highlight w:val="none"/>
                <w:lang w:eastAsia="zh-CN"/>
              </w:rPr>
              <w:t>内容齐全且</w:t>
            </w:r>
            <w:r>
              <w:rPr>
                <w:rFonts w:hint="eastAsia" w:ascii="宋体" w:hAnsi="宋体" w:eastAsia="宋体" w:cs="宋体"/>
                <w:bCs/>
                <w:kern w:val="0"/>
                <w:sz w:val="21"/>
                <w:szCs w:val="21"/>
                <w:highlight w:val="none"/>
                <w:lang w:val="en-US" w:eastAsia="zh-CN"/>
              </w:rPr>
              <w:t>切合采购文件提供的采购清单项得4分，内容齐全相对于本项目的采购清单项有个别细节(材料供应措施方面)需要进一步完善得2分，内容缺项为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21" w:type="dxa"/>
            <w:vMerge w:val="continue"/>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left"/>
              <w:textAlignment w:val="auto"/>
              <w:rPr>
                <w:rFonts w:hint="eastAsia" w:ascii="宋体" w:hAnsi="宋体" w:eastAsia="宋体" w:cs="宋体"/>
                <w:bCs/>
                <w:kern w:val="0"/>
                <w:sz w:val="21"/>
                <w:szCs w:val="21"/>
                <w:highlight w:val="none"/>
              </w:rPr>
            </w:pPr>
          </w:p>
        </w:tc>
        <w:tc>
          <w:tcPr>
            <w:tcW w:w="4496" w:type="dxa"/>
            <w:gridSpan w:val="3"/>
            <w:noWrap w:val="0"/>
            <w:vAlign w:val="center"/>
          </w:tcPr>
          <w:p>
            <w:pPr>
              <w:pStyle w:val="39"/>
              <w:keepNext w:val="0"/>
              <w:keepLines w:val="0"/>
              <w:pageBreakBefore w:val="0"/>
              <w:widowControl/>
              <w:numPr>
                <w:ilvl w:val="0"/>
                <w:numId w:val="0"/>
              </w:numPr>
              <w:kinsoku/>
              <w:wordWrap/>
              <w:overflowPunct/>
              <w:topLinePunct w:val="0"/>
              <w:bidi w:val="0"/>
              <w:snapToGrid/>
              <w:spacing w:line="400" w:lineRule="atLeast"/>
              <w:jc w:val="both"/>
              <w:textAlignment w:val="auto"/>
              <w:rPr>
                <w:rFonts w:hint="eastAsia" w:ascii="宋体" w:hAnsi="宋体" w:eastAsia="宋体" w:cs="宋体"/>
                <w:bCs/>
                <w:sz w:val="21"/>
                <w:szCs w:val="21"/>
                <w:highlight w:val="none"/>
              </w:rPr>
            </w:pPr>
            <w:r>
              <w:rPr>
                <w:rFonts w:hint="eastAsia" w:ascii="宋体" w:hAnsi="宋体" w:eastAsia="宋体" w:cs="宋体"/>
                <w:sz w:val="21"/>
                <w:szCs w:val="21"/>
                <w:lang w:val="en-US" w:eastAsia="zh-CN"/>
              </w:rPr>
              <w:t>7、</w:t>
            </w:r>
            <w:r>
              <w:rPr>
                <w:rFonts w:hint="eastAsia" w:ascii="宋体" w:hAnsi="宋体" w:eastAsia="宋体" w:cs="宋体"/>
                <w:sz w:val="21"/>
                <w:szCs w:val="21"/>
              </w:rPr>
              <w:t>售后服务措施及承诺（应包含但不限于以下内容）：售后服务措施及承诺内容包含响应时间、到达故障现场时间、故障出现解决方案、定期维护、其他优惠措施及承诺等内容。</w:t>
            </w:r>
          </w:p>
        </w:tc>
        <w:tc>
          <w:tcPr>
            <w:tcW w:w="4917" w:type="dxa"/>
            <w:noWrap w:val="0"/>
            <w:vAlign w:val="center"/>
          </w:tcPr>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①内容全面，针对性强，对免费质保期限和措施，报修响应时间在2小时以内，售后服务措施、故障出现解决方案、定期维护等内容做出详细、合理的阐述，且提供2名技术人员专职服务、完备的售后服务体系和经验丰富</w:t>
            </w:r>
            <w:r>
              <w:rPr>
                <w:rFonts w:hint="eastAsia" w:ascii="宋体" w:hAnsi="宋体" w:eastAsia="宋体" w:cs="宋体"/>
                <w:sz w:val="21"/>
                <w:szCs w:val="21"/>
                <w:lang w:eastAsia="zh-CN"/>
              </w:rPr>
              <w:t>的</w:t>
            </w:r>
            <w:r>
              <w:rPr>
                <w:rFonts w:hint="eastAsia" w:ascii="宋体" w:hAnsi="宋体" w:eastAsia="宋体" w:cs="宋体"/>
                <w:sz w:val="21"/>
                <w:szCs w:val="21"/>
              </w:rPr>
              <w:t>售后服务团队，优于项目需求得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②内容基本全面，针对性强，对售后服务措施和维护做出合理性描述，且售后服务体系和团队能力较好，符合项目需求得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bCs/>
                <w:kern w:val="0"/>
                <w:sz w:val="21"/>
                <w:szCs w:val="21"/>
                <w:highlight w:val="none"/>
              </w:rPr>
            </w:pPr>
            <w:r>
              <w:rPr>
                <w:rFonts w:hint="eastAsia" w:ascii="宋体" w:hAnsi="宋体" w:eastAsia="宋体" w:cs="宋体"/>
                <w:sz w:val="21"/>
                <w:szCs w:val="21"/>
              </w:rPr>
              <w:t>③内容基本全面，对售后服务措施和维护做出合理性描述，且售后服务体系和团队能力一般得1分。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21" w:type="dxa"/>
            <w:vMerge w:val="continue"/>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left"/>
              <w:textAlignment w:val="auto"/>
              <w:rPr>
                <w:rFonts w:hint="eastAsia" w:ascii="宋体" w:hAnsi="宋体" w:eastAsia="宋体" w:cs="宋体"/>
                <w:bCs/>
                <w:kern w:val="0"/>
                <w:sz w:val="21"/>
                <w:szCs w:val="21"/>
                <w:highlight w:val="none"/>
              </w:rPr>
            </w:pPr>
          </w:p>
        </w:tc>
        <w:tc>
          <w:tcPr>
            <w:tcW w:w="4496" w:type="dxa"/>
            <w:gridSpan w:val="3"/>
            <w:noWrap w:val="0"/>
            <w:vAlign w:val="center"/>
          </w:tcPr>
          <w:p>
            <w:pPr>
              <w:pStyle w:val="39"/>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highlight w:val="none"/>
              </w:rPr>
            </w:pPr>
            <w:r>
              <w:rPr>
                <w:rFonts w:hint="eastAsia" w:ascii="宋体" w:hAnsi="宋体" w:eastAsia="宋体" w:cs="宋体"/>
                <w:sz w:val="21"/>
                <w:szCs w:val="21"/>
                <w:lang w:val="en-US" w:eastAsia="zh-CN"/>
              </w:rPr>
              <w:t>8、</w:t>
            </w:r>
            <w:r>
              <w:rPr>
                <w:rFonts w:hint="eastAsia" w:ascii="宋体" w:hAnsi="宋体" w:eastAsia="宋体" w:cs="宋体"/>
                <w:sz w:val="21"/>
                <w:szCs w:val="21"/>
              </w:rPr>
              <w:t>供应商须提供在工程质量质保期内、外的优惠及服务承诺；有保证不拖欠农民工工资，并承诺不受外界任何因素影响，确保工程连续性施工（自拟承诺计划书）。</w:t>
            </w:r>
          </w:p>
        </w:tc>
        <w:tc>
          <w:tcPr>
            <w:tcW w:w="4917" w:type="dxa"/>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both"/>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承诺内容齐全的得</w:t>
            </w:r>
            <w:r>
              <w:rPr>
                <w:rFonts w:hint="eastAsia" w:ascii="宋体" w:hAnsi="宋体" w:eastAsia="宋体" w:cs="宋体"/>
                <w:bCs/>
                <w:kern w:val="0"/>
                <w:sz w:val="21"/>
                <w:szCs w:val="21"/>
                <w:highlight w:val="none"/>
                <w:lang w:val="en-US" w:eastAsia="zh-CN"/>
              </w:rPr>
              <w:t>4分，每缺少一个承诺扣2分，扣完为止。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1121" w:type="dxa"/>
            <w:vMerge w:val="continue"/>
            <w:noWrap w:val="0"/>
            <w:vAlign w:val="center"/>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left"/>
              <w:textAlignment w:val="auto"/>
              <w:rPr>
                <w:rFonts w:hint="eastAsia" w:ascii="宋体" w:hAnsi="宋体" w:eastAsia="宋体" w:cs="宋体"/>
                <w:bCs/>
                <w:kern w:val="0"/>
                <w:sz w:val="21"/>
                <w:szCs w:val="21"/>
                <w:highlight w:val="none"/>
              </w:rPr>
            </w:pPr>
          </w:p>
        </w:tc>
        <w:tc>
          <w:tcPr>
            <w:tcW w:w="4496" w:type="dxa"/>
            <w:gridSpan w:val="3"/>
            <w:noWrap w:val="0"/>
            <w:vAlign w:val="center"/>
          </w:tcPr>
          <w:p>
            <w:pPr>
              <w:pStyle w:val="39"/>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highlight w:val="none"/>
              </w:rPr>
            </w:pPr>
            <w:r>
              <w:rPr>
                <w:rFonts w:hint="eastAsia" w:ascii="宋体" w:hAnsi="宋体" w:eastAsia="宋体" w:cs="宋体"/>
                <w:sz w:val="21"/>
                <w:szCs w:val="21"/>
              </w:rPr>
              <w:t>9.供应商须承诺开学后施工期间保证在校师生人身安全、财产安全及工期进度，施工期间不影响学生上课，并承诺在规 定时间内，符合国家相关规定的前提下可以进行夜间施工，保证按时完工，并做出相对应的承诺及措施。</w:t>
            </w:r>
          </w:p>
        </w:tc>
        <w:tc>
          <w:tcPr>
            <w:tcW w:w="4917" w:type="dxa"/>
            <w:noWrap w:val="0"/>
            <w:vAlign w:val="center"/>
          </w:tcPr>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①内容全面，针对性强，对施工队伍安全管理、施工场地封闭管理、施工车辆管理、施工质量管理等内容做出详细、合理的阐述，且针对每项内容作出的管理及应急方案措施进度安排科学、系统合理，各环节完备，有利于项目实施的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②内容基本全面，针对性强，管理内容做出合理性描述，针对每项内容作出的管理及应急方案措施可行性较高的得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pPr>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bCs/>
                <w:kern w:val="0"/>
                <w:sz w:val="21"/>
                <w:szCs w:val="21"/>
                <w:highlight w:val="none"/>
              </w:rPr>
            </w:pPr>
            <w:r>
              <w:rPr>
                <w:rFonts w:hint="eastAsia" w:ascii="宋体" w:hAnsi="宋体" w:eastAsia="宋体" w:cs="宋体"/>
                <w:sz w:val="21"/>
                <w:szCs w:val="21"/>
              </w:rPr>
              <w:t>③内容基本全面，针对性弱，对管理内容做出简单描述得 1 分。</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21" w:type="dxa"/>
            <w:vMerge w:val="continue"/>
          </w:tcPr>
          <w:p>
            <w:pPr>
              <w:keepNext w:val="0"/>
              <w:keepLines w:val="0"/>
              <w:pageBreakBefore w:val="0"/>
              <w:tabs>
                <w:tab w:val="left" w:pos="1400"/>
              </w:tabs>
              <w:kinsoku/>
              <w:wordWrap/>
              <w:overflowPunct/>
              <w:topLinePunct w:val="0"/>
              <w:autoSpaceDE w:val="0"/>
              <w:autoSpaceDN w:val="0"/>
              <w:bidi w:val="0"/>
              <w:adjustRightInd w:val="0"/>
              <w:snapToGrid/>
              <w:spacing w:line="400" w:lineRule="atLeast"/>
              <w:jc w:val="left"/>
              <w:textAlignment w:val="auto"/>
              <w:rPr>
                <w:rFonts w:hint="eastAsia" w:ascii="宋体" w:hAnsi="宋体" w:eastAsia="宋体" w:cs="宋体"/>
                <w:bCs/>
                <w:kern w:val="0"/>
                <w:sz w:val="21"/>
                <w:szCs w:val="21"/>
                <w:highlight w:val="none"/>
                <w:lang w:val="en-US" w:eastAsia="zh-CN"/>
              </w:rPr>
            </w:pPr>
          </w:p>
        </w:tc>
        <w:tc>
          <w:tcPr>
            <w:tcW w:w="4496" w:type="dxa"/>
            <w:gridSpan w:val="3"/>
            <w:vAlign w:val="center"/>
          </w:tcPr>
          <w:p>
            <w:pPr>
              <w:pStyle w:val="39"/>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napToGrid w:val="0"/>
                <w:color w:val="auto"/>
                <w:spacing w:val="14"/>
                <w:kern w:val="0"/>
                <w:sz w:val="21"/>
                <w:szCs w:val="21"/>
                <w:highlight w:val="none"/>
                <w:lang w:val="en-US" w:eastAsia="zh-CN" w:bidi="ar-SA"/>
              </w:rPr>
            </w:pPr>
            <w:r>
              <w:rPr>
                <w:rFonts w:hint="eastAsia" w:ascii="宋体" w:hAnsi="宋体" w:eastAsia="宋体" w:cs="宋体"/>
                <w:snapToGrid w:val="0"/>
                <w:color w:val="auto"/>
                <w:spacing w:val="14"/>
                <w:kern w:val="0"/>
                <w:sz w:val="21"/>
                <w:szCs w:val="21"/>
                <w:highlight w:val="none"/>
                <w:lang w:val="en-US" w:eastAsia="zh-CN" w:bidi="ar-SA"/>
              </w:rPr>
              <w:t>10、在节能减排、绿色施工、工艺创新、降低成本、缩短工期、减轻劳动强度、提高工程质量等方面，针对本工程有具体措施或企业自有创新技术</w:t>
            </w:r>
          </w:p>
          <w:p>
            <w:pPr>
              <w:pStyle w:val="39"/>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napToGrid w:val="0"/>
                <w:color w:val="auto"/>
                <w:spacing w:val="14"/>
                <w:kern w:val="0"/>
                <w:sz w:val="21"/>
                <w:szCs w:val="21"/>
                <w:highlight w:val="none"/>
                <w:lang w:val="en-US" w:eastAsia="zh-CN" w:bidi="ar-SA"/>
              </w:rPr>
            </w:pPr>
            <w:r>
              <w:rPr>
                <w:rFonts w:hint="eastAsia" w:ascii="宋体" w:hAnsi="宋体" w:eastAsia="宋体" w:cs="宋体"/>
                <w:snapToGrid w:val="0"/>
                <w:color w:val="auto"/>
                <w:spacing w:val="14"/>
                <w:kern w:val="0"/>
                <w:sz w:val="21"/>
                <w:szCs w:val="21"/>
                <w:highlight w:val="none"/>
                <w:lang w:val="en-US" w:eastAsia="zh-CN" w:bidi="ar-SA"/>
              </w:rPr>
              <w:t>1.节能减排施工措施及施工方案</w:t>
            </w:r>
          </w:p>
          <w:p>
            <w:pPr>
              <w:pStyle w:val="39"/>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napToGrid w:val="0"/>
                <w:color w:val="auto"/>
                <w:spacing w:val="14"/>
                <w:kern w:val="0"/>
                <w:sz w:val="21"/>
                <w:szCs w:val="21"/>
                <w:highlight w:val="none"/>
                <w:lang w:val="en-US" w:eastAsia="zh-CN" w:bidi="ar-SA"/>
              </w:rPr>
            </w:pPr>
            <w:r>
              <w:rPr>
                <w:rFonts w:hint="eastAsia" w:ascii="宋体" w:hAnsi="宋体" w:eastAsia="宋体" w:cs="宋体"/>
                <w:snapToGrid w:val="0"/>
                <w:color w:val="auto"/>
                <w:spacing w:val="14"/>
                <w:kern w:val="0"/>
                <w:sz w:val="21"/>
                <w:szCs w:val="21"/>
                <w:highlight w:val="none"/>
                <w:lang w:val="en-US" w:eastAsia="zh-CN" w:bidi="ar-SA"/>
              </w:rPr>
              <w:t>2.绿色施工措施及施工方案</w:t>
            </w:r>
          </w:p>
          <w:p>
            <w:pPr>
              <w:pStyle w:val="39"/>
              <w:keepNext w:val="0"/>
              <w:keepLines w:val="0"/>
              <w:pageBreakBefore w:val="0"/>
              <w:widowControl/>
              <w:numPr>
                <w:ilvl w:val="0"/>
                <w:numId w:val="0"/>
              </w:numPr>
              <w:kinsoku/>
              <w:wordWrap/>
              <w:overflowPunct/>
              <w:topLinePunct w:val="0"/>
              <w:bidi w:val="0"/>
              <w:snapToGrid/>
              <w:spacing w:line="400" w:lineRule="atLeast"/>
              <w:jc w:val="both"/>
              <w:textAlignment w:val="auto"/>
              <w:rPr>
                <w:rFonts w:hint="eastAsia" w:ascii="宋体" w:hAnsi="宋体" w:eastAsia="宋体" w:cs="宋体"/>
                <w:snapToGrid w:val="0"/>
                <w:color w:val="auto"/>
                <w:spacing w:val="14"/>
                <w:kern w:val="0"/>
                <w:sz w:val="21"/>
                <w:szCs w:val="21"/>
                <w:highlight w:val="none"/>
                <w:lang w:val="en-US" w:eastAsia="zh-CN" w:bidi="ar-SA"/>
              </w:rPr>
            </w:pPr>
            <w:r>
              <w:rPr>
                <w:rFonts w:hint="eastAsia" w:ascii="宋体" w:hAnsi="宋体" w:eastAsia="宋体" w:cs="宋体"/>
                <w:snapToGrid w:val="0"/>
                <w:color w:val="auto"/>
                <w:spacing w:val="14"/>
                <w:kern w:val="0"/>
                <w:sz w:val="21"/>
                <w:szCs w:val="21"/>
                <w:highlight w:val="none"/>
                <w:lang w:val="en-US" w:eastAsia="zh-CN" w:bidi="ar-SA"/>
              </w:rPr>
              <w:t>3.工艺创新及四新技术应用程度</w:t>
            </w:r>
          </w:p>
        </w:tc>
        <w:tc>
          <w:tcPr>
            <w:tcW w:w="4917" w:type="dxa"/>
            <w:vAlign w:val="center"/>
          </w:tcPr>
          <w:p>
            <w:pPr>
              <w:pStyle w:val="39"/>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内容齐全且切合采购文件提供的采购清单项得4分；内容齐全相对于本项目的采购清单项有个别细节(如绿色施工管理内容等方面)需要进一步完善得2分；</w:t>
            </w:r>
          </w:p>
          <w:p>
            <w:pPr>
              <w:pStyle w:val="39"/>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snapToGrid w:val="0"/>
                <w:color w:val="auto"/>
                <w:spacing w:val="14"/>
                <w:kern w:val="0"/>
                <w:sz w:val="21"/>
                <w:szCs w:val="21"/>
                <w:highlight w:val="none"/>
                <w:lang w:val="en-US" w:eastAsia="zh-CN" w:bidi="ar-SA"/>
              </w:rPr>
            </w:pPr>
            <w:r>
              <w:rPr>
                <w:rFonts w:hint="eastAsia" w:ascii="宋体" w:hAnsi="宋体" w:eastAsia="宋体" w:cs="宋体"/>
                <w:bCs/>
                <w:kern w:val="0"/>
                <w:sz w:val="21"/>
                <w:szCs w:val="21"/>
                <w:highlight w:val="none"/>
                <w:lang w:val="en-US" w:eastAsia="zh-CN"/>
              </w:rPr>
              <w:t>内容缺项为0分。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34" w:type="dxa"/>
            <w:gridSpan w:val="5"/>
            <w:vAlign w:val="center"/>
          </w:tcPr>
          <w:p>
            <w:pPr>
              <w:pStyle w:val="39"/>
              <w:keepNext w:val="0"/>
              <w:keepLines w:val="0"/>
              <w:pageBreakBefore w:val="0"/>
              <w:widowControl/>
              <w:kinsoku/>
              <w:wordWrap/>
              <w:overflowPunct/>
              <w:topLinePunct w:val="0"/>
              <w:bidi w:val="0"/>
              <w:snapToGrid/>
              <w:spacing w:line="400" w:lineRule="atLeast"/>
              <w:jc w:val="both"/>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sz w:val="21"/>
                <w:szCs w:val="21"/>
              </w:rPr>
              <w:t>注：以上所有证明材料应在投标文件中附复印件或扫描件（加盖电子印章）</w:t>
            </w:r>
          </w:p>
        </w:tc>
      </w:tr>
    </w:tbl>
    <w:p/>
    <w:p>
      <w:pPr>
        <w:adjustRightInd w:val="0"/>
        <w:snapToGrid w:val="0"/>
        <w:spacing w:line="400" w:lineRule="exact"/>
        <w:rPr>
          <w:rFonts w:hint="eastAsia" w:ascii="宋体" w:hAnsi="宋体" w:eastAsia="宋体" w:cs="宋体"/>
          <w:b/>
          <w:kern w:val="1"/>
          <w:szCs w:val="21"/>
          <w:highlight w:val="none"/>
        </w:rPr>
      </w:pPr>
      <w:r>
        <w:rPr>
          <w:rFonts w:hint="eastAsia" w:ascii="宋体" w:hAnsi="宋体" w:eastAsia="宋体" w:cs="宋体"/>
          <w:b/>
          <w:kern w:val="1"/>
          <w:szCs w:val="21"/>
          <w:highlight w:val="none"/>
        </w:rPr>
        <w:t>4.4磋商方法</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磋商小组对通过初步审查的供应商分别单独进行磋商。磋商双方可以就磋商项目所涉价格、服务等进行实质性磋商，但磋商的任何一方不得透露与磋商有关的其他供应商的资料、价格和其他信息。磋商结束后，磋商小组要求所有实质性响应的供应商在规定的时间内提交最后报价, 供应商最终报价提交后，报价不得进行更改。</w:t>
      </w:r>
    </w:p>
    <w:p>
      <w:pPr>
        <w:adjustRightInd w:val="0"/>
        <w:snapToGrid w:val="0"/>
        <w:spacing w:line="400" w:lineRule="exact"/>
        <w:ind w:firstLine="420"/>
        <w:rPr>
          <w:rFonts w:hint="eastAsia" w:ascii="宋体" w:hAnsi="宋体" w:eastAsia="宋体" w:cs="宋体"/>
          <w:kern w:val="1"/>
          <w:szCs w:val="21"/>
          <w:highlight w:val="none"/>
          <w:lang w:eastAsia="zh-CN"/>
        </w:rPr>
      </w:pPr>
      <w:r>
        <w:rPr>
          <w:rFonts w:hint="eastAsia" w:ascii="宋体" w:hAnsi="宋体" w:eastAsia="宋体" w:cs="宋体"/>
          <w:kern w:val="1"/>
          <w:szCs w:val="21"/>
          <w:highlight w:val="none"/>
        </w:rPr>
        <w:t>磋商小组对满足磋商文件实质性要求的投标文件，按照本章规定的评分标准进行打分，并按得分由高到低顺序推荐中标候选人，但投标报价低于其成本的除外。综合评分相等时，以投标报价低的优先；投标报价也相等的，</w:t>
      </w:r>
      <w:r>
        <w:rPr>
          <w:rFonts w:hint="eastAsia" w:ascii="宋体" w:hAnsi="宋体" w:eastAsia="宋体" w:cs="宋体"/>
          <w:kern w:val="21"/>
          <w:szCs w:val="21"/>
          <w:highlight w:val="none"/>
        </w:rPr>
        <w:t>以技术</w:t>
      </w:r>
      <w:r>
        <w:rPr>
          <w:rFonts w:hint="eastAsia" w:ascii="宋体" w:hAnsi="宋体" w:eastAsia="宋体" w:cs="宋体"/>
          <w:kern w:val="21"/>
          <w:szCs w:val="21"/>
          <w:highlight w:val="none"/>
          <w:lang w:eastAsia="zh-CN"/>
        </w:rPr>
        <w:t>标</w:t>
      </w:r>
      <w:r>
        <w:rPr>
          <w:rFonts w:hint="eastAsia" w:ascii="宋体" w:hAnsi="宋体" w:eastAsia="宋体" w:cs="宋体"/>
          <w:kern w:val="21"/>
          <w:szCs w:val="21"/>
          <w:highlight w:val="none"/>
        </w:rPr>
        <w:t>得分高的优先</w:t>
      </w:r>
      <w:r>
        <w:rPr>
          <w:rFonts w:hint="eastAsia" w:ascii="宋体" w:hAnsi="宋体" w:eastAsia="宋体" w:cs="宋体"/>
          <w:kern w:val="1"/>
          <w:szCs w:val="21"/>
          <w:highlight w:val="none"/>
        </w:rPr>
        <w:t>。</w:t>
      </w:r>
      <w:r>
        <w:rPr>
          <w:rFonts w:hint="eastAsia" w:ascii="宋体" w:hAnsi="宋体" w:eastAsia="宋体" w:cs="宋体"/>
          <w:kern w:val="1"/>
          <w:szCs w:val="21"/>
          <w:highlight w:val="none"/>
          <w:lang w:eastAsia="zh-CN"/>
        </w:rPr>
        <w:t>技术标得分也相等的，由评标委员会以无记名的方式投票，得票高着中。</w:t>
      </w:r>
    </w:p>
    <w:p>
      <w:pPr>
        <w:adjustRightInd w:val="0"/>
        <w:snapToGrid w:val="0"/>
        <w:spacing w:line="400" w:lineRule="exact"/>
        <w:rPr>
          <w:rFonts w:hint="eastAsia" w:ascii="宋体" w:hAnsi="宋体" w:eastAsia="宋体" w:cs="宋体"/>
          <w:b/>
          <w:kern w:val="1"/>
          <w:szCs w:val="21"/>
          <w:highlight w:val="none"/>
        </w:rPr>
      </w:pPr>
      <w:r>
        <w:rPr>
          <w:rFonts w:hint="eastAsia" w:ascii="宋体" w:hAnsi="宋体" w:eastAsia="宋体" w:cs="宋体"/>
          <w:b/>
          <w:kern w:val="1"/>
          <w:szCs w:val="21"/>
          <w:highlight w:val="none"/>
        </w:rPr>
        <w:t>4.5评审标准</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4.4.1初步评审标准</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4.4.1.1资格评审标准：见评标办法前附表。</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4.4.1.2：符合性审查标准：见评标办法前附表。</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 xml:space="preserve">4.4.2 </w:t>
      </w:r>
      <w:bookmarkStart w:id="14" w:name="_Hlk34981887"/>
      <w:r>
        <w:rPr>
          <w:rFonts w:hint="eastAsia" w:ascii="宋体" w:hAnsi="宋体" w:eastAsia="宋体" w:cs="宋体"/>
          <w:kern w:val="1"/>
          <w:szCs w:val="21"/>
          <w:highlight w:val="none"/>
        </w:rPr>
        <w:t>分值构成</w:t>
      </w:r>
      <w:bookmarkEnd w:id="14"/>
      <w:r>
        <w:rPr>
          <w:rFonts w:hint="eastAsia" w:ascii="宋体" w:hAnsi="宋体" w:eastAsia="宋体" w:cs="宋体"/>
          <w:kern w:val="1"/>
          <w:szCs w:val="21"/>
          <w:highlight w:val="none"/>
        </w:rPr>
        <w:t>与评分标准</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4.4.2.1 分值构成</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(l）分值构成</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4.4.2.4 评分标准</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(2）报价评审：见评标办法前附表；</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(3）商务评审：见评标办法前附表；</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(4）技术评审：见评标办法前附表；</w:t>
      </w:r>
    </w:p>
    <w:p>
      <w:pPr>
        <w:adjustRightInd w:val="0"/>
        <w:snapToGrid w:val="0"/>
        <w:spacing w:line="400" w:lineRule="exact"/>
        <w:rPr>
          <w:rFonts w:hint="eastAsia" w:ascii="宋体" w:hAnsi="宋体" w:eastAsia="宋体" w:cs="宋体"/>
          <w:b/>
          <w:kern w:val="1"/>
          <w:szCs w:val="21"/>
          <w:highlight w:val="none"/>
        </w:rPr>
      </w:pPr>
      <w:r>
        <w:rPr>
          <w:rFonts w:hint="eastAsia" w:ascii="宋体" w:hAnsi="宋体" w:eastAsia="宋体" w:cs="宋体"/>
          <w:b/>
          <w:kern w:val="1"/>
          <w:szCs w:val="21"/>
          <w:highlight w:val="none"/>
        </w:rPr>
        <w:t>4.6评标程序</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4.6.1 初步评审</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4.6.1.1磋商小组依据本章资格审查规定的标准对投标文件进行初步评审。有一项不符合评审标准的，作否决投标处理。</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4.6.1.2 供应商有以下情形之一的，其投标作废标处理：</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(l）不符合第二章“供应商须知”第1.3 项规定的任何一种情形的：</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(2）串通投标或弄虚作假或有其他违法行为的；</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(3）不按磋商小组要求澄清、说明或补正；。</w:t>
      </w:r>
    </w:p>
    <w:p>
      <w:pPr>
        <w:adjustRightInd w:val="0"/>
        <w:snapToGrid w:val="0"/>
        <w:spacing w:line="400" w:lineRule="exact"/>
        <w:ind w:firstLine="210" w:firstLineChars="100"/>
        <w:rPr>
          <w:rFonts w:hint="eastAsia" w:ascii="宋体" w:hAnsi="宋体" w:eastAsia="宋体" w:cs="宋体"/>
          <w:kern w:val="1"/>
          <w:szCs w:val="21"/>
          <w:highlight w:val="none"/>
        </w:rPr>
      </w:pPr>
      <w:r>
        <w:rPr>
          <w:rFonts w:hint="eastAsia" w:ascii="宋体" w:hAnsi="宋体" w:eastAsia="宋体" w:cs="宋体"/>
          <w:kern w:val="1"/>
          <w:szCs w:val="21"/>
          <w:highlight w:val="none"/>
        </w:rPr>
        <w:t>（4）未响应磋商文件要求的。</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4.6.1.3 投标报价有算术错误的，磋商小组按以下原则对投标报价进行修正，修正的价格经供应商书面确认后具有约束力。供应商不接受修正价格的，其投标作废标处理。</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(1）投标文件中的大写金额与小写金额不一致的，以大写金额为准；</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(2）总价金额与依据单价计算出的结果不一致的，以单价金额为准修正总价，但单价金额小数点有明显错误的除外。</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初步评审包括：资格评审、符合性审查。评委会首先对各</w:t>
      </w:r>
      <w:r>
        <w:rPr>
          <w:rFonts w:hint="eastAsia" w:ascii="宋体" w:hAnsi="宋体" w:eastAsia="宋体" w:cs="宋体"/>
          <w:kern w:val="1"/>
          <w:szCs w:val="21"/>
          <w:highlight w:val="none"/>
          <w:lang w:eastAsia="zh-CN"/>
        </w:rPr>
        <w:t>供应商</w:t>
      </w:r>
      <w:r>
        <w:rPr>
          <w:rFonts w:hint="eastAsia" w:ascii="宋体" w:hAnsi="宋体" w:eastAsia="宋体" w:cs="宋体"/>
          <w:kern w:val="1"/>
          <w:szCs w:val="21"/>
          <w:highlight w:val="none"/>
        </w:rPr>
        <w:t>的投标文件按照响应性评审因素进行初步评审，初步评审不合格的</w:t>
      </w:r>
      <w:r>
        <w:rPr>
          <w:rFonts w:hint="eastAsia" w:ascii="宋体" w:hAnsi="宋体" w:eastAsia="宋体" w:cs="宋体"/>
          <w:kern w:val="1"/>
          <w:szCs w:val="21"/>
          <w:highlight w:val="none"/>
          <w:lang w:eastAsia="zh-CN"/>
        </w:rPr>
        <w:t>供应商</w:t>
      </w:r>
      <w:r>
        <w:rPr>
          <w:rFonts w:hint="eastAsia" w:ascii="宋体" w:hAnsi="宋体" w:eastAsia="宋体" w:cs="宋体"/>
          <w:kern w:val="1"/>
          <w:szCs w:val="21"/>
          <w:highlight w:val="none"/>
        </w:rPr>
        <w:t>的投标文件不得进入第二轮磋商报价。</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4.6.2 详细评审</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4.6.2.1 磋商小组按本章评标办法2.2.4（1）规定的量化因素和分值进行打分，并计算出综合评估得分。</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(1）按本章第2.2.4(2）目规定的评审因素和分值对报价评审计算出得分A ；</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(2）按本章第2.2.4(3）目规定的评审因素和分值对</w:t>
      </w:r>
      <w:r>
        <w:rPr>
          <w:rFonts w:hint="eastAsia" w:ascii="宋体" w:hAnsi="宋体" w:eastAsia="宋体" w:cs="宋体"/>
          <w:kern w:val="1"/>
          <w:szCs w:val="21"/>
          <w:highlight w:val="none"/>
          <w:lang w:val="en-US" w:eastAsia="zh-CN"/>
        </w:rPr>
        <w:t>综合信用</w:t>
      </w:r>
      <w:r>
        <w:rPr>
          <w:rFonts w:hint="eastAsia" w:ascii="宋体" w:hAnsi="宋体" w:eastAsia="宋体" w:cs="宋体"/>
          <w:kern w:val="1"/>
          <w:szCs w:val="21"/>
          <w:highlight w:val="none"/>
        </w:rPr>
        <w:t>评审计算出得分B；</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(3）按本章第2.2.4(4）目规定的评审因素和分值对技术评审计算出得分C；</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评分分值计算保留小数点后两位，小数点后第三位“四舍五入”。</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供应商得分A</w:t>
      </w:r>
      <w:bookmarkStart w:id="15" w:name="_Hlk34899113"/>
      <w:r>
        <w:rPr>
          <w:rFonts w:hint="eastAsia" w:ascii="宋体" w:hAnsi="宋体" w:eastAsia="宋体" w:cs="宋体"/>
          <w:kern w:val="1"/>
          <w:szCs w:val="21"/>
          <w:highlight w:val="none"/>
        </w:rPr>
        <w:t>十</w:t>
      </w:r>
      <w:bookmarkEnd w:id="15"/>
      <w:r>
        <w:rPr>
          <w:rFonts w:hint="eastAsia" w:ascii="宋体" w:hAnsi="宋体" w:eastAsia="宋体" w:cs="宋体"/>
          <w:kern w:val="1"/>
          <w:szCs w:val="21"/>
          <w:highlight w:val="none"/>
        </w:rPr>
        <w:t>B十C。</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4.6.2.2 磋商小组发现供应商的报价明显低于其他投标报价，应当要求该供应商作出书面说明并提供相应的证明材料。供应商不能合理说明或者不能提供相应证明材料的，由磋商小组认定该供应商以低于成本报价竞标，其投标作废标处理。</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4.6.3 投标文件的澄清和补正</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4.6.3.1 在评标过程中，磋商小组可以书面形式要求供应商对所提交投标文件中不明确的内容进行书面澄清或说明，或者对细微偏差进行补正。磋商小组不接受供应商主动提出的澄清、说明或补正。</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4.6.3.2 澄清、说明和补正不得改变投标文件的实质性内容（算术性错误修正的除外）。供应商的书面澄清、说明和补正属于投标文件的组成部分。</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 xml:space="preserve">4.6.3.3 磋商小组对供应商提交的澄清、说明或补正有疑问的，可以要求供应商进一步澄清、说明或补正，直至满足磋商小组的要求。 </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4.6.4 评标结果</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4.6.4.1所有评委打分的分值的算术平均值即为该供应商的最终得分。计分过程取至小数点后三位，最终得分按四舍五入取至小数点后两位。 除第二章“供应商须知”前附表授权直接确定中标人外，磋商小组按照得分高到低的顺序推荐1-3名中标候选人。</w:t>
      </w:r>
    </w:p>
    <w:p>
      <w:pPr>
        <w:adjustRightInd w:val="0"/>
        <w:snapToGrid w:val="0"/>
        <w:spacing w:line="40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4.6.4.2 磋商小组完成评标后，应当向采购人提交书面评标报告。</w:t>
      </w:r>
    </w:p>
    <w:p>
      <w:pPr>
        <w:adjustRightInd w:val="0"/>
        <w:snapToGrid w:val="0"/>
        <w:spacing w:line="400" w:lineRule="exact"/>
        <w:rPr>
          <w:rFonts w:hint="eastAsia" w:ascii="宋体" w:hAnsi="宋体" w:eastAsia="宋体" w:cs="宋体"/>
          <w:b/>
          <w:kern w:val="1"/>
          <w:szCs w:val="21"/>
          <w:highlight w:val="none"/>
          <w:lang w:val="zh-CN"/>
        </w:rPr>
      </w:pPr>
      <w:r>
        <w:rPr>
          <w:rFonts w:hint="eastAsia" w:ascii="宋体" w:hAnsi="宋体" w:eastAsia="宋体" w:cs="宋体"/>
          <w:b/>
          <w:kern w:val="1"/>
          <w:szCs w:val="21"/>
          <w:highlight w:val="none"/>
          <w:lang w:val="zh-CN"/>
        </w:rPr>
        <w:t>4.6无效响应文件</w:t>
      </w:r>
    </w:p>
    <w:p>
      <w:pPr>
        <w:adjustRightInd w:val="0"/>
        <w:snapToGrid w:val="0"/>
        <w:spacing w:line="400" w:lineRule="exact"/>
        <w:ind w:firstLine="420"/>
        <w:rPr>
          <w:rFonts w:hint="eastAsia" w:ascii="宋体" w:hAnsi="宋体" w:eastAsia="宋体" w:cs="宋体"/>
          <w:b/>
          <w:szCs w:val="21"/>
          <w:highlight w:val="none"/>
        </w:rPr>
      </w:pPr>
      <w:r>
        <w:rPr>
          <w:rFonts w:hint="eastAsia" w:ascii="宋体" w:hAnsi="宋体" w:eastAsia="宋体" w:cs="宋体"/>
          <w:kern w:val="1"/>
          <w:szCs w:val="21"/>
          <w:highlight w:val="none"/>
          <w:lang w:val="zh-CN"/>
        </w:rPr>
        <w:t>4.6.1 出现下列情形之一的供应商响应文件按照无效处理：</w:t>
      </w:r>
    </w:p>
    <w:p>
      <w:pPr>
        <w:adjustRightInd w:val="0"/>
        <w:snapToGrid w:val="0"/>
        <w:spacing w:line="400" w:lineRule="exact"/>
        <w:ind w:firstLine="420"/>
        <w:rPr>
          <w:rFonts w:hint="eastAsia" w:ascii="宋体" w:hAnsi="宋体" w:eastAsia="宋体" w:cs="宋体"/>
          <w:kern w:val="21"/>
          <w:szCs w:val="21"/>
          <w:highlight w:val="none"/>
          <w:lang w:val="zh-CN"/>
        </w:rPr>
      </w:pPr>
      <w:bookmarkStart w:id="16" w:name="_Toc13708"/>
      <w:r>
        <w:rPr>
          <w:rFonts w:hint="eastAsia" w:ascii="宋体" w:hAnsi="宋体" w:eastAsia="宋体" w:cs="宋体"/>
          <w:kern w:val="21"/>
          <w:szCs w:val="21"/>
          <w:highlight w:val="none"/>
          <w:lang w:val="zh-CN"/>
        </w:rPr>
        <w:t>（</w:t>
      </w:r>
      <w:r>
        <w:rPr>
          <w:rFonts w:hint="eastAsia" w:ascii="宋体" w:hAnsi="宋体" w:eastAsia="宋体" w:cs="宋体"/>
          <w:kern w:val="21"/>
          <w:szCs w:val="21"/>
          <w:highlight w:val="none"/>
        </w:rPr>
        <w:t>1</w:t>
      </w:r>
      <w:r>
        <w:rPr>
          <w:rFonts w:hint="eastAsia" w:ascii="宋体" w:hAnsi="宋体" w:eastAsia="宋体" w:cs="宋体"/>
          <w:kern w:val="21"/>
          <w:szCs w:val="21"/>
          <w:highlight w:val="none"/>
          <w:lang w:val="zh-CN"/>
        </w:rPr>
        <w:t xml:space="preserve">）响应文件未按竞争性磋商文件要求签署、盖章的； </w:t>
      </w:r>
    </w:p>
    <w:p>
      <w:pPr>
        <w:adjustRightInd w:val="0"/>
        <w:snapToGrid w:val="0"/>
        <w:spacing w:line="400" w:lineRule="exact"/>
        <w:ind w:firstLine="420"/>
        <w:rPr>
          <w:rFonts w:hint="eastAsia" w:ascii="宋体" w:hAnsi="宋体" w:eastAsia="宋体" w:cs="宋体"/>
          <w:kern w:val="21"/>
          <w:szCs w:val="21"/>
          <w:highlight w:val="none"/>
          <w:lang w:val="zh-CN"/>
        </w:rPr>
      </w:pPr>
      <w:r>
        <w:rPr>
          <w:rFonts w:hint="eastAsia" w:ascii="宋体" w:hAnsi="宋体" w:eastAsia="宋体" w:cs="宋体"/>
          <w:kern w:val="21"/>
          <w:szCs w:val="21"/>
          <w:highlight w:val="none"/>
          <w:lang w:val="zh-CN"/>
        </w:rPr>
        <w:t>（</w:t>
      </w:r>
      <w:r>
        <w:rPr>
          <w:rFonts w:hint="eastAsia" w:ascii="宋体" w:hAnsi="宋体" w:eastAsia="宋体" w:cs="宋体"/>
          <w:kern w:val="21"/>
          <w:szCs w:val="21"/>
          <w:highlight w:val="none"/>
        </w:rPr>
        <w:t>2</w:t>
      </w:r>
      <w:r>
        <w:rPr>
          <w:rFonts w:hint="eastAsia" w:ascii="宋体" w:hAnsi="宋体" w:eastAsia="宋体" w:cs="宋体"/>
          <w:kern w:val="21"/>
          <w:szCs w:val="21"/>
          <w:highlight w:val="none"/>
          <w:lang w:val="zh-CN"/>
        </w:rPr>
        <w:t xml:space="preserve">）不具备竞争性磋商文件中规定的资格要求的； </w:t>
      </w:r>
    </w:p>
    <w:p>
      <w:pPr>
        <w:adjustRightInd w:val="0"/>
        <w:snapToGrid w:val="0"/>
        <w:spacing w:line="400" w:lineRule="exact"/>
        <w:ind w:firstLine="420"/>
        <w:rPr>
          <w:rFonts w:hint="eastAsia" w:ascii="宋体" w:hAnsi="宋体" w:eastAsia="宋体" w:cs="宋体"/>
          <w:kern w:val="21"/>
          <w:szCs w:val="21"/>
          <w:highlight w:val="none"/>
          <w:lang w:val="zh-CN"/>
        </w:rPr>
      </w:pPr>
      <w:r>
        <w:rPr>
          <w:rFonts w:hint="eastAsia" w:ascii="宋体" w:hAnsi="宋体" w:eastAsia="宋体" w:cs="宋体"/>
          <w:kern w:val="21"/>
          <w:szCs w:val="21"/>
          <w:highlight w:val="none"/>
          <w:lang w:val="zh-CN"/>
        </w:rPr>
        <w:t>（</w:t>
      </w:r>
      <w:r>
        <w:rPr>
          <w:rFonts w:hint="eastAsia" w:ascii="宋体" w:hAnsi="宋体" w:eastAsia="宋体" w:cs="宋体"/>
          <w:kern w:val="21"/>
          <w:szCs w:val="21"/>
          <w:highlight w:val="none"/>
        </w:rPr>
        <w:t>3</w:t>
      </w:r>
      <w:r>
        <w:rPr>
          <w:rFonts w:hint="eastAsia" w:ascii="宋体" w:hAnsi="宋体" w:eastAsia="宋体" w:cs="宋体"/>
          <w:kern w:val="21"/>
          <w:szCs w:val="21"/>
          <w:highlight w:val="none"/>
          <w:lang w:val="zh-CN"/>
        </w:rPr>
        <w:t xml:space="preserve">）报价超过竞争性磋商文件中规定的预算金额的； </w:t>
      </w:r>
    </w:p>
    <w:p>
      <w:pPr>
        <w:adjustRightInd w:val="0"/>
        <w:snapToGrid w:val="0"/>
        <w:spacing w:line="400" w:lineRule="exact"/>
        <w:ind w:firstLine="420"/>
        <w:rPr>
          <w:rFonts w:hint="eastAsia" w:ascii="宋体" w:hAnsi="宋体" w:eastAsia="宋体" w:cs="宋体"/>
          <w:kern w:val="21"/>
          <w:szCs w:val="21"/>
          <w:highlight w:val="none"/>
          <w:lang w:val="zh-CN"/>
        </w:rPr>
      </w:pPr>
      <w:r>
        <w:rPr>
          <w:rFonts w:hint="eastAsia" w:ascii="宋体" w:hAnsi="宋体" w:eastAsia="宋体" w:cs="宋体"/>
          <w:kern w:val="21"/>
          <w:szCs w:val="21"/>
          <w:highlight w:val="none"/>
          <w:lang w:val="zh-CN"/>
        </w:rPr>
        <w:t>（</w:t>
      </w:r>
      <w:r>
        <w:rPr>
          <w:rFonts w:hint="eastAsia" w:ascii="宋体" w:hAnsi="宋体" w:eastAsia="宋体" w:cs="宋体"/>
          <w:kern w:val="21"/>
          <w:szCs w:val="21"/>
          <w:highlight w:val="none"/>
        </w:rPr>
        <w:t>4</w:t>
      </w:r>
      <w:r>
        <w:rPr>
          <w:rFonts w:hint="eastAsia" w:ascii="宋体" w:hAnsi="宋体" w:eastAsia="宋体" w:cs="宋体"/>
          <w:kern w:val="21"/>
          <w:szCs w:val="21"/>
          <w:highlight w:val="none"/>
          <w:lang w:val="zh-CN"/>
        </w:rPr>
        <w:t>）响应文件含有采购人不能接受的附加条件的；</w:t>
      </w:r>
    </w:p>
    <w:p>
      <w:pPr>
        <w:adjustRightInd w:val="0"/>
        <w:snapToGrid w:val="0"/>
        <w:spacing w:line="400" w:lineRule="exact"/>
        <w:ind w:firstLine="420"/>
        <w:rPr>
          <w:rFonts w:hint="eastAsia" w:ascii="宋体" w:hAnsi="宋体" w:eastAsia="宋体" w:cs="宋体"/>
          <w:kern w:val="21"/>
          <w:szCs w:val="21"/>
          <w:highlight w:val="none"/>
          <w:lang w:val="zh-CN"/>
        </w:rPr>
      </w:pPr>
      <w:r>
        <w:rPr>
          <w:rFonts w:hint="eastAsia" w:ascii="宋体" w:hAnsi="宋体" w:eastAsia="宋体" w:cs="宋体"/>
          <w:kern w:val="21"/>
          <w:szCs w:val="21"/>
          <w:highlight w:val="none"/>
          <w:lang w:val="zh-CN"/>
        </w:rPr>
        <w:t>（</w:t>
      </w:r>
      <w:r>
        <w:rPr>
          <w:rFonts w:hint="eastAsia" w:ascii="宋体" w:hAnsi="宋体" w:eastAsia="宋体" w:cs="宋体"/>
          <w:kern w:val="21"/>
          <w:szCs w:val="21"/>
          <w:highlight w:val="none"/>
        </w:rPr>
        <w:t>5</w:t>
      </w:r>
      <w:r>
        <w:rPr>
          <w:rFonts w:hint="eastAsia" w:ascii="宋体" w:hAnsi="宋体" w:eastAsia="宋体" w:cs="宋体"/>
          <w:kern w:val="21"/>
          <w:szCs w:val="21"/>
          <w:highlight w:val="none"/>
          <w:lang w:val="zh-CN"/>
        </w:rPr>
        <w:t>）不按磋商小组要求澄清、说明或补正的；</w:t>
      </w:r>
    </w:p>
    <w:p>
      <w:pPr>
        <w:adjustRightInd w:val="0"/>
        <w:snapToGrid w:val="0"/>
        <w:spacing w:line="400" w:lineRule="exact"/>
        <w:ind w:firstLine="420"/>
        <w:rPr>
          <w:rFonts w:hint="eastAsia" w:ascii="宋体" w:hAnsi="宋体" w:eastAsia="宋体" w:cs="宋体"/>
          <w:highlight w:val="none"/>
          <w:lang w:val="zh-CN"/>
        </w:rPr>
      </w:pPr>
      <w:r>
        <w:rPr>
          <w:rFonts w:hint="eastAsia" w:ascii="宋体" w:hAnsi="宋体" w:eastAsia="宋体" w:cs="宋体"/>
          <w:kern w:val="21"/>
          <w:szCs w:val="21"/>
          <w:highlight w:val="none"/>
          <w:lang w:val="zh-CN"/>
        </w:rPr>
        <w:t>（</w:t>
      </w:r>
      <w:r>
        <w:rPr>
          <w:rFonts w:hint="eastAsia" w:ascii="宋体" w:hAnsi="宋体" w:eastAsia="宋体" w:cs="宋体"/>
          <w:kern w:val="21"/>
          <w:szCs w:val="21"/>
          <w:highlight w:val="none"/>
        </w:rPr>
        <w:t>6</w:t>
      </w:r>
      <w:r>
        <w:rPr>
          <w:rFonts w:hint="eastAsia" w:ascii="宋体" w:hAnsi="宋体" w:eastAsia="宋体" w:cs="宋体"/>
          <w:kern w:val="21"/>
          <w:szCs w:val="21"/>
          <w:highlight w:val="none"/>
          <w:lang w:val="zh-CN"/>
        </w:rPr>
        <w:t>）评审小组认定供应商以低于其成本报价竞标的；</w:t>
      </w:r>
    </w:p>
    <w:p>
      <w:pPr>
        <w:adjustRightInd w:val="0"/>
        <w:snapToGrid w:val="0"/>
        <w:spacing w:line="400" w:lineRule="exact"/>
        <w:ind w:firstLine="420" w:firstLineChars="200"/>
        <w:jc w:val="left"/>
        <w:rPr>
          <w:rFonts w:hint="eastAsia" w:ascii="宋体" w:hAnsi="宋体" w:eastAsia="宋体" w:cs="宋体"/>
          <w:kern w:val="21"/>
          <w:szCs w:val="21"/>
          <w:highlight w:val="none"/>
        </w:rPr>
      </w:pPr>
      <w:r>
        <w:rPr>
          <w:rFonts w:hint="eastAsia" w:ascii="宋体" w:hAnsi="宋体" w:eastAsia="宋体" w:cs="宋体"/>
          <w:kern w:val="21"/>
          <w:szCs w:val="21"/>
          <w:highlight w:val="none"/>
        </w:rPr>
        <w:t>（7）</w:t>
      </w:r>
      <w:r>
        <w:rPr>
          <w:rFonts w:hint="eastAsia" w:ascii="宋体" w:hAnsi="宋体" w:eastAsia="宋体" w:cs="宋体"/>
          <w:kern w:val="21"/>
          <w:szCs w:val="21"/>
          <w:highlight w:val="none"/>
          <w:lang w:val="zh-CN"/>
        </w:rPr>
        <w:t xml:space="preserve">法律、法规和竞争性磋商文件规定的其他无效情形。 </w:t>
      </w:r>
    </w:p>
    <w:p>
      <w:pPr>
        <w:adjustRightInd w:val="0"/>
        <w:snapToGrid w:val="0"/>
        <w:spacing w:line="400" w:lineRule="exact"/>
        <w:ind w:firstLine="420"/>
        <w:rPr>
          <w:rFonts w:hint="eastAsia" w:ascii="宋体" w:hAnsi="宋体" w:eastAsia="宋体" w:cs="宋体"/>
          <w:bCs/>
          <w:kern w:val="1"/>
          <w:szCs w:val="21"/>
          <w:highlight w:val="none"/>
          <w:lang w:val="zh-CN"/>
        </w:rPr>
      </w:pPr>
      <w:r>
        <w:rPr>
          <w:rFonts w:hint="eastAsia" w:ascii="宋体" w:hAnsi="宋体" w:eastAsia="宋体" w:cs="宋体"/>
          <w:bCs/>
          <w:kern w:val="1"/>
          <w:szCs w:val="21"/>
          <w:highlight w:val="none"/>
        </w:rPr>
        <w:t>4.6.2</w:t>
      </w:r>
      <w:r>
        <w:rPr>
          <w:rFonts w:hint="eastAsia" w:ascii="宋体" w:hAnsi="宋体" w:eastAsia="宋体" w:cs="宋体"/>
          <w:bCs/>
          <w:kern w:val="1"/>
          <w:szCs w:val="21"/>
          <w:highlight w:val="none"/>
          <w:lang w:val="zh-CN"/>
        </w:rPr>
        <w:t xml:space="preserve">有下列情形之一的，视为供应商串通投标，其投标无效： </w:t>
      </w:r>
    </w:p>
    <w:p>
      <w:pPr>
        <w:adjustRightInd w:val="0"/>
        <w:snapToGrid w:val="0"/>
        <w:spacing w:line="400" w:lineRule="exact"/>
        <w:ind w:firstLine="420"/>
        <w:rPr>
          <w:rFonts w:hint="eastAsia" w:ascii="宋体" w:hAnsi="宋体" w:eastAsia="宋体" w:cs="宋体"/>
          <w:kern w:val="21"/>
          <w:szCs w:val="21"/>
          <w:highlight w:val="none"/>
          <w:lang w:val="zh-CN"/>
        </w:rPr>
      </w:pPr>
      <w:r>
        <w:rPr>
          <w:rFonts w:hint="eastAsia" w:ascii="宋体" w:hAnsi="宋体" w:eastAsia="宋体" w:cs="宋体"/>
          <w:kern w:val="21"/>
          <w:szCs w:val="21"/>
          <w:highlight w:val="none"/>
          <w:lang w:val="zh-CN"/>
        </w:rPr>
        <w:t>（1）串通投标或弄虚作假或有其他违法行为的；</w:t>
      </w:r>
    </w:p>
    <w:p>
      <w:pPr>
        <w:adjustRightInd w:val="0"/>
        <w:snapToGrid w:val="0"/>
        <w:spacing w:line="400" w:lineRule="exact"/>
        <w:ind w:firstLine="420"/>
        <w:rPr>
          <w:rFonts w:hint="eastAsia" w:ascii="宋体" w:hAnsi="宋体" w:eastAsia="宋体" w:cs="宋体"/>
          <w:kern w:val="21"/>
          <w:szCs w:val="21"/>
          <w:highlight w:val="none"/>
          <w:lang w:val="zh-CN"/>
        </w:rPr>
      </w:pPr>
      <w:r>
        <w:rPr>
          <w:rFonts w:hint="eastAsia" w:ascii="宋体" w:hAnsi="宋体" w:eastAsia="宋体" w:cs="宋体"/>
          <w:kern w:val="21"/>
          <w:szCs w:val="21"/>
          <w:highlight w:val="none"/>
          <w:lang w:val="zh-CN"/>
        </w:rPr>
        <w:t>（</w:t>
      </w:r>
      <w:r>
        <w:rPr>
          <w:rFonts w:hint="eastAsia" w:ascii="宋体" w:hAnsi="宋体" w:eastAsia="宋体" w:cs="宋体"/>
          <w:kern w:val="21"/>
          <w:szCs w:val="21"/>
          <w:highlight w:val="none"/>
        </w:rPr>
        <w:t>2</w:t>
      </w:r>
      <w:r>
        <w:rPr>
          <w:rFonts w:hint="eastAsia" w:ascii="宋体" w:hAnsi="宋体" w:eastAsia="宋体" w:cs="宋体"/>
          <w:kern w:val="21"/>
          <w:szCs w:val="21"/>
          <w:highlight w:val="none"/>
          <w:lang w:val="zh-CN"/>
        </w:rPr>
        <w:t xml:space="preserve">）不同供应商的响应文件载明的项目管理成员或者联系人员为同一人； </w:t>
      </w:r>
    </w:p>
    <w:p>
      <w:pPr>
        <w:adjustRightInd w:val="0"/>
        <w:snapToGrid w:val="0"/>
        <w:spacing w:line="400" w:lineRule="exact"/>
        <w:ind w:firstLine="420"/>
        <w:rPr>
          <w:rFonts w:hint="eastAsia" w:ascii="宋体" w:hAnsi="宋体" w:eastAsia="宋体" w:cs="宋体"/>
          <w:kern w:val="21"/>
          <w:szCs w:val="21"/>
          <w:highlight w:val="none"/>
          <w:lang w:val="zh-CN"/>
        </w:rPr>
      </w:pPr>
      <w:r>
        <w:rPr>
          <w:rFonts w:hint="eastAsia" w:ascii="宋体" w:hAnsi="宋体" w:eastAsia="宋体" w:cs="宋体"/>
          <w:kern w:val="21"/>
          <w:szCs w:val="21"/>
          <w:highlight w:val="none"/>
          <w:lang w:val="zh-CN"/>
        </w:rPr>
        <w:t>（</w:t>
      </w:r>
      <w:r>
        <w:rPr>
          <w:rFonts w:hint="eastAsia" w:ascii="宋体" w:hAnsi="宋体" w:eastAsia="宋体" w:cs="宋体"/>
          <w:kern w:val="21"/>
          <w:szCs w:val="21"/>
          <w:highlight w:val="none"/>
        </w:rPr>
        <w:t>3</w:t>
      </w:r>
      <w:r>
        <w:rPr>
          <w:rFonts w:hint="eastAsia" w:ascii="宋体" w:hAnsi="宋体" w:eastAsia="宋体" w:cs="宋体"/>
          <w:kern w:val="21"/>
          <w:szCs w:val="21"/>
          <w:highlight w:val="none"/>
          <w:lang w:val="zh-CN"/>
        </w:rPr>
        <w:t>）评审系统显示响应文件制作机器码一致的预警信息。</w:t>
      </w:r>
    </w:p>
    <w:p>
      <w:pPr>
        <w:adjustRightInd w:val="0"/>
        <w:snapToGrid w:val="0"/>
        <w:spacing w:line="400" w:lineRule="exact"/>
        <w:rPr>
          <w:rFonts w:hint="eastAsia" w:ascii="宋体" w:hAnsi="宋体" w:eastAsia="宋体" w:cs="宋体"/>
          <w:b/>
          <w:kern w:val="1"/>
          <w:szCs w:val="21"/>
          <w:highlight w:val="none"/>
        </w:rPr>
      </w:pPr>
      <w:r>
        <w:rPr>
          <w:rFonts w:hint="eastAsia" w:ascii="宋体" w:hAnsi="宋体" w:eastAsia="宋体" w:cs="宋体"/>
          <w:bCs/>
          <w:kern w:val="1"/>
          <w:szCs w:val="21"/>
          <w:highlight w:val="none"/>
        </w:rPr>
        <w:t xml:space="preserve"> </w:t>
      </w:r>
      <w:r>
        <w:rPr>
          <w:rFonts w:hint="eastAsia" w:ascii="宋体" w:hAnsi="宋体" w:eastAsia="宋体" w:cs="宋体"/>
          <w:b/>
          <w:kern w:val="1"/>
          <w:szCs w:val="21"/>
          <w:highlight w:val="none"/>
          <w:lang w:val="zh-CN"/>
        </w:rPr>
        <w:t xml:space="preserve">4.7 </w:t>
      </w:r>
      <w:r>
        <w:rPr>
          <w:rFonts w:hint="eastAsia" w:ascii="宋体" w:hAnsi="宋体" w:eastAsia="宋体" w:cs="宋体"/>
          <w:b/>
          <w:kern w:val="1"/>
          <w:szCs w:val="21"/>
          <w:highlight w:val="none"/>
        </w:rPr>
        <w:t>出现下列情形之一的磋商终止：</w:t>
      </w:r>
      <w:bookmarkEnd w:id="16"/>
    </w:p>
    <w:p>
      <w:pPr>
        <w:adjustRightInd w:val="0"/>
        <w:snapToGrid w:val="0"/>
        <w:spacing w:line="400" w:lineRule="exact"/>
        <w:ind w:firstLine="420"/>
        <w:rPr>
          <w:rFonts w:hint="eastAsia" w:ascii="宋体" w:hAnsi="宋体" w:eastAsia="宋体" w:cs="宋体"/>
          <w:kern w:val="1"/>
          <w:szCs w:val="21"/>
          <w:highlight w:val="none"/>
          <w:lang w:val="zh-CN"/>
        </w:rPr>
      </w:pPr>
      <w:bookmarkStart w:id="17" w:name="_Toc32350"/>
      <w:r>
        <w:rPr>
          <w:rFonts w:hint="eastAsia" w:ascii="宋体" w:hAnsi="宋体" w:eastAsia="宋体" w:cs="宋体"/>
          <w:kern w:val="1"/>
          <w:szCs w:val="21"/>
          <w:highlight w:val="none"/>
          <w:lang w:val="zh-CN"/>
        </w:rPr>
        <w:t>（1）所有供应商的响应文件被磋商小组认定为无效的；</w:t>
      </w:r>
      <w:bookmarkEnd w:id="17"/>
    </w:p>
    <w:p>
      <w:pPr>
        <w:adjustRightInd w:val="0"/>
        <w:snapToGrid w:val="0"/>
        <w:spacing w:line="400" w:lineRule="exact"/>
        <w:ind w:firstLine="420"/>
        <w:rPr>
          <w:rFonts w:hint="eastAsia" w:ascii="宋体" w:hAnsi="宋体" w:eastAsia="宋体" w:cs="宋体"/>
          <w:b/>
          <w:kern w:val="1"/>
          <w:szCs w:val="21"/>
          <w:highlight w:val="none"/>
          <w:lang w:val="zh-CN"/>
        </w:rPr>
      </w:pPr>
      <w:bookmarkStart w:id="18" w:name="_Toc27449"/>
      <w:r>
        <w:rPr>
          <w:rFonts w:hint="eastAsia" w:ascii="宋体" w:hAnsi="宋体" w:eastAsia="宋体" w:cs="宋体"/>
          <w:kern w:val="1"/>
          <w:szCs w:val="21"/>
          <w:highlight w:val="none"/>
          <w:lang w:val="zh-CN"/>
        </w:rPr>
        <w:t>（2）出现影响招标公正的违法、违规行为的；</w:t>
      </w:r>
      <w:bookmarkEnd w:id="18"/>
    </w:p>
    <w:p>
      <w:pPr>
        <w:adjustRightInd w:val="0"/>
        <w:snapToGrid w:val="0"/>
        <w:spacing w:line="400" w:lineRule="exact"/>
        <w:ind w:firstLine="420"/>
        <w:rPr>
          <w:rFonts w:hint="eastAsia" w:ascii="宋体" w:hAnsi="宋体" w:eastAsia="宋体" w:cs="宋体"/>
          <w:kern w:val="1"/>
          <w:szCs w:val="21"/>
          <w:highlight w:val="none"/>
          <w:lang w:val="zh-CN"/>
        </w:rPr>
      </w:pPr>
      <w:bookmarkStart w:id="19" w:name="_Toc26533"/>
      <w:r>
        <w:rPr>
          <w:rFonts w:hint="eastAsia" w:ascii="宋体" w:hAnsi="宋体" w:eastAsia="宋体" w:cs="宋体"/>
          <w:kern w:val="1"/>
          <w:szCs w:val="21"/>
          <w:highlight w:val="none"/>
          <w:lang w:val="zh-CN"/>
        </w:rPr>
        <w:t>（3）供应商的最终报价超过招标预算，且采购人不能支付的；</w:t>
      </w:r>
      <w:bookmarkEnd w:id="19"/>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（4）因重大变故，招标任务取消的；</w:t>
      </w:r>
    </w:p>
    <w:p>
      <w:pPr>
        <w:adjustRightInd w:val="0"/>
        <w:snapToGrid w:val="0"/>
        <w:spacing w:line="40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 xml:space="preserve">（5）竞争性磋商文件本身原因或供应商不能满足需求等。 </w:t>
      </w:r>
    </w:p>
    <w:p>
      <w:pPr>
        <w:adjustRightInd w:val="0"/>
        <w:snapToGrid w:val="0"/>
        <w:spacing w:line="400" w:lineRule="exact"/>
        <w:rPr>
          <w:rFonts w:hint="eastAsia" w:ascii="宋体" w:hAnsi="宋体" w:eastAsia="宋体" w:cs="宋体"/>
          <w:b/>
          <w:bCs/>
          <w:szCs w:val="21"/>
          <w:highlight w:val="none"/>
        </w:rPr>
      </w:pPr>
      <w:r>
        <w:rPr>
          <w:rFonts w:hint="eastAsia" w:ascii="宋体" w:hAnsi="宋体" w:eastAsia="宋体" w:cs="宋体"/>
          <w:b/>
          <w:bCs/>
          <w:szCs w:val="21"/>
          <w:highlight w:val="none"/>
        </w:rPr>
        <w:t>4.8 出现下列情形之一的，采购人或者采购代理机构应当终止竞争性磋商采购活动，发布项目终止公告并说明原因，重新开展采购活动：</w:t>
      </w:r>
    </w:p>
    <w:p>
      <w:pPr>
        <w:adjustRightInd w:val="0"/>
        <w:snapToGrid w:val="0"/>
        <w:spacing w:line="400" w:lineRule="exact"/>
        <w:ind w:firstLine="420" w:firstLineChars="200"/>
        <w:rPr>
          <w:rFonts w:hint="eastAsia" w:ascii="宋体" w:hAnsi="宋体" w:eastAsia="宋体" w:cs="宋体"/>
          <w:szCs w:val="21"/>
          <w:highlight w:val="none"/>
        </w:rPr>
      </w:pPr>
      <w:bookmarkStart w:id="20" w:name="_Toc7838"/>
      <w:r>
        <w:rPr>
          <w:rFonts w:hint="eastAsia" w:ascii="宋体" w:hAnsi="宋体" w:eastAsia="宋体" w:cs="宋体"/>
          <w:szCs w:val="21"/>
          <w:highlight w:val="none"/>
        </w:rPr>
        <w:t>（1）因情况变化，不再符合规定的竞争性磋商招标方式适用情形的；</w:t>
      </w:r>
      <w:bookmarkEnd w:id="20"/>
    </w:p>
    <w:p>
      <w:pPr>
        <w:adjustRightInd w:val="0"/>
        <w:snapToGrid w:val="0"/>
        <w:spacing w:line="400" w:lineRule="exact"/>
        <w:ind w:firstLine="420" w:firstLineChars="200"/>
        <w:rPr>
          <w:rFonts w:hint="eastAsia" w:ascii="宋体" w:hAnsi="宋体" w:eastAsia="宋体" w:cs="宋体"/>
          <w:szCs w:val="21"/>
          <w:highlight w:val="none"/>
        </w:rPr>
      </w:pPr>
      <w:bookmarkStart w:id="21" w:name="_Toc21865"/>
      <w:r>
        <w:rPr>
          <w:rFonts w:hint="eastAsia" w:ascii="宋体" w:hAnsi="宋体" w:eastAsia="宋体" w:cs="宋体"/>
          <w:szCs w:val="21"/>
          <w:highlight w:val="none"/>
        </w:rPr>
        <w:t>（2）出现影响采购公正的违法、违规行为的；</w:t>
      </w:r>
      <w:bookmarkEnd w:id="21"/>
    </w:p>
    <w:p>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（3）在招标过程中符合竞争要求的供应商或者报价未超过招标预算的供应商不足3家的，但技术复杂或者性质特殊，不能确定详细规格或者具体要求的情形除外。</w:t>
      </w:r>
    </w:p>
    <w:p>
      <w:pPr>
        <w:adjustRightInd w:val="0"/>
        <w:snapToGrid w:val="0"/>
        <w:spacing w:line="400" w:lineRule="exact"/>
        <w:jc w:val="center"/>
        <w:outlineLvl w:val="1"/>
        <w:rPr>
          <w:rFonts w:hint="eastAsia" w:ascii="宋体" w:hAnsi="宋体" w:eastAsia="宋体" w:cs="宋体"/>
          <w:kern w:val="1"/>
          <w:szCs w:val="21"/>
          <w:highlight w:val="none"/>
          <w:lang w:val="zh-CN"/>
        </w:rPr>
      </w:pPr>
      <w:bookmarkStart w:id="22" w:name="_Toc4572"/>
      <w:r>
        <w:rPr>
          <w:rFonts w:hint="eastAsia" w:ascii="宋体" w:hAnsi="宋体" w:eastAsia="宋体" w:cs="宋体"/>
          <w:b/>
          <w:bCs/>
          <w:kern w:val="1"/>
          <w:szCs w:val="21"/>
          <w:highlight w:val="none"/>
          <w:lang w:val="zh-CN"/>
        </w:rPr>
        <w:t>五、合同授予</w:t>
      </w:r>
      <w:bookmarkEnd w:id="22"/>
    </w:p>
    <w:p>
      <w:pPr>
        <w:adjustRightInd w:val="0"/>
        <w:snapToGrid w:val="0"/>
        <w:spacing w:line="380" w:lineRule="exact"/>
        <w:rPr>
          <w:rFonts w:hint="eastAsia" w:ascii="宋体" w:hAnsi="宋体" w:eastAsia="宋体" w:cs="宋体"/>
          <w:b/>
          <w:kern w:val="1"/>
          <w:szCs w:val="21"/>
          <w:highlight w:val="none"/>
          <w:lang w:val="zh-CN"/>
        </w:rPr>
      </w:pPr>
      <w:r>
        <w:rPr>
          <w:rFonts w:hint="eastAsia" w:ascii="宋体" w:hAnsi="宋体" w:eastAsia="宋体" w:cs="宋体"/>
          <w:b/>
          <w:kern w:val="1"/>
          <w:szCs w:val="21"/>
          <w:highlight w:val="none"/>
          <w:lang w:val="zh-CN"/>
        </w:rPr>
        <w:t>5.1 成交候选人的公示</w:t>
      </w:r>
    </w:p>
    <w:p>
      <w:pPr>
        <w:adjustRightInd w:val="0"/>
        <w:snapToGrid w:val="0"/>
        <w:spacing w:line="380" w:lineRule="exact"/>
        <w:rPr>
          <w:rFonts w:hint="eastAsia" w:ascii="宋体" w:hAnsi="宋体" w:eastAsia="宋体" w:cs="宋体"/>
          <w:b/>
          <w:kern w:val="1"/>
          <w:szCs w:val="21"/>
          <w:highlight w:val="none"/>
        </w:rPr>
      </w:pPr>
      <w:r>
        <w:rPr>
          <w:rFonts w:hint="eastAsia" w:ascii="宋体" w:hAnsi="宋体" w:eastAsia="宋体" w:cs="宋体"/>
          <w:b/>
          <w:kern w:val="1"/>
          <w:szCs w:val="21"/>
          <w:highlight w:val="none"/>
        </w:rPr>
        <w:t xml:space="preserve"> </w:t>
      </w:r>
      <w:r>
        <w:rPr>
          <w:rFonts w:hint="eastAsia" w:ascii="宋体" w:hAnsi="宋体" w:eastAsia="宋体" w:cs="宋体"/>
          <w:bCs/>
          <w:kern w:val="1"/>
          <w:szCs w:val="21"/>
          <w:highlight w:val="none"/>
        </w:rPr>
        <w:t xml:space="preserve">   5.1.1除供应商须知前附表规定磋商小组直接确定成交人外，采购人依据磋商小组推荐的中标候选人确定成交人。</w:t>
      </w:r>
    </w:p>
    <w:p>
      <w:pPr>
        <w:adjustRightInd w:val="0"/>
        <w:snapToGrid w:val="0"/>
        <w:spacing w:line="380" w:lineRule="exact"/>
        <w:ind w:firstLine="409"/>
        <w:rPr>
          <w:rFonts w:hint="eastAsia" w:ascii="宋体" w:hAnsi="宋体" w:eastAsia="宋体" w:cs="宋体"/>
          <w:bCs/>
          <w:szCs w:val="21"/>
          <w:highlight w:val="none"/>
        </w:rPr>
      </w:pPr>
      <w:r>
        <w:rPr>
          <w:rFonts w:hint="eastAsia" w:ascii="宋体" w:hAnsi="宋体" w:eastAsia="宋体" w:cs="宋体"/>
          <w:bCs/>
          <w:szCs w:val="21"/>
          <w:highlight w:val="none"/>
        </w:rPr>
        <w:t>5.1.2采购代理机构应当在评审结束后2个工作日内将评审报告送采购人确认。</w:t>
      </w:r>
    </w:p>
    <w:p>
      <w:pPr>
        <w:adjustRightInd w:val="0"/>
        <w:snapToGrid w:val="0"/>
        <w:spacing w:line="380" w:lineRule="exact"/>
        <w:ind w:firstLine="420"/>
        <w:rPr>
          <w:rFonts w:hint="eastAsia" w:ascii="宋体" w:hAnsi="宋体" w:eastAsia="宋体" w:cs="宋体"/>
          <w:bCs/>
          <w:szCs w:val="21"/>
          <w:highlight w:val="none"/>
        </w:rPr>
      </w:pPr>
      <w:r>
        <w:rPr>
          <w:rFonts w:hint="eastAsia" w:ascii="宋体" w:hAnsi="宋体" w:eastAsia="宋体" w:cs="宋体"/>
          <w:bCs/>
          <w:szCs w:val="21"/>
          <w:highlight w:val="none"/>
        </w:rPr>
        <w:t>5.1.3采购人应当在收到评审报告后5个工作日内，从评审报告提出的成交候选人中，根据质量和服务均能满足采购文件实质性响应要求且最后报价最低的原则确定成交供应商，也可以书面授权磋商小组直接确定成交供应商。采购人逾期未确定成交供应商且不提出异议的，视为确定评审报告提出的最后报价最低的供应商为成交供应商。</w:t>
      </w:r>
    </w:p>
    <w:p>
      <w:pPr>
        <w:adjustRightInd w:val="0"/>
        <w:snapToGrid w:val="0"/>
        <w:spacing w:line="380" w:lineRule="exact"/>
        <w:ind w:firstLine="420"/>
        <w:rPr>
          <w:rFonts w:hint="eastAsia" w:ascii="宋体" w:hAnsi="宋体" w:eastAsia="宋体" w:cs="宋体"/>
          <w:bCs/>
          <w:kern w:val="1"/>
          <w:szCs w:val="21"/>
          <w:highlight w:val="none"/>
          <w:lang w:val="zh-CN"/>
        </w:rPr>
      </w:pPr>
      <w:r>
        <w:rPr>
          <w:rFonts w:hint="eastAsia" w:ascii="宋体" w:hAnsi="宋体" w:eastAsia="宋体" w:cs="宋体"/>
          <w:bCs/>
          <w:szCs w:val="21"/>
          <w:highlight w:val="none"/>
        </w:rPr>
        <w:t>5.1.4</w:t>
      </w:r>
      <w:r>
        <w:rPr>
          <w:rFonts w:hint="eastAsia" w:ascii="宋体" w:hAnsi="宋体" w:eastAsia="宋体" w:cs="宋体"/>
          <w:bCs/>
          <w:kern w:val="1"/>
          <w:szCs w:val="21"/>
          <w:highlight w:val="none"/>
          <w:lang w:val="zh-CN"/>
        </w:rPr>
        <w:t>在成交通知书发出前，采购人将成交候选人的情况同时在《河南省政府采购网》、《鹤壁市公共资源交易服务平台》</w:t>
      </w:r>
      <w:r>
        <w:rPr>
          <w:rFonts w:hint="eastAsia" w:ascii="宋体" w:hAnsi="宋体" w:eastAsia="宋体" w:cs="宋体"/>
          <w:bCs/>
          <w:kern w:val="1"/>
          <w:szCs w:val="21"/>
          <w:highlight w:val="none"/>
        </w:rPr>
        <w:t>上发布，</w:t>
      </w:r>
      <w:r>
        <w:rPr>
          <w:rFonts w:hint="eastAsia" w:ascii="宋体" w:hAnsi="宋体" w:eastAsia="宋体" w:cs="宋体"/>
          <w:bCs/>
          <w:kern w:val="1"/>
          <w:szCs w:val="21"/>
          <w:highlight w:val="none"/>
          <w:lang w:val="zh-CN"/>
        </w:rPr>
        <w:t>公示期不少于</w:t>
      </w:r>
      <w:r>
        <w:rPr>
          <w:rFonts w:hint="eastAsia" w:ascii="宋体" w:hAnsi="宋体" w:eastAsia="宋体" w:cs="宋体"/>
          <w:bCs/>
          <w:kern w:val="1"/>
          <w:szCs w:val="21"/>
          <w:highlight w:val="none"/>
        </w:rPr>
        <w:t>1</w:t>
      </w:r>
      <w:r>
        <w:rPr>
          <w:rFonts w:hint="eastAsia" w:ascii="宋体" w:hAnsi="宋体" w:eastAsia="宋体" w:cs="宋体"/>
          <w:bCs/>
          <w:kern w:val="1"/>
          <w:szCs w:val="21"/>
          <w:highlight w:val="none"/>
          <w:lang w:val="zh-CN"/>
        </w:rPr>
        <w:t>个工作日。</w:t>
      </w:r>
    </w:p>
    <w:p>
      <w:pPr>
        <w:adjustRightInd w:val="0"/>
        <w:snapToGrid w:val="0"/>
        <w:spacing w:line="380" w:lineRule="exact"/>
        <w:rPr>
          <w:rFonts w:hint="eastAsia" w:ascii="宋体" w:hAnsi="宋体" w:eastAsia="宋体" w:cs="宋体"/>
          <w:b/>
          <w:kern w:val="1"/>
          <w:szCs w:val="21"/>
          <w:highlight w:val="none"/>
          <w:lang w:val="zh-CN"/>
        </w:rPr>
      </w:pPr>
      <w:r>
        <w:rPr>
          <w:rFonts w:hint="eastAsia" w:ascii="宋体" w:hAnsi="宋体" w:eastAsia="宋体" w:cs="宋体"/>
          <w:b/>
          <w:kern w:val="1"/>
          <w:szCs w:val="21"/>
          <w:highlight w:val="none"/>
          <w:lang w:val="zh-CN"/>
        </w:rPr>
        <w:t>5.2 中标通知</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在竞争性磋商须知前附表规定的有效期内，采购人以书面形式向成交人发出成交通知书。</w:t>
      </w:r>
    </w:p>
    <w:p>
      <w:pPr>
        <w:adjustRightInd w:val="0"/>
        <w:snapToGrid w:val="0"/>
        <w:spacing w:line="380" w:lineRule="exact"/>
        <w:rPr>
          <w:rFonts w:hint="eastAsia" w:ascii="宋体" w:hAnsi="宋体" w:eastAsia="宋体" w:cs="宋体"/>
          <w:b/>
          <w:kern w:val="1"/>
          <w:szCs w:val="21"/>
          <w:highlight w:val="none"/>
          <w:lang w:val="zh-CN"/>
        </w:rPr>
      </w:pPr>
      <w:r>
        <w:rPr>
          <w:rFonts w:hint="eastAsia" w:ascii="宋体" w:hAnsi="宋体" w:eastAsia="宋体" w:cs="宋体"/>
          <w:b/>
          <w:kern w:val="1"/>
          <w:szCs w:val="21"/>
          <w:highlight w:val="none"/>
          <w:lang w:val="zh-CN"/>
        </w:rPr>
        <w:t>5.3 签订合同</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5.4.1成交供应商应当按照竞争性磋商文件和中标供应商响应文件的约定与采购人签订政府采购合同，所签订的合同不得对竞争性磋商文件和中标供应商的响应文件作实质性修改。</w:t>
      </w:r>
    </w:p>
    <w:p>
      <w:pPr>
        <w:adjustRightInd w:val="0"/>
        <w:snapToGrid w:val="0"/>
        <w:spacing w:line="38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lang w:val="zh-CN"/>
        </w:rPr>
        <w:t>5.4.2</w:t>
      </w:r>
      <w:r>
        <w:rPr>
          <w:rFonts w:hint="eastAsia" w:ascii="宋体" w:hAnsi="宋体" w:eastAsia="宋体" w:cs="宋体"/>
          <w:kern w:val="1"/>
          <w:szCs w:val="21"/>
          <w:highlight w:val="none"/>
        </w:rPr>
        <w:t>采购人不得向成交供应商提出任何不合理的要求作为签订合同的条件，不得与成交供应商私下订立背离合同实质性内容的协议。</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 xml:space="preserve">5.4.3 </w:t>
      </w:r>
      <w:r>
        <w:rPr>
          <w:rFonts w:hint="eastAsia" w:ascii="宋体" w:hAnsi="宋体" w:eastAsia="宋体" w:cs="宋体"/>
          <w:kern w:val="1"/>
          <w:szCs w:val="21"/>
          <w:highlight w:val="none"/>
          <w:lang w:val="zh-CN"/>
        </w:rPr>
        <w:t>成交供应商因不可抗力或者自身原因不能履行政府采购合同的，采购人可以视情与排位在成交供应商之后第一位的成交候选供应商签订政府采购合同，以此类推。</w:t>
      </w:r>
    </w:p>
    <w:p>
      <w:pPr>
        <w:numPr>
          <w:ilvl w:val="0"/>
          <w:numId w:val="5"/>
        </w:numPr>
        <w:adjustRightInd w:val="0"/>
        <w:snapToGrid w:val="0"/>
        <w:spacing w:line="380" w:lineRule="exact"/>
        <w:jc w:val="center"/>
        <w:outlineLvl w:val="1"/>
        <w:rPr>
          <w:rFonts w:hint="eastAsia" w:ascii="宋体" w:hAnsi="宋体" w:eastAsia="宋体" w:cs="宋体"/>
          <w:b/>
          <w:kern w:val="1"/>
          <w:szCs w:val="21"/>
          <w:highlight w:val="none"/>
          <w:lang w:val="zh-CN"/>
        </w:rPr>
      </w:pPr>
      <w:bookmarkStart w:id="23" w:name="_Toc32275"/>
      <w:bookmarkStart w:id="24" w:name="_Toc15506"/>
      <w:r>
        <w:rPr>
          <w:rFonts w:hint="eastAsia" w:ascii="宋体" w:hAnsi="宋体" w:eastAsia="宋体" w:cs="宋体"/>
          <w:b/>
          <w:kern w:val="1"/>
          <w:szCs w:val="21"/>
          <w:highlight w:val="none"/>
          <w:lang w:val="zh-CN"/>
        </w:rPr>
        <w:t>质疑和投诉</w:t>
      </w:r>
      <w:bookmarkEnd w:id="23"/>
      <w:bookmarkEnd w:id="24"/>
    </w:p>
    <w:p>
      <w:pPr>
        <w:adjustRightInd w:val="0"/>
        <w:snapToGrid w:val="0"/>
        <w:spacing w:line="380" w:lineRule="exact"/>
        <w:rPr>
          <w:rFonts w:hint="eastAsia" w:ascii="宋体" w:hAnsi="宋体" w:eastAsia="宋体" w:cs="宋体"/>
          <w:b/>
          <w:kern w:val="1"/>
          <w:szCs w:val="21"/>
          <w:highlight w:val="none"/>
          <w:lang w:val="zh-CN"/>
        </w:rPr>
      </w:pPr>
      <w:r>
        <w:rPr>
          <w:rFonts w:hint="eastAsia" w:ascii="宋体" w:hAnsi="宋体" w:eastAsia="宋体" w:cs="宋体"/>
          <w:b/>
          <w:kern w:val="1"/>
          <w:szCs w:val="21"/>
          <w:highlight w:val="none"/>
          <w:lang w:val="zh-CN"/>
        </w:rPr>
        <w:t>6.1 质疑和投诉</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6.1.1 供应商对采购活动事项有疑问的，可以向采购代理机构提出询问，采购代理机构将依法作出答复，但答复的内容不涉及商业秘密；采购代理机构只接受相关供应商针对本竞争性磋商文件中相关技术指标及磋商文件的疑问和质疑。</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6.1.2 供应商认为磋商文件、磋商过程和成交结果使自己的合法权益受到损害的，可以在知道或者应当知道其权益受到损害之日起7个工作日内，以书面形式向采购代理机构提出质疑。</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6.1.3 质疑文件按照“谁主张、谁举证”的原则，附上相关证明材料。否则，采购代理机构不予受理。</w:t>
      </w:r>
    </w:p>
    <w:p>
      <w:pPr>
        <w:adjustRightInd w:val="0"/>
        <w:snapToGrid w:val="0"/>
        <w:spacing w:line="380" w:lineRule="exact"/>
        <w:ind w:firstLine="420"/>
        <w:rPr>
          <w:rFonts w:hint="eastAsia" w:ascii="宋体" w:hAnsi="宋体" w:eastAsia="宋体" w:cs="宋体"/>
          <w:kern w:val="1"/>
          <w:szCs w:val="21"/>
          <w:highlight w:val="none"/>
          <w:lang w:val="zh-CN"/>
        </w:rPr>
      </w:pPr>
      <w:bookmarkStart w:id="25" w:name="_Toc382209978"/>
      <w:bookmarkStart w:id="26" w:name="_Toc184635136"/>
      <w:r>
        <w:rPr>
          <w:rFonts w:hint="eastAsia" w:ascii="宋体" w:hAnsi="宋体" w:eastAsia="宋体" w:cs="宋体"/>
          <w:kern w:val="1"/>
          <w:szCs w:val="21"/>
          <w:highlight w:val="none"/>
        </w:rPr>
        <w:t>6.2</w:t>
      </w:r>
      <w:r>
        <w:rPr>
          <w:rFonts w:hint="eastAsia" w:ascii="宋体" w:hAnsi="宋体" w:eastAsia="宋体" w:cs="宋体"/>
          <w:kern w:val="1"/>
          <w:szCs w:val="21"/>
          <w:highlight w:val="none"/>
          <w:lang w:val="zh-CN"/>
        </w:rPr>
        <w:t xml:space="preserve"> 有下列情形之一的，属于无效质疑，采购人、采购代理机构可不予受理：</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6.2.1</w:t>
      </w:r>
      <w:r>
        <w:rPr>
          <w:rFonts w:hint="eastAsia" w:ascii="宋体" w:hAnsi="宋体" w:eastAsia="宋体" w:cs="宋体"/>
          <w:kern w:val="1"/>
          <w:szCs w:val="21"/>
          <w:highlight w:val="none"/>
          <w:lang w:val="zh-CN"/>
        </w:rPr>
        <w:t xml:space="preserve"> 未在法定期限内提出质疑的；</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6.2.2</w:t>
      </w:r>
      <w:r>
        <w:rPr>
          <w:rFonts w:hint="eastAsia" w:ascii="宋体" w:hAnsi="宋体" w:eastAsia="宋体" w:cs="宋体"/>
          <w:kern w:val="1"/>
          <w:szCs w:val="21"/>
          <w:highlight w:val="none"/>
          <w:lang w:val="zh-CN"/>
        </w:rPr>
        <w:t xml:space="preserve"> 未以书面形式提出，或质疑内容不符合《政府采购质疑和投诉办法》（中华人民共和国财政部令第 94 号）要求的；</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6.2</w:t>
      </w:r>
      <w:r>
        <w:rPr>
          <w:rFonts w:hint="eastAsia" w:ascii="宋体" w:hAnsi="宋体" w:eastAsia="宋体" w:cs="宋体"/>
          <w:kern w:val="1"/>
          <w:szCs w:val="21"/>
          <w:highlight w:val="none"/>
          <w:lang w:val="zh-CN"/>
        </w:rPr>
        <w:t>.3 质疑函没有法定代表人本人签章，未提供法定代表人签章的特别授权，未加盖单位公章的，或不是本单位工作人员的；</w:t>
      </w:r>
    </w:p>
    <w:p>
      <w:pPr>
        <w:adjustRightInd w:val="0"/>
        <w:snapToGrid w:val="0"/>
        <w:spacing w:line="380" w:lineRule="exact"/>
        <w:ind w:firstLine="420"/>
        <w:rPr>
          <w:rFonts w:hint="eastAsia" w:ascii="宋体" w:hAnsi="宋体" w:eastAsia="宋体" w:cs="宋体"/>
          <w:kern w:val="1"/>
          <w:szCs w:val="21"/>
          <w:highlight w:val="none"/>
        </w:rPr>
      </w:pPr>
      <w:r>
        <w:rPr>
          <w:rFonts w:hint="eastAsia" w:ascii="宋体" w:hAnsi="宋体" w:eastAsia="宋体" w:cs="宋体"/>
          <w:kern w:val="1"/>
          <w:szCs w:val="21"/>
          <w:highlight w:val="none"/>
        </w:rPr>
        <w:t>6.2</w:t>
      </w:r>
      <w:r>
        <w:rPr>
          <w:rFonts w:hint="eastAsia" w:ascii="宋体" w:hAnsi="宋体" w:eastAsia="宋体" w:cs="宋体"/>
          <w:kern w:val="1"/>
          <w:szCs w:val="21"/>
          <w:highlight w:val="none"/>
          <w:lang w:val="zh-CN"/>
        </w:rPr>
        <w:t>.4</w:t>
      </w:r>
      <w:r>
        <w:rPr>
          <w:rFonts w:hint="eastAsia" w:ascii="宋体" w:hAnsi="宋体" w:eastAsia="宋体" w:cs="宋体"/>
          <w:kern w:val="1"/>
          <w:szCs w:val="21"/>
          <w:highlight w:val="none"/>
        </w:rPr>
        <w:t xml:space="preserve"> 质疑文件按照“谁主张、谁举证”的原则，附上相关证明材料。否则，采购代理机构不予受理；</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6.2.5</w:t>
      </w:r>
      <w:r>
        <w:rPr>
          <w:rFonts w:hint="eastAsia" w:ascii="宋体" w:hAnsi="宋体" w:eastAsia="宋体" w:cs="宋体"/>
          <w:kern w:val="1"/>
          <w:szCs w:val="21"/>
          <w:highlight w:val="none"/>
          <w:lang w:val="zh-CN"/>
        </w:rPr>
        <w:t>其它不符合受理条件的情形。</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6.3</w:t>
      </w:r>
      <w:r>
        <w:rPr>
          <w:rFonts w:hint="eastAsia" w:ascii="宋体" w:hAnsi="宋体" w:eastAsia="宋体" w:cs="宋体"/>
          <w:kern w:val="1"/>
          <w:szCs w:val="21"/>
          <w:highlight w:val="none"/>
          <w:lang w:val="zh-CN"/>
        </w:rPr>
        <w:t xml:space="preserve"> 采购人、采购代理机构将在收到书面质疑后 7 个工作日内作出答复，并以书面形式通知质疑供应商和其他有关供应商，但答复的内容不涉及商业秘密。</w:t>
      </w:r>
    </w:p>
    <w:p>
      <w:pPr>
        <w:numPr>
          <w:ilvl w:val="0"/>
          <w:numId w:val="5"/>
        </w:numPr>
        <w:adjustRightInd w:val="0"/>
        <w:snapToGrid w:val="0"/>
        <w:spacing w:line="380" w:lineRule="exact"/>
        <w:jc w:val="center"/>
        <w:outlineLvl w:val="1"/>
        <w:rPr>
          <w:rFonts w:hint="eastAsia" w:ascii="宋体" w:hAnsi="宋体" w:eastAsia="宋体" w:cs="宋体"/>
          <w:b/>
          <w:kern w:val="1"/>
          <w:szCs w:val="21"/>
          <w:highlight w:val="none"/>
          <w:lang w:val="zh-CN"/>
        </w:rPr>
      </w:pPr>
      <w:bookmarkStart w:id="27" w:name="_Toc11271"/>
      <w:r>
        <w:rPr>
          <w:rFonts w:hint="eastAsia" w:ascii="宋体" w:hAnsi="宋体" w:eastAsia="宋体" w:cs="宋体"/>
          <w:b/>
          <w:kern w:val="1"/>
          <w:szCs w:val="21"/>
          <w:highlight w:val="none"/>
          <w:lang w:val="zh-CN"/>
        </w:rPr>
        <w:t>法律责任</w:t>
      </w:r>
      <w:bookmarkEnd w:id="27"/>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7.1</w:t>
      </w:r>
      <w:r>
        <w:rPr>
          <w:rFonts w:hint="eastAsia" w:ascii="宋体" w:hAnsi="宋体" w:eastAsia="宋体" w:cs="宋体"/>
          <w:kern w:val="1"/>
          <w:szCs w:val="21"/>
          <w:highlight w:val="none"/>
          <w:lang w:val="zh-CN"/>
        </w:rPr>
        <w:t xml:space="preserve"> 供应商有下列情形之一的，处以采购金额 5‰以上 10‰以下的罚款，列入不良行为记录名单，在一至三年内禁止参加政府采购活动，有违法所得的，并处没收违法所得， 情节严重的，由工商行政管理机关吊销营业执照；构成犯罪的，依法追究刑事责任：</w:t>
      </w:r>
    </w:p>
    <w:p>
      <w:pPr>
        <w:adjustRightInd w:val="0"/>
        <w:snapToGrid w:val="0"/>
        <w:spacing w:line="380" w:lineRule="exact"/>
        <w:ind w:firstLine="420" w:firstLineChars="20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 xml:space="preserve"> 7.1.1</w:t>
      </w:r>
      <w:r>
        <w:rPr>
          <w:rFonts w:hint="eastAsia" w:ascii="宋体" w:hAnsi="宋体" w:eastAsia="宋体" w:cs="宋体"/>
          <w:kern w:val="1"/>
          <w:szCs w:val="21"/>
          <w:highlight w:val="none"/>
          <w:lang w:val="zh-CN"/>
        </w:rPr>
        <w:t>提供虚假材料谋取中标、成交的；</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 xml:space="preserve">   7.1.2</w:t>
      </w:r>
      <w:r>
        <w:rPr>
          <w:rFonts w:hint="eastAsia" w:ascii="宋体" w:hAnsi="宋体" w:eastAsia="宋体" w:cs="宋体"/>
          <w:kern w:val="1"/>
          <w:szCs w:val="21"/>
          <w:highlight w:val="none"/>
          <w:lang w:val="zh-CN"/>
        </w:rPr>
        <w:t>采取不正当手段诋毁、排挤其他供应商的；</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 xml:space="preserve">   7.1.3</w:t>
      </w:r>
      <w:r>
        <w:rPr>
          <w:rFonts w:hint="eastAsia" w:ascii="宋体" w:hAnsi="宋体" w:eastAsia="宋体" w:cs="宋体"/>
          <w:kern w:val="1"/>
          <w:szCs w:val="21"/>
          <w:highlight w:val="none"/>
          <w:lang w:val="zh-CN"/>
        </w:rPr>
        <w:t xml:space="preserve"> 与采购人、其他供应商或者采购代理机构恶意串通的；</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 xml:space="preserve">   7.1.4</w:t>
      </w:r>
      <w:r>
        <w:rPr>
          <w:rFonts w:hint="eastAsia" w:ascii="宋体" w:hAnsi="宋体" w:eastAsia="宋体" w:cs="宋体"/>
          <w:kern w:val="1"/>
          <w:szCs w:val="21"/>
          <w:highlight w:val="none"/>
          <w:lang w:val="zh-CN"/>
        </w:rPr>
        <w:t xml:space="preserve"> 向采购人、采购代理机构行贿或者提供其他不正当利益的；</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 xml:space="preserve">   7.1.5</w:t>
      </w:r>
      <w:r>
        <w:rPr>
          <w:rFonts w:hint="eastAsia" w:ascii="宋体" w:hAnsi="宋体" w:eastAsia="宋体" w:cs="宋体"/>
          <w:kern w:val="1"/>
          <w:szCs w:val="21"/>
          <w:highlight w:val="none"/>
          <w:lang w:val="zh-CN"/>
        </w:rPr>
        <w:t xml:space="preserve"> 在招标采购过程中与采购人进行协商磋商的；</w:t>
      </w:r>
    </w:p>
    <w:p>
      <w:pPr>
        <w:adjustRightInd w:val="0"/>
        <w:snapToGrid w:val="0"/>
        <w:spacing w:line="380" w:lineRule="exact"/>
        <w:ind w:firstLine="420"/>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 xml:space="preserve">   7.1.6 </w:t>
      </w:r>
      <w:r>
        <w:rPr>
          <w:rFonts w:hint="eastAsia" w:ascii="宋体" w:hAnsi="宋体" w:eastAsia="宋体" w:cs="宋体"/>
          <w:kern w:val="1"/>
          <w:szCs w:val="21"/>
          <w:highlight w:val="none"/>
          <w:lang w:val="zh-CN"/>
        </w:rPr>
        <w:t>拒绝有关部门监督检查或者提供虚假情况的；</w:t>
      </w:r>
    </w:p>
    <w:p>
      <w:pPr>
        <w:keepNext w:val="0"/>
        <w:keepLines w:val="0"/>
        <w:pageBreakBefore w:val="0"/>
        <w:widowControl w:val="0"/>
        <w:kinsoku/>
        <w:wordWrap/>
        <w:overflowPunct/>
        <w:topLinePunct w:val="0"/>
        <w:autoSpaceDE/>
        <w:autoSpaceDN/>
        <w:bidi w:val="0"/>
        <w:adjustRightInd w:val="0"/>
        <w:snapToGrid w:val="0"/>
        <w:spacing w:line="340" w:lineRule="exact"/>
        <w:ind w:firstLine="420"/>
        <w:textAlignment w:val="auto"/>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 xml:space="preserve">   7.1.7 </w:t>
      </w:r>
      <w:r>
        <w:rPr>
          <w:rFonts w:hint="eastAsia" w:ascii="宋体" w:hAnsi="宋体" w:eastAsia="宋体" w:cs="宋体"/>
          <w:kern w:val="1"/>
          <w:szCs w:val="21"/>
          <w:highlight w:val="none"/>
          <w:lang w:val="zh-CN"/>
        </w:rPr>
        <w:t>以及《政府采购法实施条例》等法律法规规定的条款。</w:t>
      </w:r>
    </w:p>
    <w:p>
      <w:pPr>
        <w:keepNext w:val="0"/>
        <w:keepLines w:val="0"/>
        <w:pageBreakBefore w:val="0"/>
        <w:widowControl w:val="0"/>
        <w:kinsoku/>
        <w:wordWrap/>
        <w:overflowPunct/>
        <w:topLinePunct w:val="0"/>
        <w:autoSpaceDE/>
        <w:autoSpaceDN/>
        <w:bidi w:val="0"/>
        <w:adjustRightInd w:val="0"/>
        <w:snapToGrid w:val="0"/>
        <w:spacing w:line="340" w:lineRule="exact"/>
        <w:ind w:firstLine="420"/>
        <w:textAlignment w:val="auto"/>
        <w:rPr>
          <w:rFonts w:hint="eastAsia" w:ascii="宋体" w:hAnsi="宋体" w:eastAsia="宋体" w:cs="宋体"/>
          <w:kern w:val="1"/>
          <w:szCs w:val="21"/>
          <w:highlight w:val="none"/>
          <w:lang w:val="zh-CN"/>
        </w:rPr>
      </w:pPr>
      <w:r>
        <w:rPr>
          <w:rFonts w:hint="eastAsia" w:ascii="宋体" w:hAnsi="宋体" w:eastAsia="宋体" w:cs="宋体"/>
          <w:kern w:val="1"/>
          <w:szCs w:val="21"/>
          <w:highlight w:val="none"/>
          <w:lang w:val="zh-CN"/>
        </w:rPr>
        <w:t xml:space="preserve">供应商有前款第 </w:t>
      </w:r>
      <w:r>
        <w:rPr>
          <w:rFonts w:hint="eastAsia" w:ascii="宋体" w:hAnsi="宋体" w:eastAsia="宋体" w:cs="宋体"/>
          <w:kern w:val="1"/>
          <w:szCs w:val="21"/>
          <w:highlight w:val="none"/>
        </w:rPr>
        <w:t>7.1.1</w:t>
      </w:r>
      <w:r>
        <w:rPr>
          <w:rFonts w:hint="eastAsia" w:ascii="宋体" w:hAnsi="宋体" w:eastAsia="宋体" w:cs="宋体"/>
          <w:kern w:val="1"/>
          <w:szCs w:val="21"/>
          <w:highlight w:val="none"/>
          <w:lang w:val="zh-CN"/>
        </w:rPr>
        <w:t>至</w:t>
      </w:r>
      <w:r>
        <w:rPr>
          <w:rFonts w:hint="eastAsia" w:ascii="宋体" w:hAnsi="宋体" w:eastAsia="宋体" w:cs="宋体"/>
          <w:kern w:val="1"/>
          <w:szCs w:val="21"/>
          <w:highlight w:val="none"/>
        </w:rPr>
        <w:t>7.1.7</w:t>
      </w:r>
      <w:r>
        <w:rPr>
          <w:rFonts w:hint="eastAsia" w:ascii="宋体" w:hAnsi="宋体" w:eastAsia="宋体" w:cs="宋体"/>
          <w:kern w:val="1"/>
          <w:szCs w:val="21"/>
          <w:highlight w:val="none"/>
          <w:lang w:val="zh-CN"/>
        </w:rPr>
        <w:t xml:space="preserve"> 项情形之一的，中标、成交无效。</w:t>
      </w:r>
    </w:p>
    <w:p>
      <w:pPr>
        <w:keepNext w:val="0"/>
        <w:keepLines w:val="0"/>
        <w:pageBreakBefore w:val="0"/>
        <w:widowControl w:val="0"/>
        <w:kinsoku/>
        <w:wordWrap/>
        <w:overflowPunct/>
        <w:topLinePunct w:val="0"/>
        <w:autoSpaceDE/>
        <w:autoSpaceDN/>
        <w:bidi w:val="0"/>
        <w:adjustRightInd w:val="0"/>
        <w:snapToGrid w:val="0"/>
        <w:spacing w:line="340" w:lineRule="exact"/>
        <w:ind w:firstLine="420"/>
        <w:jc w:val="left"/>
        <w:textAlignment w:val="auto"/>
        <w:rPr>
          <w:rFonts w:hint="eastAsia" w:ascii="宋体" w:hAnsi="宋体" w:eastAsia="宋体" w:cs="宋体"/>
          <w:kern w:val="1"/>
          <w:szCs w:val="21"/>
          <w:highlight w:val="none"/>
          <w:lang w:val="zh-CN"/>
        </w:rPr>
      </w:pPr>
      <w:r>
        <w:rPr>
          <w:rFonts w:hint="eastAsia" w:ascii="宋体" w:hAnsi="宋体" w:eastAsia="宋体" w:cs="宋体"/>
          <w:kern w:val="1"/>
          <w:szCs w:val="21"/>
          <w:highlight w:val="none"/>
        </w:rPr>
        <w:t>7.2</w:t>
      </w:r>
      <w:r>
        <w:rPr>
          <w:rFonts w:hint="eastAsia" w:ascii="宋体" w:hAnsi="宋体" w:eastAsia="宋体" w:cs="宋体"/>
          <w:kern w:val="1"/>
          <w:szCs w:val="21"/>
          <w:highlight w:val="none"/>
          <w:lang w:val="zh-CN"/>
        </w:rPr>
        <w:t>供应商捏造事实、提供虚假材料或者以非法手段取得证明材料进行质疑、投诉的，将被列入不良行为记录名单，禁止其 1 至 3 年内参加政府采购活动，情节严重的，依法追究其刑事责任。</w:t>
      </w:r>
    </w:p>
    <w:bookmarkEnd w:id="25"/>
    <w:p>
      <w:pPr>
        <w:rPr>
          <w:rFonts w:hint="eastAsia" w:ascii="宋体" w:hAnsi="宋体" w:eastAsia="宋体" w:cs="宋体"/>
          <w:sz w:val="28"/>
          <w:szCs w:val="28"/>
          <w:highlight w:val="none"/>
          <w:lang w:val="en-US" w:eastAsia="zh-CN"/>
        </w:rPr>
      </w:pPr>
      <w:bookmarkStart w:id="28" w:name="_Toc156"/>
      <w:r>
        <w:rPr>
          <w:rFonts w:hint="eastAsia" w:ascii="宋体" w:hAnsi="宋体" w:eastAsia="宋体" w:cs="宋体"/>
          <w:sz w:val="28"/>
          <w:szCs w:val="28"/>
          <w:highlight w:val="none"/>
          <w:lang w:val="en-US" w:eastAsia="zh-CN"/>
        </w:rPr>
        <w:br w:type="page"/>
      </w:r>
    </w:p>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附件：质疑函（格式）</w:t>
      </w:r>
    </w:p>
    <w:tbl>
      <w:tblPr>
        <w:tblStyle w:val="17"/>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67"/>
        <w:gridCol w:w="583"/>
        <w:gridCol w:w="422"/>
        <w:gridCol w:w="164"/>
        <w:gridCol w:w="164"/>
        <w:gridCol w:w="354"/>
        <w:gridCol w:w="405"/>
        <w:gridCol w:w="40"/>
        <w:gridCol w:w="4626"/>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449" w:hRule="atLeast"/>
        </w:trPr>
        <w:tc>
          <w:tcPr>
            <w:tcW w:w="758"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质</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疑</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项</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目</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基</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本</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情</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况</w:t>
            </w: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项目名称</w:t>
            </w:r>
          </w:p>
        </w:tc>
        <w:tc>
          <w:tcPr>
            <w:tcW w:w="6758" w:type="dxa"/>
            <w:gridSpan w:val="8"/>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449"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项目编号</w:t>
            </w:r>
          </w:p>
        </w:tc>
        <w:tc>
          <w:tcPr>
            <w:tcW w:w="1333" w:type="dxa"/>
            <w:gridSpan w:val="4"/>
            <w:noWrap w:val="0"/>
            <w:vAlign w:val="center"/>
          </w:tcPr>
          <w:p>
            <w:pPr>
              <w:widowControl w:val="0"/>
              <w:jc w:val="center"/>
              <w:rPr>
                <w:rFonts w:hint="eastAsia" w:ascii="宋体" w:hAnsi="宋体" w:eastAsia="宋体" w:cs="宋体"/>
                <w:highlight w:val="none"/>
                <w:vertAlign w:val="baseline"/>
              </w:rPr>
            </w:pPr>
          </w:p>
        </w:tc>
        <w:tc>
          <w:tcPr>
            <w:tcW w:w="799" w:type="dxa"/>
            <w:gridSpan w:val="3"/>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包号</w:t>
            </w:r>
          </w:p>
        </w:tc>
        <w:tc>
          <w:tcPr>
            <w:tcW w:w="4626" w:type="dxa"/>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563"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评审活动尚未</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开始的</w:t>
            </w:r>
          </w:p>
        </w:tc>
        <w:tc>
          <w:tcPr>
            <w:tcW w:w="6758" w:type="dxa"/>
            <w:gridSpan w:val="8"/>
            <w:noWrap w:val="0"/>
            <w:vAlign w:val="center"/>
          </w:tcPr>
          <w:p>
            <w:pPr>
              <w:widowControl w:val="0"/>
              <w:jc w:val="left"/>
              <w:rPr>
                <w:rFonts w:hint="eastAsia" w:ascii="宋体" w:hAnsi="宋体" w:eastAsia="宋体" w:cs="宋体"/>
                <w:highlight w:val="none"/>
                <w:u w:val="single"/>
                <w:vertAlign w:val="baseline"/>
                <w:lang w:val="en-US" w:eastAsia="zh-CN"/>
              </w:rPr>
            </w:pPr>
            <w:r>
              <w:rPr>
                <w:rFonts w:hint="eastAsia" w:ascii="宋体" w:hAnsi="宋体" w:eastAsia="宋体" w:cs="宋体"/>
                <w:highlight w:val="none"/>
                <w:vertAlign w:val="baseline"/>
                <w:lang w:val="en-US" w:eastAsia="zh-CN"/>
              </w:rPr>
              <w:t xml:space="preserve">公告时间：           </w:t>
            </w:r>
            <w:r>
              <w:rPr>
                <w:rFonts w:hint="eastAsia" w:ascii="宋体" w:hAnsi="宋体" w:eastAsia="宋体" w:cs="宋体"/>
                <w:highlight w:val="none"/>
                <w:u w:val="singl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365"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continue"/>
            <w:noWrap w:val="0"/>
            <w:vAlign w:val="center"/>
          </w:tcPr>
          <w:p>
            <w:pPr>
              <w:widowControl w:val="0"/>
              <w:jc w:val="center"/>
              <w:rPr>
                <w:rFonts w:hint="eastAsia" w:ascii="宋体" w:hAnsi="宋体" w:eastAsia="宋体" w:cs="宋体"/>
                <w:highlight w:val="none"/>
                <w:vertAlign w:val="baseline"/>
              </w:rPr>
            </w:pPr>
          </w:p>
        </w:tc>
        <w:tc>
          <w:tcPr>
            <w:tcW w:w="6758" w:type="dxa"/>
            <w:gridSpan w:val="8"/>
            <w:noWrap w:val="0"/>
            <w:vAlign w:val="center"/>
          </w:tcPr>
          <w:p>
            <w:pPr>
              <w:widowControl w:val="0"/>
              <w:jc w:val="left"/>
              <w:rPr>
                <w:rFonts w:hint="eastAsia" w:ascii="宋体" w:hAnsi="宋体" w:eastAsia="宋体" w:cs="宋体"/>
                <w:highlight w:val="none"/>
                <w:u w:val="single"/>
                <w:vertAlign w:val="baseline"/>
                <w:lang w:val="en-US" w:eastAsia="zh-CN"/>
              </w:rPr>
            </w:pPr>
            <w:r>
              <w:rPr>
                <w:rFonts w:hint="eastAsia" w:ascii="宋体" w:hAnsi="宋体" w:eastAsia="宋体" w:cs="宋体"/>
                <w:highlight w:val="none"/>
                <w:vertAlign w:val="baseline"/>
                <w:lang w:val="en-US" w:eastAsia="zh-CN"/>
              </w:rPr>
              <w:t>变更公告时间（若有）：</w:t>
            </w:r>
            <w:r>
              <w:rPr>
                <w:rFonts w:hint="eastAsia" w:ascii="宋体" w:hAnsi="宋体" w:eastAsia="宋体" w:cs="宋体"/>
                <w:highlight w:val="none"/>
                <w:u w:val="singl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479"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restart"/>
            <w:noWrap w:val="0"/>
            <w:vAlign w:val="center"/>
          </w:tcPr>
          <w:p>
            <w:pPr>
              <w:widowControl w:val="0"/>
              <w:jc w:val="center"/>
              <w:rPr>
                <w:rFonts w:hint="eastAsia" w:ascii="宋体" w:hAnsi="宋体" w:eastAsia="宋体" w:cs="宋体"/>
                <w:highlight w:val="none"/>
                <w:vertAlign w:val="baseline"/>
                <w:lang w:val="en-US"/>
              </w:rPr>
            </w:pPr>
            <w:r>
              <w:rPr>
                <w:rFonts w:hint="eastAsia" w:ascii="宋体" w:hAnsi="宋体" w:eastAsia="宋体" w:cs="宋体"/>
                <w:highlight w:val="none"/>
                <w:vertAlign w:val="baseline"/>
                <w:lang w:val="en-US" w:eastAsia="zh-CN"/>
              </w:rPr>
              <w:t>评审活动已经完成的</w:t>
            </w:r>
          </w:p>
        </w:tc>
        <w:tc>
          <w:tcPr>
            <w:tcW w:w="6758" w:type="dxa"/>
            <w:gridSpan w:val="8"/>
            <w:noWrap w:val="0"/>
            <w:vAlign w:val="center"/>
          </w:tcPr>
          <w:p>
            <w:pPr>
              <w:widowControl w:val="0"/>
              <w:jc w:val="left"/>
              <w:rPr>
                <w:rFonts w:hint="eastAsia" w:ascii="宋体" w:hAnsi="宋体" w:eastAsia="宋体" w:cs="宋体"/>
                <w:highlight w:val="none"/>
                <w:vertAlign w:val="baseline"/>
              </w:rPr>
            </w:pPr>
            <w:r>
              <w:rPr>
                <w:rFonts w:hint="eastAsia" w:ascii="宋体" w:hAnsi="宋体" w:eastAsia="宋体" w:cs="宋体"/>
                <w:highlight w:val="none"/>
                <w:vertAlign w:val="baseline"/>
                <w:lang w:val="en-US" w:eastAsia="zh-CN"/>
              </w:rPr>
              <w:t xml:space="preserve">公告时间：           </w:t>
            </w:r>
            <w:r>
              <w:rPr>
                <w:rFonts w:hint="eastAsia" w:ascii="宋体" w:hAnsi="宋体" w:eastAsia="宋体" w:cs="宋体"/>
                <w:highlight w:val="none"/>
                <w:u w:val="singl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527"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continue"/>
            <w:noWrap w:val="0"/>
            <w:vAlign w:val="center"/>
          </w:tcPr>
          <w:p>
            <w:pPr>
              <w:widowControl w:val="0"/>
              <w:jc w:val="center"/>
              <w:rPr>
                <w:rFonts w:hint="eastAsia" w:ascii="宋体" w:hAnsi="宋体" w:eastAsia="宋体" w:cs="宋体"/>
                <w:highlight w:val="none"/>
                <w:vertAlign w:val="baseline"/>
              </w:rPr>
            </w:pPr>
          </w:p>
        </w:tc>
        <w:tc>
          <w:tcPr>
            <w:tcW w:w="6758" w:type="dxa"/>
            <w:gridSpan w:val="8"/>
            <w:noWrap w:val="0"/>
            <w:vAlign w:val="center"/>
          </w:tcPr>
          <w:p>
            <w:pPr>
              <w:widowControl w:val="0"/>
              <w:jc w:val="left"/>
              <w:rPr>
                <w:rFonts w:hint="eastAsia" w:ascii="宋体" w:hAnsi="宋体" w:eastAsia="宋体" w:cs="宋体"/>
                <w:highlight w:val="none"/>
                <w:vertAlign w:val="baseline"/>
              </w:rPr>
            </w:pPr>
            <w:r>
              <w:rPr>
                <w:rFonts w:hint="eastAsia" w:ascii="宋体" w:hAnsi="宋体" w:eastAsia="宋体" w:cs="宋体"/>
                <w:highlight w:val="none"/>
                <w:vertAlign w:val="baseline"/>
                <w:lang w:val="en-US" w:eastAsia="zh-CN"/>
              </w:rPr>
              <w:t>变更公告时间（若有）：</w:t>
            </w:r>
            <w:r>
              <w:rPr>
                <w:rFonts w:hint="eastAsia" w:ascii="宋体" w:hAnsi="宋体" w:eastAsia="宋体" w:cs="宋体"/>
                <w:highlight w:val="none"/>
                <w:u w:val="singl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618"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continue"/>
            <w:noWrap w:val="0"/>
            <w:vAlign w:val="center"/>
          </w:tcPr>
          <w:p>
            <w:pPr>
              <w:widowControl w:val="0"/>
              <w:jc w:val="center"/>
              <w:rPr>
                <w:rFonts w:hint="eastAsia" w:ascii="宋体" w:hAnsi="宋体" w:eastAsia="宋体" w:cs="宋体"/>
                <w:highlight w:val="none"/>
                <w:vertAlign w:val="baseline"/>
              </w:rPr>
            </w:pPr>
          </w:p>
        </w:tc>
        <w:tc>
          <w:tcPr>
            <w:tcW w:w="6758" w:type="dxa"/>
            <w:gridSpan w:val="8"/>
            <w:noWrap w:val="0"/>
            <w:vAlign w:val="center"/>
          </w:tcPr>
          <w:p>
            <w:pPr>
              <w:widowControl w:val="0"/>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成交（中标）公告时间：</w:t>
            </w:r>
            <w:r>
              <w:rPr>
                <w:rFonts w:hint="eastAsia" w:ascii="宋体" w:hAnsi="宋体" w:eastAsia="宋体" w:cs="宋体"/>
                <w:highlight w:val="none"/>
                <w:u w:val="singl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458"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continue"/>
            <w:noWrap w:val="0"/>
            <w:vAlign w:val="center"/>
          </w:tcPr>
          <w:p>
            <w:pPr>
              <w:widowControl w:val="0"/>
              <w:jc w:val="center"/>
              <w:rPr>
                <w:rFonts w:hint="eastAsia" w:ascii="宋体" w:hAnsi="宋体" w:eastAsia="宋体" w:cs="宋体"/>
                <w:highlight w:val="none"/>
                <w:vertAlign w:val="baseline"/>
              </w:rPr>
            </w:pPr>
          </w:p>
        </w:tc>
        <w:tc>
          <w:tcPr>
            <w:tcW w:w="6758" w:type="dxa"/>
            <w:gridSpan w:val="8"/>
            <w:noWrap w:val="0"/>
            <w:vAlign w:val="center"/>
          </w:tcPr>
          <w:p>
            <w:pPr>
              <w:widowControl w:val="0"/>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 xml:space="preserve">非标公告时间（若有）： </w:t>
            </w:r>
            <w:r>
              <w:rPr>
                <w:rFonts w:hint="eastAsia" w:ascii="宋体" w:hAnsi="宋体" w:eastAsia="宋体" w:cs="宋体"/>
                <w:highlight w:val="none"/>
                <w:u w:val="singl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1400"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质疑人是、否参与质疑项目采购活动</w:t>
            </w:r>
          </w:p>
        </w:tc>
        <w:tc>
          <w:tcPr>
            <w:tcW w:w="6758" w:type="dxa"/>
            <w:gridSpan w:val="8"/>
            <w:noWrap w:val="0"/>
            <w:vAlign w:val="center"/>
          </w:tcPr>
          <w:p>
            <w:pPr>
              <w:widowControl w:val="0"/>
              <w:ind w:firstLine="1470" w:firstLineChars="700"/>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 xml:space="preserve">是     </w:t>
            </w: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否</w:t>
            </w:r>
          </w:p>
          <w:p>
            <w:pPr>
              <w:widowControl w:val="0"/>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质疑人不是参与所质疑政府采购活动的供应商，交易中心将不予受理《质疑函》。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417" w:hRule="atLeast"/>
        </w:trPr>
        <w:tc>
          <w:tcPr>
            <w:tcW w:w="758"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质</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疑</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人</w:t>
            </w: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单位名称</w:t>
            </w:r>
          </w:p>
        </w:tc>
        <w:tc>
          <w:tcPr>
            <w:tcW w:w="6758" w:type="dxa"/>
            <w:gridSpan w:val="8"/>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807"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邮寄地址及邮政编码</w:t>
            </w:r>
          </w:p>
        </w:tc>
        <w:tc>
          <w:tcPr>
            <w:tcW w:w="6758" w:type="dxa"/>
            <w:gridSpan w:val="8"/>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被授权人</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或代理人</w:t>
            </w:r>
          </w:p>
        </w:tc>
        <w:tc>
          <w:tcPr>
            <w:tcW w:w="583"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姓名</w:t>
            </w:r>
          </w:p>
        </w:tc>
        <w:tc>
          <w:tcPr>
            <w:tcW w:w="422" w:type="dxa"/>
            <w:vMerge w:val="restart"/>
            <w:noWrap w:val="0"/>
            <w:vAlign w:val="center"/>
          </w:tcPr>
          <w:p>
            <w:pPr>
              <w:widowControl w:val="0"/>
              <w:jc w:val="center"/>
              <w:rPr>
                <w:rFonts w:hint="eastAsia" w:ascii="宋体" w:hAnsi="宋体" w:eastAsia="宋体" w:cs="宋体"/>
                <w:highlight w:val="none"/>
                <w:vertAlign w:val="baseline"/>
              </w:rPr>
            </w:pPr>
          </w:p>
        </w:tc>
        <w:tc>
          <w:tcPr>
            <w:tcW w:w="682" w:type="dxa"/>
            <w:gridSpan w:val="3"/>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移动电话</w:t>
            </w:r>
          </w:p>
        </w:tc>
        <w:tc>
          <w:tcPr>
            <w:tcW w:w="5124" w:type="dxa"/>
            <w:gridSpan w:val="4"/>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continue"/>
            <w:noWrap w:val="0"/>
            <w:vAlign w:val="center"/>
          </w:tcPr>
          <w:p>
            <w:pPr>
              <w:widowControl w:val="0"/>
              <w:jc w:val="center"/>
              <w:rPr>
                <w:rFonts w:hint="eastAsia" w:ascii="宋体" w:hAnsi="宋体" w:eastAsia="宋体" w:cs="宋体"/>
                <w:highlight w:val="none"/>
                <w:vertAlign w:val="baseline"/>
                <w:lang w:val="en-US" w:eastAsia="zh-CN"/>
              </w:rPr>
            </w:pPr>
          </w:p>
        </w:tc>
        <w:tc>
          <w:tcPr>
            <w:tcW w:w="583" w:type="dxa"/>
            <w:vMerge w:val="continue"/>
            <w:noWrap w:val="0"/>
            <w:vAlign w:val="center"/>
          </w:tcPr>
          <w:p>
            <w:pPr>
              <w:widowControl w:val="0"/>
              <w:jc w:val="center"/>
              <w:rPr>
                <w:rFonts w:hint="eastAsia" w:ascii="宋体" w:hAnsi="宋体" w:eastAsia="宋体" w:cs="宋体"/>
                <w:highlight w:val="none"/>
                <w:vertAlign w:val="baseline"/>
                <w:lang w:val="en-US" w:eastAsia="zh-CN"/>
              </w:rPr>
            </w:pPr>
          </w:p>
        </w:tc>
        <w:tc>
          <w:tcPr>
            <w:tcW w:w="422" w:type="dxa"/>
            <w:vMerge w:val="continue"/>
            <w:noWrap w:val="0"/>
            <w:vAlign w:val="center"/>
          </w:tcPr>
          <w:p>
            <w:pPr>
              <w:widowControl w:val="0"/>
              <w:jc w:val="center"/>
              <w:rPr>
                <w:rFonts w:hint="eastAsia" w:ascii="宋体" w:hAnsi="宋体" w:eastAsia="宋体" w:cs="宋体"/>
                <w:highlight w:val="none"/>
                <w:vertAlign w:val="baseline"/>
              </w:rPr>
            </w:pPr>
          </w:p>
        </w:tc>
        <w:tc>
          <w:tcPr>
            <w:tcW w:w="682" w:type="dxa"/>
            <w:gridSpan w:val="3"/>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固定电话</w:t>
            </w:r>
          </w:p>
        </w:tc>
        <w:tc>
          <w:tcPr>
            <w:tcW w:w="5124" w:type="dxa"/>
            <w:gridSpan w:val="4"/>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541"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continue"/>
            <w:noWrap w:val="0"/>
            <w:vAlign w:val="center"/>
          </w:tcPr>
          <w:p>
            <w:pPr>
              <w:widowControl w:val="0"/>
              <w:jc w:val="center"/>
              <w:rPr>
                <w:rFonts w:hint="eastAsia" w:ascii="宋体" w:hAnsi="宋体" w:eastAsia="宋体" w:cs="宋体"/>
                <w:highlight w:val="none"/>
                <w:vertAlign w:val="baseline"/>
              </w:rPr>
            </w:pPr>
          </w:p>
        </w:tc>
        <w:tc>
          <w:tcPr>
            <w:tcW w:w="583"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身份证号</w:t>
            </w:r>
          </w:p>
        </w:tc>
        <w:tc>
          <w:tcPr>
            <w:tcW w:w="6175" w:type="dxa"/>
            <w:gridSpan w:val="7"/>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277" w:hRule="atLeast"/>
        </w:trPr>
        <w:tc>
          <w:tcPr>
            <w:tcW w:w="758"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被质疑人</w:t>
            </w: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单位名称</w:t>
            </w:r>
          </w:p>
        </w:tc>
        <w:tc>
          <w:tcPr>
            <w:tcW w:w="6758" w:type="dxa"/>
            <w:gridSpan w:val="8"/>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586"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质疑分类</w:t>
            </w:r>
          </w:p>
        </w:tc>
        <w:tc>
          <w:tcPr>
            <w:tcW w:w="6758" w:type="dxa"/>
            <w:gridSpan w:val="8"/>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采购文件（</w:t>
            </w: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商务条款</w:t>
            </w: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技术条款</w:t>
            </w: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服务要求）</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采购过程：</w:t>
            </w: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采购结果：</w:t>
            </w: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406" w:hRule="atLeast"/>
        </w:trPr>
        <w:tc>
          <w:tcPr>
            <w:tcW w:w="758"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质疑事项</w:t>
            </w:r>
          </w:p>
        </w:tc>
        <w:tc>
          <w:tcPr>
            <w:tcW w:w="8025" w:type="dxa"/>
            <w:gridSpan w:val="9"/>
            <w:noWrap w:val="0"/>
            <w:vAlign w:val="center"/>
          </w:tcPr>
          <w:p>
            <w:pPr>
              <w:widowControl w:val="0"/>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质疑事项（请写明事实、理由和依据，依据应列明具体条款内容，纸张不够可另附）：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377"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8025" w:type="dxa"/>
            <w:gridSpan w:val="9"/>
            <w:noWrap w:val="0"/>
            <w:vAlign w:val="center"/>
          </w:tcPr>
          <w:p>
            <w:pPr>
              <w:widowControl w:val="0"/>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附件：（请按序号列明所附证据等材料）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807" w:hRule="atLeast"/>
        </w:trPr>
        <w:tc>
          <w:tcPr>
            <w:tcW w:w="758"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质疑人签字和签章</w:t>
            </w: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法定代表人签字</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或盖章</w:t>
            </w:r>
          </w:p>
        </w:tc>
        <w:tc>
          <w:tcPr>
            <w:tcW w:w="1169" w:type="dxa"/>
            <w:gridSpan w:val="3"/>
            <w:noWrap w:val="0"/>
            <w:vAlign w:val="center"/>
          </w:tcPr>
          <w:p>
            <w:pPr>
              <w:widowControl w:val="0"/>
              <w:jc w:val="center"/>
              <w:rPr>
                <w:rFonts w:hint="eastAsia" w:ascii="宋体" w:hAnsi="宋体" w:eastAsia="宋体" w:cs="宋体"/>
                <w:highlight w:val="none"/>
                <w:vertAlign w:val="baseline"/>
              </w:rPr>
            </w:pPr>
          </w:p>
        </w:tc>
        <w:tc>
          <w:tcPr>
            <w:tcW w:w="923" w:type="dxa"/>
            <w:gridSpan w:val="3"/>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被授权人签字或盖章</w:t>
            </w:r>
          </w:p>
        </w:tc>
        <w:tc>
          <w:tcPr>
            <w:tcW w:w="4666" w:type="dxa"/>
            <w:gridSpan w:val="2"/>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543"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单位名称（盖章）</w:t>
            </w:r>
          </w:p>
        </w:tc>
        <w:tc>
          <w:tcPr>
            <w:tcW w:w="6758" w:type="dxa"/>
            <w:gridSpan w:val="8"/>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795"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质疑提交日期</w:t>
            </w:r>
          </w:p>
        </w:tc>
        <w:tc>
          <w:tcPr>
            <w:tcW w:w="6758" w:type="dxa"/>
            <w:gridSpan w:val="8"/>
            <w:noWrap w:val="0"/>
            <w:vAlign w:val="center"/>
          </w:tcPr>
          <w:p>
            <w:pPr>
              <w:widowControl w:val="0"/>
              <w:jc w:val="center"/>
              <w:rPr>
                <w:rFonts w:hint="eastAsia" w:ascii="宋体" w:hAnsi="宋体" w:eastAsia="宋体" w:cs="宋体"/>
                <w:highlight w:val="none"/>
                <w:vertAlign w:val="baseline"/>
              </w:rPr>
            </w:pPr>
          </w:p>
        </w:tc>
      </w:tr>
    </w:tbl>
    <w:p>
      <w:pPr>
        <w:jc w:val="both"/>
        <w:rPr>
          <w:rFonts w:hint="eastAsia" w:ascii="宋体" w:hAnsi="宋体" w:eastAsia="宋体" w:cs="宋体"/>
          <w:sz w:val="28"/>
          <w:szCs w:val="28"/>
          <w:highlight w:val="none"/>
          <w:lang w:val="en-US" w:eastAsia="zh-CN"/>
        </w:rPr>
      </w:pPr>
      <w:r>
        <w:rPr>
          <w:rStyle w:val="40"/>
          <w:rFonts w:hint="eastAsia" w:ascii="宋体" w:hAnsi="宋体" w:eastAsia="宋体" w:cs="宋体"/>
          <w:highlight w:val="none"/>
        </w:rPr>
        <w:br w:type="page"/>
      </w:r>
      <w:r>
        <w:rPr>
          <w:rFonts w:hint="eastAsia" w:ascii="宋体" w:hAnsi="宋体" w:eastAsia="宋体" w:cs="宋体"/>
          <w:sz w:val="28"/>
          <w:szCs w:val="28"/>
          <w:highlight w:val="none"/>
          <w:lang w:val="en-US" w:eastAsia="zh-CN"/>
        </w:rPr>
        <w:t>附件：投诉书（格式）</w:t>
      </w:r>
    </w:p>
    <w:tbl>
      <w:tblPr>
        <w:tblStyle w:val="17"/>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67"/>
        <w:gridCol w:w="583"/>
        <w:gridCol w:w="422"/>
        <w:gridCol w:w="164"/>
        <w:gridCol w:w="164"/>
        <w:gridCol w:w="354"/>
        <w:gridCol w:w="405"/>
        <w:gridCol w:w="40"/>
        <w:gridCol w:w="4626"/>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449" w:hRule="atLeast"/>
        </w:trPr>
        <w:tc>
          <w:tcPr>
            <w:tcW w:w="758"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质</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疑</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项</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目</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基</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本</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情</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况</w:t>
            </w: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项目名称</w:t>
            </w:r>
          </w:p>
        </w:tc>
        <w:tc>
          <w:tcPr>
            <w:tcW w:w="6758" w:type="dxa"/>
            <w:gridSpan w:val="8"/>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449"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项目编号</w:t>
            </w:r>
          </w:p>
        </w:tc>
        <w:tc>
          <w:tcPr>
            <w:tcW w:w="1333" w:type="dxa"/>
            <w:gridSpan w:val="4"/>
            <w:noWrap w:val="0"/>
            <w:vAlign w:val="center"/>
          </w:tcPr>
          <w:p>
            <w:pPr>
              <w:widowControl w:val="0"/>
              <w:jc w:val="center"/>
              <w:rPr>
                <w:rFonts w:hint="eastAsia" w:ascii="宋体" w:hAnsi="宋体" w:eastAsia="宋体" w:cs="宋体"/>
                <w:highlight w:val="none"/>
                <w:vertAlign w:val="baseline"/>
              </w:rPr>
            </w:pPr>
          </w:p>
        </w:tc>
        <w:tc>
          <w:tcPr>
            <w:tcW w:w="799" w:type="dxa"/>
            <w:gridSpan w:val="3"/>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包号</w:t>
            </w:r>
          </w:p>
        </w:tc>
        <w:tc>
          <w:tcPr>
            <w:tcW w:w="4626" w:type="dxa"/>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563"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评审活动尚未</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开始的</w:t>
            </w:r>
          </w:p>
        </w:tc>
        <w:tc>
          <w:tcPr>
            <w:tcW w:w="6758" w:type="dxa"/>
            <w:gridSpan w:val="8"/>
            <w:noWrap w:val="0"/>
            <w:vAlign w:val="center"/>
          </w:tcPr>
          <w:p>
            <w:pPr>
              <w:widowControl w:val="0"/>
              <w:jc w:val="left"/>
              <w:rPr>
                <w:rFonts w:hint="eastAsia" w:ascii="宋体" w:hAnsi="宋体" w:eastAsia="宋体" w:cs="宋体"/>
                <w:highlight w:val="none"/>
                <w:u w:val="single"/>
                <w:vertAlign w:val="baseline"/>
                <w:lang w:val="en-US" w:eastAsia="zh-CN"/>
              </w:rPr>
            </w:pPr>
            <w:r>
              <w:rPr>
                <w:rFonts w:hint="eastAsia" w:ascii="宋体" w:hAnsi="宋体" w:eastAsia="宋体" w:cs="宋体"/>
                <w:highlight w:val="none"/>
                <w:vertAlign w:val="baseline"/>
                <w:lang w:val="en-US" w:eastAsia="zh-CN"/>
              </w:rPr>
              <w:t xml:space="preserve">公告时间：           </w:t>
            </w:r>
            <w:r>
              <w:rPr>
                <w:rFonts w:hint="eastAsia" w:ascii="宋体" w:hAnsi="宋体" w:eastAsia="宋体" w:cs="宋体"/>
                <w:highlight w:val="none"/>
                <w:u w:val="singl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365"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continue"/>
            <w:noWrap w:val="0"/>
            <w:vAlign w:val="center"/>
          </w:tcPr>
          <w:p>
            <w:pPr>
              <w:widowControl w:val="0"/>
              <w:jc w:val="center"/>
              <w:rPr>
                <w:rFonts w:hint="eastAsia" w:ascii="宋体" w:hAnsi="宋体" w:eastAsia="宋体" w:cs="宋体"/>
                <w:highlight w:val="none"/>
                <w:vertAlign w:val="baseline"/>
              </w:rPr>
            </w:pPr>
          </w:p>
        </w:tc>
        <w:tc>
          <w:tcPr>
            <w:tcW w:w="6758" w:type="dxa"/>
            <w:gridSpan w:val="8"/>
            <w:noWrap w:val="0"/>
            <w:vAlign w:val="center"/>
          </w:tcPr>
          <w:p>
            <w:pPr>
              <w:widowControl w:val="0"/>
              <w:jc w:val="left"/>
              <w:rPr>
                <w:rFonts w:hint="eastAsia" w:ascii="宋体" w:hAnsi="宋体" w:eastAsia="宋体" w:cs="宋体"/>
                <w:highlight w:val="none"/>
                <w:u w:val="single"/>
                <w:vertAlign w:val="baseline"/>
                <w:lang w:val="en-US" w:eastAsia="zh-CN"/>
              </w:rPr>
            </w:pPr>
            <w:r>
              <w:rPr>
                <w:rFonts w:hint="eastAsia" w:ascii="宋体" w:hAnsi="宋体" w:eastAsia="宋体" w:cs="宋体"/>
                <w:highlight w:val="none"/>
                <w:vertAlign w:val="baseline"/>
                <w:lang w:val="en-US" w:eastAsia="zh-CN"/>
              </w:rPr>
              <w:t>变更公告时间（若有）：</w:t>
            </w:r>
            <w:r>
              <w:rPr>
                <w:rFonts w:hint="eastAsia" w:ascii="宋体" w:hAnsi="宋体" w:eastAsia="宋体" w:cs="宋体"/>
                <w:highlight w:val="none"/>
                <w:u w:val="singl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479"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restart"/>
            <w:noWrap w:val="0"/>
            <w:vAlign w:val="center"/>
          </w:tcPr>
          <w:p>
            <w:pPr>
              <w:widowControl w:val="0"/>
              <w:jc w:val="center"/>
              <w:rPr>
                <w:rFonts w:hint="eastAsia" w:ascii="宋体" w:hAnsi="宋体" w:eastAsia="宋体" w:cs="宋体"/>
                <w:highlight w:val="none"/>
                <w:vertAlign w:val="baseline"/>
                <w:lang w:val="en-US"/>
              </w:rPr>
            </w:pPr>
            <w:r>
              <w:rPr>
                <w:rFonts w:hint="eastAsia" w:ascii="宋体" w:hAnsi="宋体" w:eastAsia="宋体" w:cs="宋体"/>
                <w:highlight w:val="none"/>
                <w:vertAlign w:val="baseline"/>
                <w:lang w:val="en-US" w:eastAsia="zh-CN"/>
              </w:rPr>
              <w:t>评审活动已经完成的</w:t>
            </w:r>
          </w:p>
        </w:tc>
        <w:tc>
          <w:tcPr>
            <w:tcW w:w="6758" w:type="dxa"/>
            <w:gridSpan w:val="8"/>
            <w:noWrap w:val="0"/>
            <w:vAlign w:val="center"/>
          </w:tcPr>
          <w:p>
            <w:pPr>
              <w:widowControl w:val="0"/>
              <w:jc w:val="left"/>
              <w:rPr>
                <w:rFonts w:hint="eastAsia" w:ascii="宋体" w:hAnsi="宋体" w:eastAsia="宋体" w:cs="宋体"/>
                <w:highlight w:val="none"/>
                <w:vertAlign w:val="baseline"/>
              </w:rPr>
            </w:pPr>
            <w:r>
              <w:rPr>
                <w:rFonts w:hint="eastAsia" w:ascii="宋体" w:hAnsi="宋体" w:eastAsia="宋体" w:cs="宋体"/>
                <w:highlight w:val="none"/>
                <w:vertAlign w:val="baseline"/>
                <w:lang w:val="en-US" w:eastAsia="zh-CN"/>
              </w:rPr>
              <w:t xml:space="preserve">公告时间：           </w:t>
            </w:r>
            <w:r>
              <w:rPr>
                <w:rFonts w:hint="eastAsia" w:ascii="宋体" w:hAnsi="宋体" w:eastAsia="宋体" w:cs="宋体"/>
                <w:highlight w:val="none"/>
                <w:u w:val="singl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527"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continue"/>
            <w:noWrap w:val="0"/>
            <w:vAlign w:val="center"/>
          </w:tcPr>
          <w:p>
            <w:pPr>
              <w:widowControl w:val="0"/>
              <w:jc w:val="center"/>
              <w:rPr>
                <w:rFonts w:hint="eastAsia" w:ascii="宋体" w:hAnsi="宋体" w:eastAsia="宋体" w:cs="宋体"/>
                <w:highlight w:val="none"/>
                <w:vertAlign w:val="baseline"/>
              </w:rPr>
            </w:pPr>
          </w:p>
        </w:tc>
        <w:tc>
          <w:tcPr>
            <w:tcW w:w="6758" w:type="dxa"/>
            <w:gridSpan w:val="8"/>
            <w:noWrap w:val="0"/>
            <w:vAlign w:val="center"/>
          </w:tcPr>
          <w:p>
            <w:pPr>
              <w:widowControl w:val="0"/>
              <w:jc w:val="left"/>
              <w:rPr>
                <w:rFonts w:hint="eastAsia" w:ascii="宋体" w:hAnsi="宋体" w:eastAsia="宋体" w:cs="宋体"/>
                <w:highlight w:val="none"/>
                <w:vertAlign w:val="baseline"/>
              </w:rPr>
            </w:pPr>
            <w:r>
              <w:rPr>
                <w:rFonts w:hint="eastAsia" w:ascii="宋体" w:hAnsi="宋体" w:eastAsia="宋体" w:cs="宋体"/>
                <w:highlight w:val="none"/>
                <w:vertAlign w:val="baseline"/>
                <w:lang w:val="en-US" w:eastAsia="zh-CN"/>
              </w:rPr>
              <w:t>变更公告时间（若有）：</w:t>
            </w:r>
            <w:r>
              <w:rPr>
                <w:rFonts w:hint="eastAsia" w:ascii="宋体" w:hAnsi="宋体" w:eastAsia="宋体" w:cs="宋体"/>
                <w:highlight w:val="none"/>
                <w:u w:val="singl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618"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continue"/>
            <w:noWrap w:val="0"/>
            <w:vAlign w:val="center"/>
          </w:tcPr>
          <w:p>
            <w:pPr>
              <w:widowControl w:val="0"/>
              <w:jc w:val="center"/>
              <w:rPr>
                <w:rFonts w:hint="eastAsia" w:ascii="宋体" w:hAnsi="宋体" w:eastAsia="宋体" w:cs="宋体"/>
                <w:highlight w:val="none"/>
                <w:vertAlign w:val="baseline"/>
              </w:rPr>
            </w:pPr>
          </w:p>
        </w:tc>
        <w:tc>
          <w:tcPr>
            <w:tcW w:w="6758" w:type="dxa"/>
            <w:gridSpan w:val="8"/>
            <w:noWrap w:val="0"/>
            <w:vAlign w:val="center"/>
          </w:tcPr>
          <w:p>
            <w:pPr>
              <w:widowControl w:val="0"/>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成交（中标）公告时间：</w:t>
            </w:r>
            <w:r>
              <w:rPr>
                <w:rFonts w:hint="eastAsia" w:ascii="宋体" w:hAnsi="宋体" w:eastAsia="宋体" w:cs="宋体"/>
                <w:highlight w:val="none"/>
                <w:u w:val="singl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458"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continue"/>
            <w:noWrap w:val="0"/>
            <w:vAlign w:val="center"/>
          </w:tcPr>
          <w:p>
            <w:pPr>
              <w:widowControl w:val="0"/>
              <w:jc w:val="center"/>
              <w:rPr>
                <w:rFonts w:hint="eastAsia" w:ascii="宋体" w:hAnsi="宋体" w:eastAsia="宋体" w:cs="宋体"/>
                <w:highlight w:val="none"/>
                <w:vertAlign w:val="baseline"/>
              </w:rPr>
            </w:pPr>
          </w:p>
        </w:tc>
        <w:tc>
          <w:tcPr>
            <w:tcW w:w="6758" w:type="dxa"/>
            <w:gridSpan w:val="8"/>
            <w:noWrap w:val="0"/>
            <w:vAlign w:val="center"/>
          </w:tcPr>
          <w:p>
            <w:pPr>
              <w:widowControl w:val="0"/>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 xml:space="preserve">非标公告时间（若有）： </w:t>
            </w:r>
            <w:r>
              <w:rPr>
                <w:rFonts w:hint="eastAsia" w:ascii="宋体" w:hAnsi="宋体" w:eastAsia="宋体" w:cs="宋体"/>
                <w:highlight w:val="none"/>
                <w:u w:val="singl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1400"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质疑人是、否参与投诉项目采购活动</w:t>
            </w:r>
          </w:p>
        </w:tc>
        <w:tc>
          <w:tcPr>
            <w:tcW w:w="6758" w:type="dxa"/>
            <w:gridSpan w:val="8"/>
            <w:noWrap w:val="0"/>
            <w:vAlign w:val="center"/>
          </w:tcPr>
          <w:p>
            <w:pPr>
              <w:widowControl w:val="0"/>
              <w:ind w:firstLine="1470" w:firstLineChars="700"/>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 xml:space="preserve">是     </w:t>
            </w: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否</w:t>
            </w:r>
          </w:p>
          <w:p>
            <w:pPr>
              <w:widowControl w:val="0"/>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投诉人不是参与所投诉政府采购活动的供应商，交易中心将不予受理《投诉书》。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417" w:hRule="atLeast"/>
        </w:trPr>
        <w:tc>
          <w:tcPr>
            <w:tcW w:w="758"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投诉</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人</w:t>
            </w: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单位名称</w:t>
            </w:r>
          </w:p>
        </w:tc>
        <w:tc>
          <w:tcPr>
            <w:tcW w:w="6758" w:type="dxa"/>
            <w:gridSpan w:val="8"/>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807"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邮寄地址及邮政编码</w:t>
            </w:r>
          </w:p>
        </w:tc>
        <w:tc>
          <w:tcPr>
            <w:tcW w:w="6758" w:type="dxa"/>
            <w:gridSpan w:val="8"/>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被授权人</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或代理人</w:t>
            </w:r>
          </w:p>
        </w:tc>
        <w:tc>
          <w:tcPr>
            <w:tcW w:w="583"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姓名</w:t>
            </w:r>
          </w:p>
        </w:tc>
        <w:tc>
          <w:tcPr>
            <w:tcW w:w="422" w:type="dxa"/>
            <w:vMerge w:val="restart"/>
            <w:noWrap w:val="0"/>
            <w:vAlign w:val="center"/>
          </w:tcPr>
          <w:p>
            <w:pPr>
              <w:widowControl w:val="0"/>
              <w:jc w:val="center"/>
              <w:rPr>
                <w:rFonts w:hint="eastAsia" w:ascii="宋体" w:hAnsi="宋体" w:eastAsia="宋体" w:cs="宋体"/>
                <w:highlight w:val="none"/>
                <w:vertAlign w:val="baseline"/>
              </w:rPr>
            </w:pPr>
          </w:p>
        </w:tc>
        <w:tc>
          <w:tcPr>
            <w:tcW w:w="682" w:type="dxa"/>
            <w:gridSpan w:val="3"/>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移动电话</w:t>
            </w:r>
          </w:p>
        </w:tc>
        <w:tc>
          <w:tcPr>
            <w:tcW w:w="5124" w:type="dxa"/>
            <w:gridSpan w:val="4"/>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continue"/>
            <w:noWrap w:val="0"/>
            <w:vAlign w:val="center"/>
          </w:tcPr>
          <w:p>
            <w:pPr>
              <w:widowControl w:val="0"/>
              <w:jc w:val="center"/>
              <w:rPr>
                <w:rFonts w:hint="eastAsia" w:ascii="宋体" w:hAnsi="宋体" w:eastAsia="宋体" w:cs="宋体"/>
                <w:highlight w:val="none"/>
                <w:vertAlign w:val="baseline"/>
                <w:lang w:val="en-US" w:eastAsia="zh-CN"/>
              </w:rPr>
            </w:pPr>
          </w:p>
        </w:tc>
        <w:tc>
          <w:tcPr>
            <w:tcW w:w="583" w:type="dxa"/>
            <w:vMerge w:val="continue"/>
            <w:noWrap w:val="0"/>
            <w:vAlign w:val="center"/>
          </w:tcPr>
          <w:p>
            <w:pPr>
              <w:widowControl w:val="0"/>
              <w:jc w:val="center"/>
              <w:rPr>
                <w:rFonts w:hint="eastAsia" w:ascii="宋体" w:hAnsi="宋体" w:eastAsia="宋体" w:cs="宋体"/>
                <w:highlight w:val="none"/>
                <w:vertAlign w:val="baseline"/>
                <w:lang w:val="en-US" w:eastAsia="zh-CN"/>
              </w:rPr>
            </w:pPr>
          </w:p>
        </w:tc>
        <w:tc>
          <w:tcPr>
            <w:tcW w:w="422" w:type="dxa"/>
            <w:vMerge w:val="continue"/>
            <w:noWrap w:val="0"/>
            <w:vAlign w:val="center"/>
          </w:tcPr>
          <w:p>
            <w:pPr>
              <w:widowControl w:val="0"/>
              <w:jc w:val="center"/>
              <w:rPr>
                <w:rFonts w:hint="eastAsia" w:ascii="宋体" w:hAnsi="宋体" w:eastAsia="宋体" w:cs="宋体"/>
                <w:highlight w:val="none"/>
                <w:vertAlign w:val="baseline"/>
              </w:rPr>
            </w:pPr>
          </w:p>
        </w:tc>
        <w:tc>
          <w:tcPr>
            <w:tcW w:w="682" w:type="dxa"/>
            <w:gridSpan w:val="3"/>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固定电话</w:t>
            </w:r>
          </w:p>
        </w:tc>
        <w:tc>
          <w:tcPr>
            <w:tcW w:w="5124" w:type="dxa"/>
            <w:gridSpan w:val="4"/>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541"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vMerge w:val="continue"/>
            <w:noWrap w:val="0"/>
            <w:vAlign w:val="center"/>
          </w:tcPr>
          <w:p>
            <w:pPr>
              <w:widowControl w:val="0"/>
              <w:jc w:val="center"/>
              <w:rPr>
                <w:rFonts w:hint="eastAsia" w:ascii="宋体" w:hAnsi="宋体" w:eastAsia="宋体" w:cs="宋体"/>
                <w:highlight w:val="none"/>
                <w:vertAlign w:val="baseline"/>
              </w:rPr>
            </w:pPr>
          </w:p>
        </w:tc>
        <w:tc>
          <w:tcPr>
            <w:tcW w:w="583"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身份证号</w:t>
            </w:r>
          </w:p>
        </w:tc>
        <w:tc>
          <w:tcPr>
            <w:tcW w:w="6175" w:type="dxa"/>
            <w:gridSpan w:val="7"/>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277" w:hRule="atLeast"/>
        </w:trPr>
        <w:tc>
          <w:tcPr>
            <w:tcW w:w="758"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被投诉人</w:t>
            </w: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单位名称</w:t>
            </w:r>
          </w:p>
        </w:tc>
        <w:tc>
          <w:tcPr>
            <w:tcW w:w="6758" w:type="dxa"/>
            <w:gridSpan w:val="8"/>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586"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投诉分类</w:t>
            </w:r>
          </w:p>
        </w:tc>
        <w:tc>
          <w:tcPr>
            <w:tcW w:w="6758" w:type="dxa"/>
            <w:gridSpan w:val="8"/>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采购文件（</w:t>
            </w: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商务条款</w:t>
            </w: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技术条款</w:t>
            </w: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服务要求）</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采购过程：</w:t>
            </w: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采购结果：</w:t>
            </w:r>
            <w:r>
              <w:rPr>
                <w:rFonts w:hint="eastAsia" w:ascii="宋体" w:hAnsi="宋体" w:eastAsia="宋体" w:cs="宋体"/>
                <w:highlight w:val="none"/>
                <w:vertAlign w:val="baseline"/>
                <w:lang w:val="en-US" w:eastAsia="zh-CN"/>
              </w:rPr>
              <w:sym w:font="Wingdings 2" w:char="00A3"/>
            </w:r>
            <w:r>
              <w:rPr>
                <w:rFonts w:hint="eastAsia" w:ascii="宋体" w:hAnsi="宋体" w:eastAsia="宋体" w:cs="宋体"/>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406" w:hRule="atLeast"/>
        </w:trPr>
        <w:tc>
          <w:tcPr>
            <w:tcW w:w="758"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投诉事项</w:t>
            </w:r>
          </w:p>
        </w:tc>
        <w:tc>
          <w:tcPr>
            <w:tcW w:w="8025" w:type="dxa"/>
            <w:gridSpan w:val="9"/>
            <w:noWrap w:val="0"/>
            <w:vAlign w:val="center"/>
          </w:tcPr>
          <w:p>
            <w:pPr>
              <w:widowControl w:val="0"/>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投诉事项（请写明事实、理由和依据，依据应列明具体条款内容，纸张不够可另附）：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377"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8025" w:type="dxa"/>
            <w:gridSpan w:val="9"/>
            <w:noWrap w:val="0"/>
            <w:vAlign w:val="center"/>
          </w:tcPr>
          <w:p>
            <w:pPr>
              <w:widowControl w:val="0"/>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附件：（请按序号列明所附证据等材料）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807" w:hRule="atLeast"/>
        </w:trPr>
        <w:tc>
          <w:tcPr>
            <w:tcW w:w="758" w:type="dxa"/>
            <w:vMerge w:val="restart"/>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投诉人签字和签章</w:t>
            </w: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法定代表人签字</w:t>
            </w:r>
          </w:p>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或盖章</w:t>
            </w:r>
          </w:p>
        </w:tc>
        <w:tc>
          <w:tcPr>
            <w:tcW w:w="1169" w:type="dxa"/>
            <w:gridSpan w:val="3"/>
            <w:noWrap w:val="0"/>
            <w:vAlign w:val="center"/>
          </w:tcPr>
          <w:p>
            <w:pPr>
              <w:widowControl w:val="0"/>
              <w:jc w:val="center"/>
              <w:rPr>
                <w:rFonts w:hint="eastAsia" w:ascii="宋体" w:hAnsi="宋体" w:eastAsia="宋体" w:cs="宋体"/>
                <w:highlight w:val="none"/>
                <w:vertAlign w:val="baseline"/>
              </w:rPr>
            </w:pPr>
          </w:p>
        </w:tc>
        <w:tc>
          <w:tcPr>
            <w:tcW w:w="923" w:type="dxa"/>
            <w:gridSpan w:val="3"/>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被授权人签字或盖章</w:t>
            </w:r>
          </w:p>
        </w:tc>
        <w:tc>
          <w:tcPr>
            <w:tcW w:w="4666" w:type="dxa"/>
            <w:gridSpan w:val="2"/>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543"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单位名称（盖章）</w:t>
            </w:r>
          </w:p>
        </w:tc>
        <w:tc>
          <w:tcPr>
            <w:tcW w:w="6758" w:type="dxa"/>
            <w:gridSpan w:val="8"/>
            <w:noWrap w:val="0"/>
            <w:vAlign w:val="center"/>
          </w:tcPr>
          <w:p>
            <w:pPr>
              <w:widowControl w:val="0"/>
              <w:jc w:val="center"/>
              <w:rPr>
                <w:rFonts w:hint="eastAsia" w:ascii="宋体" w:hAnsi="宋体" w:eastAsia="宋体" w:cs="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795" w:hRule="atLeast"/>
        </w:trPr>
        <w:tc>
          <w:tcPr>
            <w:tcW w:w="758" w:type="dxa"/>
            <w:vMerge w:val="continue"/>
            <w:noWrap w:val="0"/>
            <w:vAlign w:val="center"/>
          </w:tcPr>
          <w:p>
            <w:pPr>
              <w:widowControl w:val="0"/>
              <w:jc w:val="center"/>
              <w:rPr>
                <w:rFonts w:hint="eastAsia" w:ascii="宋体" w:hAnsi="宋体" w:eastAsia="宋体" w:cs="宋体"/>
                <w:highlight w:val="none"/>
                <w:vertAlign w:val="baseline"/>
              </w:rPr>
            </w:pPr>
          </w:p>
        </w:tc>
        <w:tc>
          <w:tcPr>
            <w:tcW w:w="1267" w:type="dxa"/>
            <w:noWrap w:val="0"/>
            <w:vAlign w:val="center"/>
          </w:tcPr>
          <w:p>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投诉书提交日期</w:t>
            </w:r>
          </w:p>
        </w:tc>
        <w:tc>
          <w:tcPr>
            <w:tcW w:w="6758" w:type="dxa"/>
            <w:gridSpan w:val="8"/>
            <w:noWrap w:val="0"/>
            <w:vAlign w:val="center"/>
          </w:tcPr>
          <w:p>
            <w:pPr>
              <w:widowControl w:val="0"/>
              <w:jc w:val="center"/>
              <w:rPr>
                <w:rFonts w:hint="eastAsia" w:ascii="宋体" w:hAnsi="宋体" w:eastAsia="宋体" w:cs="宋体"/>
                <w:highlight w:val="none"/>
                <w:vertAlign w:val="baseline"/>
              </w:rPr>
            </w:pPr>
          </w:p>
        </w:tc>
      </w:tr>
    </w:tbl>
    <w:p>
      <w:pPr>
        <w:adjustRightInd w:val="0"/>
        <w:snapToGrid w:val="0"/>
        <w:spacing w:line="440" w:lineRule="exact"/>
        <w:jc w:val="center"/>
        <w:rPr>
          <w:rStyle w:val="40"/>
          <w:rFonts w:hint="eastAsia" w:ascii="宋体" w:hAnsi="宋体" w:eastAsia="宋体" w:cs="宋体"/>
          <w:highlight w:val="none"/>
        </w:rPr>
      </w:pPr>
      <w:r>
        <w:rPr>
          <w:rStyle w:val="40"/>
          <w:rFonts w:hint="eastAsia" w:ascii="宋体" w:hAnsi="宋体" w:eastAsia="宋体" w:cs="宋体"/>
          <w:highlight w:val="none"/>
        </w:rPr>
        <w:br w:type="page"/>
      </w:r>
      <w:r>
        <w:rPr>
          <w:rStyle w:val="40"/>
          <w:rFonts w:hint="eastAsia" w:ascii="宋体" w:hAnsi="宋体" w:eastAsia="宋体" w:cs="宋体"/>
          <w:highlight w:val="none"/>
        </w:rPr>
        <w:t>第三章  合同条款及格式</w:t>
      </w:r>
    </w:p>
    <w:p>
      <w:pPr>
        <w:jc w:val="left"/>
        <w:rPr>
          <w:rFonts w:hint="eastAsia" w:ascii="宋体" w:hAnsi="宋体" w:eastAsia="宋体" w:cs="宋体"/>
          <w:bCs/>
          <w:color w:val="000000"/>
          <w:sz w:val="32"/>
          <w:szCs w:val="32"/>
          <w:highlight w:val="none"/>
        </w:rPr>
      </w:pPr>
    </w:p>
    <w:p>
      <w:pPr>
        <w:jc w:val="left"/>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（GF—2017—0201）</w:t>
      </w:r>
    </w:p>
    <w:p>
      <w:pPr>
        <w:rPr>
          <w:rFonts w:hint="eastAsia" w:ascii="宋体" w:hAnsi="宋体" w:eastAsia="宋体" w:cs="宋体"/>
          <w:b/>
          <w:color w:val="000000"/>
          <w:sz w:val="52"/>
          <w:szCs w:val="52"/>
          <w:highlight w:val="none"/>
        </w:rPr>
      </w:pPr>
    </w:p>
    <w:p>
      <w:pPr>
        <w:jc w:val="center"/>
        <w:rPr>
          <w:rFonts w:hint="eastAsia" w:ascii="宋体" w:hAnsi="宋体" w:eastAsia="宋体" w:cs="宋体"/>
          <w:b/>
          <w:color w:val="000000"/>
          <w:sz w:val="52"/>
          <w:szCs w:val="52"/>
          <w:highlight w:val="none"/>
        </w:rPr>
      </w:pPr>
    </w:p>
    <w:p>
      <w:pPr>
        <w:jc w:val="center"/>
        <w:rPr>
          <w:rFonts w:hint="eastAsia" w:ascii="宋体" w:hAnsi="宋体" w:eastAsia="宋体" w:cs="宋体"/>
          <w:b/>
          <w:color w:val="000000"/>
          <w:sz w:val="72"/>
          <w:szCs w:val="52"/>
          <w:highlight w:val="none"/>
          <w:lang w:eastAsia="zh-CN"/>
        </w:rPr>
      </w:pPr>
      <w:r>
        <w:rPr>
          <w:rFonts w:hint="eastAsia" w:ascii="宋体" w:hAnsi="宋体" w:eastAsia="宋体" w:cs="宋体"/>
          <w:b/>
          <w:color w:val="000000"/>
          <w:sz w:val="72"/>
          <w:szCs w:val="52"/>
          <w:highlight w:val="none"/>
        </w:rPr>
        <w:t>建设工程施工合同</w:t>
      </w:r>
    </w:p>
    <w:p>
      <w:pPr>
        <w:jc w:val="center"/>
        <w:rPr>
          <w:rFonts w:hint="eastAsia" w:ascii="宋体" w:hAnsi="宋体" w:eastAsia="宋体" w:cs="宋体"/>
          <w:b/>
          <w:color w:val="000000"/>
          <w:sz w:val="52"/>
          <w:szCs w:val="52"/>
          <w:highlight w:val="none"/>
        </w:rPr>
      </w:pPr>
      <w:r>
        <w:rPr>
          <w:rFonts w:hint="eastAsia" w:ascii="宋体" w:hAnsi="宋体" w:eastAsia="宋体" w:cs="宋体"/>
          <w:b/>
          <w:color w:val="000000"/>
          <w:sz w:val="52"/>
          <w:szCs w:val="52"/>
          <w:highlight w:val="none"/>
        </w:rPr>
        <w:t>（示范文本）</w:t>
      </w:r>
    </w:p>
    <w:p>
      <w:pPr>
        <w:jc w:val="center"/>
        <w:rPr>
          <w:rFonts w:hint="eastAsia" w:ascii="宋体" w:hAnsi="宋体" w:eastAsia="宋体" w:cs="宋体"/>
          <w:b/>
          <w:color w:val="000000"/>
          <w:sz w:val="52"/>
          <w:szCs w:val="52"/>
          <w:highlight w:val="none"/>
        </w:rPr>
      </w:pPr>
    </w:p>
    <w:p>
      <w:pPr>
        <w:rPr>
          <w:rFonts w:hint="eastAsia" w:ascii="宋体" w:hAnsi="宋体" w:eastAsia="宋体" w:cs="宋体"/>
          <w:b/>
          <w:color w:val="000000"/>
          <w:sz w:val="72"/>
          <w:szCs w:val="72"/>
          <w:highlight w:val="none"/>
        </w:rPr>
      </w:pPr>
    </w:p>
    <w:p>
      <w:pPr>
        <w:jc w:val="center"/>
        <w:rPr>
          <w:rFonts w:hint="eastAsia" w:ascii="宋体" w:hAnsi="宋体" w:eastAsia="宋体" w:cs="宋体"/>
          <w:b/>
          <w:color w:val="000000"/>
          <w:sz w:val="52"/>
          <w:szCs w:val="52"/>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ind w:right="2719" w:rightChars="1295" w:firstLine="2738" w:firstLineChars="1304"/>
        <w:jc w:val="distribute"/>
        <w:rPr>
          <w:rFonts w:hint="eastAsia" w:ascii="宋体" w:hAnsi="宋体" w:eastAsia="宋体" w:cs="宋体"/>
          <w:b/>
          <w:color w:val="000000"/>
          <w:sz w:val="32"/>
          <w:szCs w:val="28"/>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rjuYvwQCAAAMBAAADgAAAGRycy9lMm9Eb2MueG1srVNL&#10;jhMxEN0jcQfLe9KZk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y9vppjhmJov&#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K47mL8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highlight w:val="none"/>
        </w:rPr>
        <w:t>住房城乡建设部</w:t>
      </w:r>
    </w:p>
    <w:p>
      <w:pPr>
        <w:ind w:right="2719" w:rightChars="1295" w:firstLine="2750" w:firstLineChars="856"/>
        <w:jc w:val="distribute"/>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国家工商行政管理总局</w:t>
      </w:r>
    </w:p>
    <w:p>
      <w:pPr>
        <w:rPr>
          <w:rFonts w:hint="eastAsia" w:ascii="宋体" w:hAnsi="宋体" w:eastAsia="宋体" w:cs="宋体"/>
          <w:b/>
          <w:color w:val="000000"/>
          <w:highlight w:val="none"/>
        </w:rPr>
      </w:pPr>
    </w:p>
    <w:p>
      <w:pPr>
        <w:pStyle w:val="44"/>
        <w:spacing w:before="0" w:after="0" w:line="240" w:lineRule="auto"/>
        <w:jc w:val="center"/>
        <w:rPr>
          <w:rFonts w:hint="eastAsia" w:ascii="宋体" w:hAnsi="宋体" w:eastAsia="宋体" w:cs="宋体"/>
          <w:sz w:val="28"/>
          <w:szCs w:val="28"/>
          <w:highlight w:val="none"/>
          <w:lang w:val="zh-CN"/>
        </w:rPr>
      </w:pPr>
      <w:r>
        <w:rPr>
          <w:rFonts w:hint="eastAsia" w:ascii="宋体" w:hAnsi="宋体" w:eastAsia="宋体" w:cs="宋体"/>
          <w:b w:val="0"/>
          <w:color w:val="000000"/>
          <w:highlight w:val="none"/>
        </w:rPr>
        <w:br w:type="page"/>
      </w:r>
      <w:bookmarkStart w:id="29" w:name="_Toc296503025"/>
      <w:bookmarkStart w:id="30" w:name="_Toc296890982"/>
      <w:bookmarkStart w:id="31" w:name="_Toc351203480"/>
      <w:r>
        <w:rPr>
          <w:rFonts w:hint="eastAsia" w:ascii="宋体" w:hAnsi="宋体" w:eastAsia="宋体" w:cs="宋体"/>
          <w:sz w:val="28"/>
          <w:szCs w:val="28"/>
          <w:highlight w:val="none"/>
          <w:lang w:val="zh-CN"/>
        </w:rPr>
        <w:t>说  明</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为了指导建设工程施工合同当事人的签约行为，维护合同当事人的合法权益，依据《中华人民共和国</w:t>
      </w:r>
      <w:r>
        <w:rPr>
          <w:rFonts w:hint="eastAsia" w:ascii="宋体" w:hAnsi="宋体" w:eastAsia="宋体" w:cs="宋体"/>
          <w:sz w:val="21"/>
          <w:szCs w:val="21"/>
          <w:highlight w:val="none"/>
          <w:lang w:eastAsia="zh-CN"/>
        </w:rPr>
        <w:t>民法典</w:t>
      </w:r>
      <w:r>
        <w:rPr>
          <w:rFonts w:hint="eastAsia" w:ascii="宋体" w:hAnsi="宋体" w:eastAsia="宋体" w:cs="宋体"/>
          <w:sz w:val="21"/>
          <w:szCs w:val="21"/>
          <w:highlight w:val="none"/>
        </w:rPr>
        <w:t>》、《中华人民共和国建筑法》、《中华人民共和国招标投标法》以及相关法律法规，住房城乡建设部、国家工商行政管理总局对《建设工程施工合同（示范文本）》（GF-1999-0201）进行了修订，制定了《建设工程施工合同（示范文本）》（GF-201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-0201）（以下简称《示范文本》）。为了便于合同当事人使用《示范文本》，现就有关问题说明如下：</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一、《示范文本》的组成</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《示范文本》由合同协议书和专用合同条款</w:t>
      </w: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部分组成。</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（一）合同协议书</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）专用合同条款</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pageBreakBefore w:val="0"/>
        <w:widowControl w:val="0"/>
        <w:kinsoku/>
        <w:wordWrap/>
        <w:overflowPunct/>
        <w:topLinePunct w:val="0"/>
        <w:bidi w:val="0"/>
        <w:snapToGrid/>
        <w:spacing w:line="400" w:lineRule="exact"/>
        <w:ind w:right="25" w:rightChars="12"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1、专用合同条款的编号应与相应的通用合同条款的编号一致；</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2、合同当事人可以通过对专用合同条款的修改，满足具体建设工程的特殊要求，避免直接修改通用合同条款；</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3、在专用合同条款中有横道线的地方，合同当事人可针对相应的通用合同条款进行细化、完善、补充、修改或另行约定；如无细化、完善、补充、修改或另行约定，则填写“无”或划“/”。</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bCs/>
          <w:sz w:val="21"/>
          <w:szCs w:val="21"/>
          <w:highlight w:val="none"/>
        </w:rPr>
        <w:t>二、《示范文本》的性质和适用范围</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sectPr>
          <w:footerReference r:id="rId11" w:type="default"/>
          <w:pgSz w:w="11906" w:h="16838"/>
          <w:pgMar w:top="1418" w:right="1555" w:bottom="1418" w:left="1531" w:header="851" w:footer="992" w:gutter="0"/>
          <w:pgNumType w:fmt="decimal" w:start="1"/>
          <w:cols w:space="720" w:num="1"/>
          <w:docGrid w:type="lines" w:linePitch="312" w:charSpace="0"/>
        </w:sectPr>
      </w:pPr>
      <w:r>
        <w:rPr>
          <w:rFonts w:hint="eastAsia" w:ascii="宋体" w:hAnsi="宋体" w:eastAsia="宋体" w:cs="宋体"/>
          <w:sz w:val="21"/>
          <w:szCs w:val="21"/>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3"/>
        <w:numPr>
          <w:ilvl w:val="0"/>
          <w:numId w:val="0"/>
        </w:numPr>
        <w:spacing w:line="240" w:lineRule="auto"/>
        <w:ind w:firstLine="3755" w:firstLineChars="1700"/>
        <w:jc w:val="both"/>
        <w:rPr>
          <w:rFonts w:hint="eastAsia" w:ascii="宋体" w:hAnsi="宋体" w:eastAsia="宋体" w:cs="宋体"/>
          <w:b w:val="0"/>
          <w:color w:val="000000"/>
          <w:sz w:val="22"/>
          <w:szCs w:val="22"/>
          <w:highlight w:val="none"/>
        </w:rPr>
      </w:pPr>
      <w:r>
        <w:rPr>
          <w:rFonts w:hint="eastAsia" w:ascii="宋体" w:hAnsi="宋体" w:eastAsia="宋体" w:cs="宋体"/>
          <w:sz w:val="22"/>
          <w:szCs w:val="22"/>
          <w:highlight w:val="none"/>
        </w:rPr>
        <w:t>第一部分 合同协议书</w:t>
      </w:r>
      <w:bookmarkEnd w:id="29"/>
      <w:bookmarkEnd w:id="30"/>
      <w:bookmarkEnd w:id="31"/>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rPr>
        <w:t>发包人（全称）：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b/>
          <w:color w:val="000000"/>
          <w:sz w:val="21"/>
          <w:szCs w:val="21"/>
          <w:highlight w:val="non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rPr>
        <w:t>承包人（全称）：</w:t>
      </w:r>
      <w:r>
        <w:rPr>
          <w:rFonts w:hint="eastAsia" w:ascii="宋体" w:hAnsi="宋体" w:eastAsia="宋体" w:cs="宋体"/>
          <w:b/>
          <w:color w:val="000000"/>
          <w:sz w:val="21"/>
          <w:szCs w:val="21"/>
          <w:highlight w:val="none"/>
          <w:u w:val="single"/>
        </w:rPr>
        <w:t xml:space="preserve">                            </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根据《中华人民共和国</w:t>
      </w:r>
      <w:r>
        <w:rPr>
          <w:rFonts w:hint="eastAsia" w:ascii="宋体" w:hAnsi="宋体" w:eastAsia="宋体" w:cs="宋体"/>
          <w:color w:val="000000"/>
          <w:sz w:val="21"/>
          <w:szCs w:val="21"/>
          <w:highlight w:val="none"/>
          <w:lang w:eastAsia="zh-CN"/>
        </w:rPr>
        <w:t>民法典</w:t>
      </w:r>
      <w:r>
        <w:rPr>
          <w:rFonts w:hint="eastAsia" w:ascii="宋体" w:hAnsi="宋体" w:eastAsia="宋体" w:cs="宋体"/>
          <w:color w:val="000000"/>
          <w:sz w:val="21"/>
          <w:szCs w:val="21"/>
          <w:highlight w:val="none"/>
        </w:rPr>
        <w:t>》、《中华人民共和国建筑法》及有关法律规定，遵循平等、自愿、公平和诚实信用的原则，双方就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工程施工及有关事项协商一致，共同达成如下协议：</w:t>
      </w:r>
    </w:p>
    <w:p>
      <w:pPr>
        <w:pStyle w:val="4"/>
        <w:pageBreakBefore w:val="0"/>
        <w:widowControl w:val="0"/>
        <w:numPr>
          <w:ilvl w:val="0"/>
          <w:numId w:val="0"/>
        </w:numPr>
        <w:kinsoku/>
        <w:wordWrap/>
        <w:overflowPunct/>
        <w:topLinePunct w:val="0"/>
        <w:bidi w:val="0"/>
        <w:snapToGrid/>
        <w:spacing w:before="120" w:after="120" w:line="400" w:lineRule="exact"/>
        <w:textAlignment w:val="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32" w:name="_Toc351203481"/>
      <w:r>
        <w:rPr>
          <w:rFonts w:hint="eastAsia" w:ascii="宋体" w:hAnsi="宋体" w:eastAsia="宋体" w:cs="宋体"/>
          <w:b w:val="0"/>
          <w:color w:val="000000"/>
          <w:sz w:val="21"/>
          <w:szCs w:val="21"/>
          <w:highlight w:val="none"/>
        </w:rPr>
        <w:t>一、工程概况</w:t>
      </w:r>
      <w:bookmarkEnd w:id="32"/>
    </w:p>
    <w:p>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color w:val="000000"/>
          <w:sz w:val="21"/>
          <w:szCs w:val="21"/>
          <w:highlight w:val="none"/>
          <w:u w:val="single"/>
        </w:rPr>
      </w:pPr>
      <w:r>
        <w:rPr>
          <w:rFonts w:hint="eastAsia" w:ascii="宋体" w:hAnsi="宋体" w:eastAsia="宋体" w:cs="宋体"/>
          <w:bCs/>
          <w:color w:val="000000"/>
          <w:sz w:val="21"/>
          <w:szCs w:val="21"/>
          <w:highlight w:val="none"/>
        </w:rPr>
        <w:t>1.工程名称</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2.工程地点：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3.工程立项批准文号：</w:t>
      </w:r>
      <w:r>
        <w:rPr>
          <w:rFonts w:hint="eastAsia" w:ascii="宋体" w:hAnsi="宋体" w:eastAsia="宋体" w:cs="宋体"/>
          <w:color w:val="000000"/>
          <w:sz w:val="21"/>
          <w:szCs w:val="21"/>
          <w:highlight w:val="none"/>
          <w:u w:val="single"/>
        </w:rPr>
        <w:t xml:space="preserve">                </w:t>
      </w:r>
      <w:r>
        <w:rPr>
          <w:rFonts w:hint="eastAsia" w:ascii="宋体" w:hAnsi="宋体" w:eastAsia="宋体" w:cs="宋体"/>
          <w:bCs/>
          <w:color w:val="000000"/>
          <w:sz w:val="21"/>
          <w:szCs w:val="21"/>
          <w:highlight w:val="none"/>
        </w:rPr>
        <w:t>。</w:t>
      </w:r>
    </w:p>
    <w:p>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4.资金来源：</w:t>
      </w:r>
      <w:r>
        <w:rPr>
          <w:rFonts w:hint="eastAsia" w:ascii="宋体" w:hAnsi="宋体" w:eastAsia="宋体" w:cs="宋体"/>
          <w:color w:val="000000"/>
          <w:sz w:val="21"/>
          <w:szCs w:val="21"/>
          <w:highlight w:val="none"/>
          <w:u w:val="single"/>
        </w:rPr>
        <w:t xml:space="preserve">                </w:t>
      </w:r>
      <w:r>
        <w:rPr>
          <w:rFonts w:hint="eastAsia" w:ascii="宋体" w:hAnsi="宋体" w:eastAsia="宋体" w:cs="宋体"/>
          <w:bCs/>
          <w:color w:val="000000"/>
          <w:sz w:val="21"/>
          <w:szCs w:val="21"/>
          <w:highlight w:val="none"/>
        </w:rPr>
        <w:t>。</w:t>
      </w:r>
    </w:p>
    <w:p>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5.工程内容：</w:t>
      </w:r>
      <w:r>
        <w:rPr>
          <w:rFonts w:hint="eastAsia" w:ascii="宋体" w:hAnsi="宋体" w:eastAsia="宋体" w:cs="宋体"/>
          <w:color w:val="000000"/>
          <w:sz w:val="21"/>
          <w:szCs w:val="21"/>
          <w:highlight w:val="none"/>
          <w:u w:val="single"/>
        </w:rPr>
        <w:t xml:space="preserve">                                </w:t>
      </w:r>
      <w:r>
        <w:rPr>
          <w:rFonts w:hint="eastAsia" w:ascii="宋体" w:hAnsi="宋体" w:eastAsia="宋体" w:cs="宋体"/>
          <w:bCs/>
          <w:color w:val="000000"/>
          <w:sz w:val="21"/>
          <w:szCs w:val="21"/>
          <w:highlight w:val="none"/>
        </w:rPr>
        <w:t>。</w:t>
      </w:r>
    </w:p>
    <w:p>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群体工程应附《承包人承揽工程项目一览表》（附件1）。</w:t>
      </w:r>
    </w:p>
    <w:p>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6.工程承包范围：</w:t>
      </w:r>
    </w:p>
    <w:p>
      <w:pPr>
        <w:pageBreakBefore w:val="0"/>
        <w:widowControl w:val="0"/>
        <w:kinsoku/>
        <w:wordWrap/>
        <w:overflowPunct/>
        <w:topLinePunct w:val="0"/>
        <w:bidi w:val="0"/>
        <w:snapToGrid/>
        <w:spacing w:line="400" w:lineRule="exact"/>
        <w:ind w:firstLine="615" w:firstLineChars="293"/>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                                             </w:t>
      </w:r>
    </w:p>
    <w:p>
      <w:pPr>
        <w:pageBreakBefore w:val="0"/>
        <w:widowControl w:val="0"/>
        <w:kinsoku/>
        <w:wordWrap/>
        <w:overflowPunct/>
        <w:topLinePunct w:val="0"/>
        <w:bidi w:val="0"/>
        <w:snapToGrid/>
        <w:spacing w:line="400" w:lineRule="exact"/>
        <w:ind w:firstLine="615" w:firstLineChars="293"/>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Style w:val="4"/>
        <w:pageBreakBefore w:val="0"/>
        <w:widowControl w:val="0"/>
        <w:numPr>
          <w:ilvl w:val="0"/>
          <w:numId w:val="0"/>
        </w:numPr>
        <w:kinsoku/>
        <w:wordWrap/>
        <w:overflowPunct/>
        <w:topLinePunct w:val="0"/>
        <w:bidi w:val="0"/>
        <w:snapToGrid/>
        <w:spacing w:before="120" w:after="120" w:line="400" w:lineRule="exact"/>
        <w:textAlignment w:val="auto"/>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 xml:space="preserve">   </w:t>
      </w:r>
      <w:bookmarkStart w:id="33" w:name="_Toc351203482"/>
      <w:r>
        <w:rPr>
          <w:rFonts w:hint="eastAsia" w:ascii="宋体" w:hAnsi="宋体" w:eastAsia="宋体" w:cs="宋体"/>
          <w:b w:val="0"/>
          <w:color w:val="000000"/>
          <w:sz w:val="21"/>
          <w:szCs w:val="21"/>
          <w:highlight w:val="none"/>
        </w:rPr>
        <w:t>二、合同工期</w:t>
      </w:r>
      <w:bookmarkEnd w:id="33"/>
    </w:p>
    <w:p>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计划开工日期：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计划竣工日期：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工期总日历天数：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天。工期总日历天数与根据前述计划开竣工日期计算的工期天数不一致的，以工期总日历天数为准。</w:t>
      </w:r>
    </w:p>
    <w:p>
      <w:pPr>
        <w:pStyle w:val="4"/>
        <w:pageBreakBefore w:val="0"/>
        <w:widowControl w:val="0"/>
        <w:numPr>
          <w:ilvl w:val="0"/>
          <w:numId w:val="0"/>
        </w:numPr>
        <w:kinsoku/>
        <w:wordWrap/>
        <w:overflowPunct/>
        <w:topLinePunct w:val="0"/>
        <w:bidi w:val="0"/>
        <w:snapToGrid/>
        <w:spacing w:before="120" w:after="120" w:line="400" w:lineRule="exact"/>
        <w:textAlignment w:val="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34" w:name="_Toc351203483"/>
      <w:r>
        <w:rPr>
          <w:rFonts w:hint="eastAsia" w:ascii="宋体" w:hAnsi="宋体" w:eastAsia="宋体" w:cs="宋体"/>
          <w:b w:val="0"/>
          <w:color w:val="000000"/>
          <w:sz w:val="21"/>
          <w:szCs w:val="21"/>
          <w:highlight w:val="none"/>
        </w:rPr>
        <w:t>三、质量标准</w:t>
      </w:r>
      <w:bookmarkEnd w:id="34"/>
    </w:p>
    <w:p>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工程质量符合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标准。</w:t>
      </w:r>
    </w:p>
    <w:p>
      <w:pPr>
        <w:pStyle w:val="4"/>
        <w:pageBreakBefore w:val="0"/>
        <w:widowControl w:val="0"/>
        <w:numPr>
          <w:ilvl w:val="0"/>
          <w:numId w:val="0"/>
        </w:numPr>
        <w:kinsoku/>
        <w:wordWrap/>
        <w:overflowPunct/>
        <w:topLinePunct w:val="0"/>
        <w:bidi w:val="0"/>
        <w:snapToGrid/>
        <w:spacing w:before="120" w:after="120" w:line="400" w:lineRule="exact"/>
        <w:textAlignment w:val="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35" w:name="_Toc351203484"/>
      <w:r>
        <w:rPr>
          <w:rFonts w:hint="eastAsia" w:ascii="宋体" w:hAnsi="宋体" w:eastAsia="宋体" w:cs="宋体"/>
          <w:b w:val="0"/>
          <w:color w:val="000000"/>
          <w:sz w:val="21"/>
          <w:szCs w:val="21"/>
          <w:highlight w:val="none"/>
        </w:rPr>
        <w:t>四、签约合同价与合同价格形式</w:t>
      </w:r>
      <w:bookmarkEnd w:id="35"/>
      <w:r>
        <w:rPr>
          <w:rFonts w:hint="eastAsia" w:ascii="宋体" w:hAnsi="宋体" w:eastAsia="宋体" w:cs="宋体"/>
          <w:b w:val="0"/>
          <w:color w:val="000000"/>
          <w:sz w:val="21"/>
          <w:szCs w:val="21"/>
          <w:highlight w:val="none"/>
        </w:rPr>
        <w:tab/>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1.签约合同价为：</w:t>
      </w:r>
    </w:p>
    <w:p>
      <w:pPr>
        <w:pageBreakBefore w:val="0"/>
        <w:widowControl w:val="0"/>
        <w:kinsoku/>
        <w:wordWrap/>
        <w:overflowPunct/>
        <w:topLinePunct w:val="0"/>
        <w:bidi w:val="0"/>
        <w:snapToGrid/>
        <w:spacing w:line="400" w:lineRule="exact"/>
        <w:ind w:firstLine="525" w:firstLineChars="25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其中：</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（1）安全文明施工费：</w:t>
      </w:r>
    </w:p>
    <w:p>
      <w:pPr>
        <w:pageBreakBefore w:val="0"/>
        <w:widowControl w:val="0"/>
        <w:kinsoku/>
        <w:wordWrap/>
        <w:overflowPunct/>
        <w:topLinePunct w:val="0"/>
        <w:bidi w:val="0"/>
        <w:snapToGrid/>
        <w:spacing w:line="400" w:lineRule="exact"/>
        <w:ind w:firstLine="945" w:firstLineChars="45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（2）材料和工程设备暂估价金额：</w:t>
      </w:r>
    </w:p>
    <w:p>
      <w:pPr>
        <w:pageBreakBefore w:val="0"/>
        <w:widowControl w:val="0"/>
        <w:kinsoku/>
        <w:wordWrap/>
        <w:overflowPunct/>
        <w:topLinePunct w:val="0"/>
        <w:bidi w:val="0"/>
        <w:snapToGrid/>
        <w:spacing w:line="400" w:lineRule="exact"/>
        <w:ind w:firstLine="945" w:firstLineChars="45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（3）专业工程暂估价金额：</w:t>
      </w:r>
    </w:p>
    <w:p>
      <w:pPr>
        <w:pageBreakBefore w:val="0"/>
        <w:widowControl w:val="0"/>
        <w:kinsoku/>
        <w:wordWrap/>
        <w:overflowPunct/>
        <w:topLinePunct w:val="0"/>
        <w:bidi w:val="0"/>
        <w:snapToGrid/>
        <w:spacing w:line="400" w:lineRule="exact"/>
        <w:ind w:firstLine="945" w:firstLineChars="45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（4）暂列金额：</w:t>
      </w:r>
    </w:p>
    <w:p>
      <w:pPr>
        <w:pageBreakBefore w:val="0"/>
        <w:widowControl w:val="0"/>
        <w:kinsoku/>
        <w:wordWrap/>
        <w:overflowPunct/>
        <w:topLinePunct w:val="0"/>
        <w:bidi w:val="0"/>
        <w:snapToGrid/>
        <w:spacing w:line="400" w:lineRule="exact"/>
        <w:ind w:firstLine="945" w:firstLineChars="45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2.合同价格形式：</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Style w:val="4"/>
        <w:pageBreakBefore w:val="0"/>
        <w:widowControl w:val="0"/>
        <w:numPr>
          <w:ilvl w:val="0"/>
          <w:numId w:val="0"/>
        </w:numPr>
        <w:kinsoku/>
        <w:wordWrap/>
        <w:overflowPunct/>
        <w:topLinePunct w:val="0"/>
        <w:bidi w:val="0"/>
        <w:snapToGrid/>
        <w:spacing w:before="120" w:after="120" w:line="400" w:lineRule="exact"/>
        <w:textAlignment w:val="auto"/>
        <w:rPr>
          <w:rFonts w:hint="eastAsia" w:ascii="宋体" w:hAnsi="宋体" w:eastAsia="宋体" w:cs="宋体"/>
          <w:b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36" w:name="_Toc351203485"/>
      <w:r>
        <w:rPr>
          <w:rFonts w:hint="eastAsia" w:ascii="宋体" w:hAnsi="宋体" w:eastAsia="宋体" w:cs="宋体"/>
          <w:b w:val="0"/>
          <w:color w:val="000000"/>
          <w:sz w:val="21"/>
          <w:szCs w:val="21"/>
          <w:highlight w:val="none"/>
        </w:rPr>
        <w:t>五、</w:t>
      </w:r>
      <w:bookmarkEnd w:id="36"/>
      <w:r>
        <w:rPr>
          <w:rFonts w:hint="eastAsia" w:ascii="宋体" w:hAnsi="宋体" w:eastAsia="宋体" w:cs="宋体"/>
          <w:b w:val="0"/>
          <w:color w:val="000000"/>
          <w:sz w:val="21"/>
          <w:szCs w:val="21"/>
          <w:highlight w:val="none"/>
        </w:rPr>
        <w:t>项目经理</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承包人项目经理：</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Style w:val="4"/>
        <w:pageBreakBefore w:val="0"/>
        <w:widowControl w:val="0"/>
        <w:numPr>
          <w:ilvl w:val="0"/>
          <w:numId w:val="0"/>
        </w:numPr>
        <w:kinsoku/>
        <w:wordWrap/>
        <w:overflowPunct/>
        <w:topLinePunct w:val="0"/>
        <w:bidi w:val="0"/>
        <w:snapToGrid/>
        <w:spacing w:before="120" w:after="120" w:line="400" w:lineRule="exact"/>
        <w:textAlignment w:val="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37" w:name="_Toc351203486"/>
      <w:r>
        <w:rPr>
          <w:rFonts w:hint="eastAsia" w:ascii="宋体" w:hAnsi="宋体" w:eastAsia="宋体" w:cs="宋体"/>
          <w:b w:val="0"/>
          <w:color w:val="000000"/>
          <w:sz w:val="21"/>
          <w:szCs w:val="21"/>
          <w:highlight w:val="none"/>
        </w:rPr>
        <w:t>六、合同文件构成</w:t>
      </w:r>
      <w:bookmarkEnd w:id="37"/>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本协议书与下列文件一起构成合同文件：</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（1）中标通知书（如果有）；</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（2）投标函及其附录（如果有）； </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（3）专用合同条款及其附件；</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（4）通用合同条款；</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（5）技术标准和要求；</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（6）图纸；</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（7）已标价工程量清单或预算书；</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（8）其他合同文件。</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在合同订立及履行过程中形成的与合同有关的文件均构成合同文件组成部分。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4"/>
        <w:pageBreakBefore w:val="0"/>
        <w:widowControl w:val="0"/>
        <w:numPr>
          <w:ilvl w:val="0"/>
          <w:numId w:val="0"/>
        </w:numPr>
        <w:kinsoku/>
        <w:wordWrap/>
        <w:overflowPunct/>
        <w:topLinePunct w:val="0"/>
        <w:bidi w:val="0"/>
        <w:snapToGrid/>
        <w:spacing w:before="120" w:after="120" w:line="400" w:lineRule="exact"/>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38" w:name="_Toc351203487"/>
      <w:r>
        <w:rPr>
          <w:rFonts w:hint="eastAsia" w:ascii="宋体" w:hAnsi="宋体" w:eastAsia="宋体" w:cs="宋体"/>
          <w:b w:val="0"/>
          <w:color w:val="000000"/>
          <w:sz w:val="21"/>
          <w:szCs w:val="21"/>
          <w:highlight w:val="none"/>
        </w:rPr>
        <w:t>七、承诺</w:t>
      </w:r>
      <w:bookmarkEnd w:id="38"/>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1.发包人承诺按照法律规定履行项目审批手续、筹集工程建设资金并按照合同约定的期限和方式支付合同价款。</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2.承包人承诺按照法律规定及合同约定组织完成工程施工，确保工程质量和安全，不进行转包及违法分包，并在缺陷责任期及保修期内承担相应的工程维修责任。</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3.发包人和承包人通过招投标形式签订合同的，双方理解并承诺不再就同一工程另行签订与合同实质性内容相背离的协议。</w:t>
      </w:r>
    </w:p>
    <w:p>
      <w:pPr>
        <w:pageBreakBefore w:val="0"/>
        <w:widowControl w:val="0"/>
        <w:kinsoku/>
        <w:wordWrap/>
        <w:overflowPunct/>
        <w:topLinePunct w:val="0"/>
        <w:bidi w:val="0"/>
        <w:snapToGrid/>
        <w:spacing w:line="400" w:lineRule="exact"/>
        <w:textAlignment w:val="auto"/>
        <w:rPr>
          <w:rFonts w:hint="eastAsia" w:ascii="宋体" w:hAnsi="宋体" w:eastAsia="宋体" w:cs="宋体"/>
          <w:bCs/>
          <w:color w:val="000000"/>
          <w:sz w:val="21"/>
          <w:szCs w:val="21"/>
          <w:highlight w:val="none"/>
        </w:rPr>
      </w:pPr>
      <w:bookmarkStart w:id="39" w:name="_Toc351203488"/>
      <w:r>
        <w:rPr>
          <w:rFonts w:hint="eastAsia" w:ascii="宋体" w:hAnsi="宋体" w:eastAsia="宋体" w:cs="宋体"/>
          <w:b/>
          <w:color w:val="000000"/>
          <w:sz w:val="21"/>
          <w:szCs w:val="21"/>
          <w:highlight w:val="none"/>
        </w:rPr>
        <w:t xml:space="preserve">    八、词语含义</w:t>
      </w:r>
      <w:bookmarkEnd w:id="39"/>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本协议书中词语含义与第二部分通用合同条款中赋予的含义相同。</w:t>
      </w:r>
    </w:p>
    <w:p>
      <w:pPr>
        <w:pStyle w:val="4"/>
        <w:pageBreakBefore w:val="0"/>
        <w:widowControl w:val="0"/>
        <w:numPr>
          <w:ilvl w:val="0"/>
          <w:numId w:val="0"/>
        </w:numPr>
        <w:kinsoku/>
        <w:wordWrap/>
        <w:overflowPunct/>
        <w:topLinePunct w:val="0"/>
        <w:bidi w:val="0"/>
        <w:snapToGrid/>
        <w:spacing w:before="120" w:after="120" w:line="400" w:lineRule="exact"/>
        <w:textAlignment w:val="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40" w:name="_Toc351203489"/>
      <w:r>
        <w:rPr>
          <w:rFonts w:hint="eastAsia" w:ascii="宋体" w:hAnsi="宋体" w:eastAsia="宋体" w:cs="宋体"/>
          <w:b w:val="0"/>
          <w:color w:val="000000"/>
          <w:sz w:val="21"/>
          <w:szCs w:val="21"/>
          <w:highlight w:val="none"/>
        </w:rPr>
        <w:t>九、签订时间</w:t>
      </w:r>
      <w:bookmarkEnd w:id="40"/>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本合同于</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年</w:t>
      </w:r>
      <w:r>
        <w:rPr>
          <w:rFonts w:hint="eastAsia" w:ascii="宋体" w:hAnsi="宋体" w:eastAsia="宋体" w:cs="宋体"/>
          <w:bCs/>
          <w:color w:val="000000"/>
          <w:sz w:val="21"/>
          <w:szCs w:val="21"/>
          <w:highlight w:val="none"/>
          <w:u w:val="single"/>
        </w:rPr>
        <w:t xml:space="preserve">   </w:t>
      </w:r>
      <w:r>
        <w:rPr>
          <w:rFonts w:hint="eastAsia" w:ascii="宋体" w:hAnsi="宋体" w:cs="宋体"/>
          <w:bCs/>
          <w:color w:val="000000"/>
          <w:sz w:val="21"/>
          <w:szCs w:val="21"/>
          <w:highlight w:val="none"/>
          <w:u w:val="single"/>
          <w:lang w:val="en-US" w:eastAsia="zh-CN"/>
        </w:rPr>
        <w:t xml:space="preserve">    </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月</w:t>
      </w:r>
      <w:r>
        <w:rPr>
          <w:rFonts w:hint="eastAsia" w:ascii="宋体" w:hAnsi="宋体" w:eastAsia="宋体" w:cs="宋体"/>
          <w:bCs/>
          <w:color w:val="000000"/>
          <w:sz w:val="21"/>
          <w:szCs w:val="21"/>
          <w:highlight w:val="none"/>
          <w:u w:val="single"/>
        </w:rPr>
        <w:t xml:space="preserve">  </w:t>
      </w:r>
      <w:r>
        <w:rPr>
          <w:rFonts w:hint="eastAsia" w:ascii="宋体" w:hAnsi="宋体" w:cs="宋体"/>
          <w:bCs/>
          <w:color w:val="000000"/>
          <w:sz w:val="21"/>
          <w:szCs w:val="21"/>
          <w:highlight w:val="none"/>
          <w:u w:val="single"/>
          <w:lang w:val="en-US" w:eastAsia="zh-CN"/>
        </w:rPr>
        <w:t xml:space="preserve">     </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日签订。</w:t>
      </w:r>
    </w:p>
    <w:p>
      <w:pPr>
        <w:pStyle w:val="4"/>
        <w:pageBreakBefore w:val="0"/>
        <w:widowControl w:val="0"/>
        <w:numPr>
          <w:ilvl w:val="0"/>
          <w:numId w:val="0"/>
        </w:numPr>
        <w:kinsoku/>
        <w:wordWrap/>
        <w:overflowPunct/>
        <w:topLinePunct w:val="0"/>
        <w:bidi w:val="0"/>
        <w:snapToGrid/>
        <w:spacing w:before="120" w:after="120" w:line="400" w:lineRule="exact"/>
        <w:textAlignment w:val="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41" w:name="_Toc351203490"/>
      <w:r>
        <w:rPr>
          <w:rFonts w:hint="eastAsia" w:ascii="宋体" w:hAnsi="宋体" w:eastAsia="宋体" w:cs="宋体"/>
          <w:b w:val="0"/>
          <w:color w:val="000000"/>
          <w:sz w:val="21"/>
          <w:szCs w:val="21"/>
          <w:highlight w:val="none"/>
        </w:rPr>
        <w:t>十、签订地点</w:t>
      </w:r>
      <w:bookmarkEnd w:id="41"/>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本合同在</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签订。</w:t>
      </w:r>
    </w:p>
    <w:p>
      <w:pPr>
        <w:pStyle w:val="4"/>
        <w:pageBreakBefore w:val="0"/>
        <w:widowControl w:val="0"/>
        <w:numPr>
          <w:ilvl w:val="0"/>
          <w:numId w:val="0"/>
        </w:numPr>
        <w:kinsoku/>
        <w:wordWrap/>
        <w:overflowPunct/>
        <w:topLinePunct w:val="0"/>
        <w:bidi w:val="0"/>
        <w:snapToGrid/>
        <w:spacing w:before="120" w:after="120" w:line="400" w:lineRule="exact"/>
        <w:textAlignment w:val="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42" w:name="_Toc351203491"/>
      <w:r>
        <w:rPr>
          <w:rFonts w:hint="eastAsia" w:ascii="宋体" w:hAnsi="宋体" w:eastAsia="宋体" w:cs="宋体"/>
          <w:b w:val="0"/>
          <w:color w:val="000000"/>
          <w:sz w:val="21"/>
          <w:szCs w:val="21"/>
          <w:highlight w:val="none"/>
        </w:rPr>
        <w:t>十一、补充协议</w:t>
      </w:r>
      <w:bookmarkEnd w:id="42"/>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Cs/>
          <w:color w:val="000000"/>
          <w:sz w:val="21"/>
          <w:szCs w:val="21"/>
          <w:highlight w:val="none"/>
        </w:rPr>
        <w:t>合同未尽事宜，合同当事人另行签订补充协议，补充协议是合同的组成部分。</w:t>
      </w:r>
    </w:p>
    <w:p>
      <w:pPr>
        <w:pStyle w:val="4"/>
        <w:pageBreakBefore w:val="0"/>
        <w:widowControl w:val="0"/>
        <w:numPr>
          <w:ilvl w:val="0"/>
          <w:numId w:val="0"/>
        </w:numPr>
        <w:kinsoku/>
        <w:wordWrap/>
        <w:overflowPunct/>
        <w:topLinePunct w:val="0"/>
        <w:bidi w:val="0"/>
        <w:snapToGrid/>
        <w:spacing w:before="120" w:after="120" w:line="400" w:lineRule="exact"/>
        <w:textAlignment w:val="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43" w:name="_Toc351203492"/>
      <w:r>
        <w:rPr>
          <w:rFonts w:hint="eastAsia" w:ascii="宋体" w:hAnsi="宋体" w:eastAsia="宋体" w:cs="宋体"/>
          <w:b w:val="0"/>
          <w:color w:val="000000"/>
          <w:sz w:val="21"/>
          <w:szCs w:val="21"/>
          <w:highlight w:val="none"/>
        </w:rPr>
        <w:t>十二、合同生效</w:t>
      </w:r>
      <w:bookmarkEnd w:id="43"/>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本合同自</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生效。</w:t>
      </w:r>
    </w:p>
    <w:p>
      <w:pPr>
        <w:pStyle w:val="4"/>
        <w:pageBreakBefore w:val="0"/>
        <w:widowControl w:val="0"/>
        <w:numPr>
          <w:ilvl w:val="0"/>
          <w:numId w:val="0"/>
        </w:numPr>
        <w:kinsoku/>
        <w:wordWrap/>
        <w:overflowPunct/>
        <w:topLinePunct w:val="0"/>
        <w:bidi w:val="0"/>
        <w:snapToGrid/>
        <w:spacing w:before="120" w:after="120" w:line="400" w:lineRule="exact"/>
        <w:textAlignment w:val="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44" w:name="_Toc351203493"/>
      <w:r>
        <w:rPr>
          <w:rFonts w:hint="eastAsia" w:ascii="宋体" w:hAnsi="宋体" w:eastAsia="宋体" w:cs="宋体"/>
          <w:b w:val="0"/>
          <w:color w:val="000000"/>
          <w:sz w:val="21"/>
          <w:szCs w:val="21"/>
          <w:highlight w:val="none"/>
        </w:rPr>
        <w:t>十三、合同份数</w:t>
      </w:r>
      <w:bookmarkEnd w:id="44"/>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本合同一式</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份，均具有同等法律效力，发包人执</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份，承包人执</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份。</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  (公章)                    承包人：  (公章)</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法定代表人或其委托代理人：         法定代表人或其委托代理人：</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（签字）                          （签字）</w:t>
      </w:r>
    </w:p>
    <w:p>
      <w:pPr>
        <w:pageBreakBefore w:val="0"/>
        <w:widowControl w:val="0"/>
        <w:tabs>
          <w:tab w:val="left" w:pos="4410"/>
        </w:tabs>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组织机构代码：</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组织机构代码：</w:t>
      </w:r>
      <w:r>
        <w:rPr>
          <w:rFonts w:hint="eastAsia" w:ascii="宋体" w:hAnsi="宋体" w:eastAsia="宋体" w:cs="宋体"/>
          <w:color w:val="000000"/>
          <w:sz w:val="21"/>
          <w:szCs w:val="21"/>
          <w:highlight w:val="none"/>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地  址：</w:t>
      </w:r>
      <w:r>
        <w:rPr>
          <w:rFonts w:hint="eastAsia" w:ascii="宋体" w:hAnsi="宋体" w:eastAsia="宋体" w:cs="宋体"/>
          <w:color w:val="000000"/>
          <w:sz w:val="21"/>
          <w:szCs w:val="21"/>
          <w:highlight w:val="none"/>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邮政编码：</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邮政编码：</w:t>
      </w:r>
      <w:r>
        <w:rPr>
          <w:rFonts w:hint="eastAsia" w:ascii="宋体" w:hAnsi="宋体" w:eastAsia="宋体" w:cs="宋体"/>
          <w:color w:val="000000"/>
          <w:sz w:val="21"/>
          <w:szCs w:val="21"/>
          <w:highlight w:val="none"/>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法定代表人：</w:t>
      </w:r>
      <w:r>
        <w:rPr>
          <w:rFonts w:hint="eastAsia" w:ascii="宋体" w:hAnsi="宋体" w:eastAsia="宋体" w:cs="宋体"/>
          <w:color w:val="000000"/>
          <w:sz w:val="21"/>
          <w:szCs w:val="21"/>
          <w:highlight w:val="none"/>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委托代理人：</w:t>
      </w:r>
      <w:r>
        <w:rPr>
          <w:rFonts w:hint="eastAsia" w:ascii="宋体" w:hAnsi="宋体" w:eastAsia="宋体" w:cs="宋体"/>
          <w:color w:val="000000"/>
          <w:sz w:val="21"/>
          <w:szCs w:val="21"/>
          <w:highlight w:val="none"/>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电  话：</w:t>
      </w:r>
      <w:r>
        <w:rPr>
          <w:rFonts w:hint="eastAsia" w:ascii="宋体" w:hAnsi="宋体" w:eastAsia="宋体" w:cs="宋体"/>
          <w:color w:val="000000"/>
          <w:sz w:val="21"/>
          <w:szCs w:val="21"/>
          <w:highlight w:val="none"/>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传  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传  真：</w:t>
      </w:r>
      <w:r>
        <w:rPr>
          <w:rFonts w:hint="eastAsia" w:ascii="宋体" w:hAnsi="宋体" w:eastAsia="宋体" w:cs="宋体"/>
          <w:color w:val="000000"/>
          <w:sz w:val="21"/>
          <w:szCs w:val="21"/>
          <w:highlight w:val="none"/>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电子信箱：</w:t>
      </w:r>
      <w:r>
        <w:rPr>
          <w:rFonts w:hint="eastAsia" w:ascii="宋体" w:hAnsi="宋体" w:eastAsia="宋体" w:cs="宋体"/>
          <w:color w:val="000000"/>
          <w:sz w:val="21"/>
          <w:szCs w:val="21"/>
          <w:highlight w:val="none"/>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开户银行：</w:t>
      </w:r>
      <w:r>
        <w:rPr>
          <w:rFonts w:hint="eastAsia" w:ascii="宋体" w:hAnsi="宋体" w:eastAsia="宋体" w:cs="宋体"/>
          <w:color w:val="000000"/>
          <w:sz w:val="21"/>
          <w:szCs w:val="21"/>
          <w:highlight w:val="none"/>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账  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账  号：</w:t>
      </w:r>
      <w:r>
        <w:rPr>
          <w:rFonts w:hint="eastAsia" w:ascii="宋体" w:hAnsi="宋体" w:eastAsia="宋体" w:cs="宋体"/>
          <w:color w:val="000000"/>
          <w:sz w:val="21"/>
          <w:szCs w:val="21"/>
          <w:highlight w:val="none"/>
          <w:u w:val="single"/>
        </w:rPr>
        <w:t xml:space="preserve">                     </w:t>
      </w:r>
    </w:p>
    <w:p>
      <w:pPr>
        <w:pStyle w:val="3"/>
        <w:numPr>
          <w:ilvl w:val="0"/>
          <w:numId w:val="0"/>
        </w:num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45" w:name="_Toc351203494"/>
      <w:r>
        <w:rPr>
          <w:rFonts w:hint="eastAsia" w:ascii="宋体" w:hAnsi="宋体" w:eastAsia="宋体" w:cs="宋体"/>
          <w:sz w:val="24"/>
          <w:szCs w:val="24"/>
          <w:highlight w:val="none"/>
        </w:rPr>
        <w:t>第二部分 通用合同条款</w:t>
      </w:r>
      <w:bookmarkEnd w:id="45"/>
      <w:bookmarkStart w:id="46" w:name="_Toc337558727"/>
    </w:p>
    <w:p>
      <w:pPr>
        <w:pStyle w:val="6"/>
        <w:spacing w:line="400" w:lineRule="exact"/>
        <w:ind w:firstLine="240"/>
        <w:rPr>
          <w:rFonts w:hint="eastAsia" w:ascii="宋体" w:hAnsi="宋体" w:eastAsia="宋体" w:cs="宋体"/>
          <w:sz w:val="24"/>
          <w:highlight w:val="none"/>
        </w:rPr>
      </w:pPr>
    </w:p>
    <w:p>
      <w:pPr>
        <w:jc w:val="center"/>
        <w:rPr>
          <w:rFonts w:hint="eastAsia" w:ascii="宋体" w:hAnsi="宋体" w:eastAsia="宋体" w:cs="宋体"/>
          <w:sz w:val="24"/>
          <w:szCs w:val="24"/>
          <w:highlight w:val="none"/>
        </w:rPr>
      </w:pPr>
    </w:p>
    <w:p>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通用合同条款直接引用住房城乡建设部、国家工商行政管理总局《建设工程施工合同》(GF-2017-0201) “通用合同条款”部分。</w:t>
      </w: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p>
      <w:pPr>
        <w:pStyle w:val="6"/>
        <w:spacing w:line="400" w:lineRule="exact"/>
        <w:ind w:firstLine="240"/>
        <w:rPr>
          <w:rFonts w:hint="eastAsia" w:ascii="宋体" w:hAnsi="宋体" w:eastAsia="宋体" w:cs="宋体"/>
          <w:sz w:val="24"/>
          <w:highlight w:val="none"/>
        </w:rPr>
      </w:pPr>
    </w:p>
    <w:bookmarkEnd w:id="46"/>
    <w:p>
      <w:pPr>
        <w:pStyle w:val="3"/>
        <w:numPr>
          <w:ilvl w:val="0"/>
          <w:numId w:val="0"/>
        </w:numPr>
        <w:spacing w:line="400" w:lineRule="exact"/>
        <w:jc w:val="center"/>
        <w:rPr>
          <w:rFonts w:hint="eastAsia" w:ascii="宋体" w:hAnsi="宋体" w:eastAsia="宋体" w:cs="宋体"/>
          <w:sz w:val="24"/>
          <w:szCs w:val="24"/>
          <w:highlight w:val="none"/>
        </w:rPr>
      </w:pPr>
      <w:bookmarkStart w:id="47" w:name="_Toc351203632"/>
      <w:r>
        <w:rPr>
          <w:rFonts w:hint="eastAsia" w:ascii="宋体" w:hAnsi="宋体" w:eastAsia="宋体" w:cs="宋体"/>
          <w:sz w:val="24"/>
          <w:szCs w:val="24"/>
          <w:highlight w:val="none"/>
        </w:rPr>
        <w:t>第三部分 专用合同条款</w:t>
      </w:r>
      <w:bookmarkEnd w:id="47"/>
    </w:p>
    <w:p>
      <w:pPr>
        <w:jc w:val="both"/>
        <w:rPr>
          <w:rFonts w:hint="eastAsia" w:ascii="宋体" w:hAnsi="宋体" w:eastAsia="宋体" w:cs="宋体"/>
          <w:b/>
          <w:bCs/>
          <w:sz w:val="24"/>
          <w:szCs w:val="24"/>
          <w:highlight w:val="none"/>
        </w:rPr>
      </w:pPr>
      <w:bookmarkStart w:id="48" w:name="_Toc351203652"/>
      <w:r>
        <w:rPr>
          <w:rFonts w:hint="eastAsia" w:ascii="宋体" w:hAnsi="宋体" w:eastAsia="宋体" w:cs="宋体"/>
          <w:sz w:val="24"/>
          <w:szCs w:val="24"/>
          <w:highlight w:val="none"/>
          <w:lang w:val="en-US" w:eastAsia="zh-CN"/>
        </w:rPr>
        <w:t xml:space="preserve">      </w:t>
      </w:r>
    </w:p>
    <w:p>
      <w:pPr>
        <w:pStyle w:val="4"/>
        <w:pageBreakBefore w:val="0"/>
        <w:widowControl w:val="0"/>
        <w:numPr>
          <w:ilvl w:val="3"/>
          <w:numId w:val="0"/>
        </w:numPr>
        <w:kinsoku/>
        <w:wordWrap/>
        <w:overflowPunct/>
        <w:topLinePunct w:val="0"/>
        <w:bidi w:val="0"/>
        <w:snapToGrid/>
        <w:spacing w:before="120" w:after="120" w:line="400" w:lineRule="exact"/>
        <w:ind w:leftChars="0" w:firstLine="422" w:firstLineChars="200"/>
        <w:textAlignment w:val="auto"/>
        <w:rPr>
          <w:rFonts w:hint="eastAsia" w:ascii="宋体" w:hAnsi="宋体" w:eastAsia="宋体" w:cs="宋体"/>
          <w:b/>
          <w:bCs w:val="0"/>
          <w:color w:val="000000"/>
          <w:sz w:val="21"/>
          <w:szCs w:val="21"/>
          <w:highlight w:val="none"/>
          <w:lang w:val="en-US" w:eastAsia="zh-CN"/>
        </w:rPr>
      </w:pPr>
      <w:bookmarkStart w:id="49" w:name="_Toc27273"/>
      <w:bookmarkStart w:id="50" w:name="_Toc292559361"/>
      <w:bookmarkStart w:id="51" w:name="_Toc296503156"/>
      <w:bookmarkStart w:id="52" w:name="_Toc296890984"/>
      <w:bookmarkStart w:id="53" w:name="_Toc296347155"/>
      <w:bookmarkStart w:id="54" w:name="_Toc296944495"/>
      <w:bookmarkStart w:id="55" w:name="_Toc297120456"/>
      <w:bookmarkStart w:id="56" w:name="_Toc292559866"/>
      <w:bookmarkStart w:id="57" w:name="_Toc297048342"/>
      <w:bookmarkStart w:id="58" w:name="_Toc296891196"/>
      <w:bookmarkStart w:id="59" w:name="_Toc296346657"/>
      <w:r>
        <w:rPr>
          <w:rFonts w:hint="eastAsia" w:ascii="宋体" w:hAnsi="宋体" w:eastAsia="宋体" w:cs="宋体"/>
          <w:b/>
          <w:bCs w:val="0"/>
          <w:color w:val="000000"/>
          <w:sz w:val="21"/>
          <w:szCs w:val="21"/>
          <w:highlight w:val="none"/>
          <w:lang w:val="en-US" w:eastAsia="zh-CN"/>
        </w:rPr>
        <w:t>1、</w:t>
      </w:r>
      <w:r>
        <w:rPr>
          <w:rFonts w:hint="eastAsia" w:ascii="宋体" w:hAnsi="宋体" w:eastAsia="宋体" w:cs="宋体"/>
          <w:b/>
          <w:bCs w:val="0"/>
          <w:color w:val="000000"/>
          <w:sz w:val="21"/>
          <w:szCs w:val="21"/>
          <w:highlight w:val="none"/>
        </w:rPr>
        <w:t xml:space="preserve"> 一般约定</w:t>
      </w:r>
      <w:bookmarkEnd w:id="49"/>
      <w:r>
        <w:rPr>
          <w:rFonts w:hint="eastAsia" w:ascii="宋体" w:hAnsi="宋体" w:eastAsia="宋体" w:cs="宋体"/>
          <w:b/>
          <w:bCs w:val="0"/>
          <w:color w:val="000000"/>
          <w:sz w:val="21"/>
          <w:szCs w:val="21"/>
          <w:highlight w:val="none"/>
          <w:lang w:val="en-US" w:eastAsia="zh-CN"/>
        </w:rPr>
        <w:t xml:space="preserve"> </w:t>
      </w:r>
    </w:p>
    <w:bookmarkEnd w:id="50"/>
    <w:bookmarkEnd w:id="51"/>
    <w:bookmarkEnd w:id="52"/>
    <w:bookmarkEnd w:id="53"/>
    <w:bookmarkEnd w:id="54"/>
    <w:bookmarkEnd w:id="55"/>
    <w:bookmarkEnd w:id="56"/>
    <w:bookmarkEnd w:id="57"/>
    <w:bookmarkEnd w:id="58"/>
    <w:bookmarkEnd w:id="59"/>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 词语定义</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1.1.1合同</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1.1.1.10其他合同文件包括：</w:t>
      </w:r>
      <w:r>
        <w:rPr>
          <w:rFonts w:hint="eastAsia" w:ascii="宋体" w:hAnsi="宋体" w:eastAsia="宋体" w:cs="宋体"/>
          <w:color w:val="000000"/>
          <w:sz w:val="21"/>
          <w:szCs w:val="21"/>
          <w:highlight w:val="none"/>
          <w:u w:val="single"/>
        </w:rPr>
        <w:t xml:space="preserve">履行合同工程中双方工地代表人书面确认的对双方合同内容有实质影响的会议纪要、签、设计变更等资料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1.1.2 合同当事人及其他相关方</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1.1.2.4监理人：</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名    称：</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资质类别和等级：</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通信地址：</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1.1.2.5 设计人：</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名    称：</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资质类别和等级：</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通信地址：</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1.1.3 工程和设备</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1.1.3.7 作为施工现场组成部分的其他场所包括：</w:t>
      </w:r>
      <w:r>
        <w:rPr>
          <w:rFonts w:hint="eastAsia" w:ascii="宋体" w:hAnsi="宋体" w:eastAsia="宋体" w:cs="宋体"/>
          <w:color w:val="000000"/>
          <w:sz w:val="21"/>
          <w:szCs w:val="21"/>
          <w:highlight w:val="none"/>
          <w:u w:val="single"/>
        </w:rPr>
        <w:t xml:space="preserve"> 符合通用条款规定的发包方提供的施工场地</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1.1.3.9 永久占地包括：</w:t>
      </w:r>
      <w:r>
        <w:rPr>
          <w:rFonts w:hint="eastAsia" w:ascii="宋体" w:hAnsi="宋体" w:eastAsia="宋体" w:cs="宋体"/>
          <w:color w:val="000000"/>
          <w:sz w:val="21"/>
          <w:szCs w:val="21"/>
          <w:highlight w:val="none"/>
          <w:u w:val="single"/>
        </w:rPr>
        <w:t xml:space="preserve">         依据设计、图纸确定</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1.1.3.10 临时占地包括：</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1.3法律 </w:t>
      </w:r>
    </w:p>
    <w:p>
      <w:pPr>
        <w:pageBreakBefore w:val="0"/>
        <w:widowControl w:val="0"/>
        <w:kinsoku/>
        <w:wordWrap/>
        <w:overflowPunct/>
        <w:topLinePunct w:val="0"/>
        <w:autoSpaceDE w:val="0"/>
        <w:autoSpaceDN w:val="0"/>
        <w:bidi w:val="0"/>
        <w:adjustRightInd w:val="0"/>
        <w:snapToGrid/>
        <w:spacing w:line="400" w:lineRule="exact"/>
        <w:ind w:left="596" w:leftChars="284"/>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适用于合同的其他规范性文件：</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执行通用条款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 标准和规范</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1.4.1适用于工程的标准规范包括：</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执行通用条款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kern w:val="0"/>
          <w:sz w:val="21"/>
          <w:szCs w:val="21"/>
          <w:highlight w:val="none"/>
          <w:u w:val="single"/>
        </w:rPr>
      </w:pPr>
      <w:r>
        <w:rPr>
          <w:rFonts w:hint="eastAsia" w:ascii="宋体" w:hAnsi="宋体" w:eastAsia="宋体" w:cs="宋体"/>
          <w:color w:val="000000"/>
          <w:kern w:val="0"/>
          <w:sz w:val="21"/>
          <w:szCs w:val="21"/>
          <w:highlight w:val="none"/>
        </w:rPr>
        <w:t>1.4.2 发包人提供国外标准、规范的名称：</w:t>
      </w:r>
      <w:r>
        <w:rPr>
          <w:rFonts w:hint="eastAsia" w:ascii="宋体" w:hAnsi="宋体" w:eastAsia="宋体" w:cs="宋体"/>
          <w:color w:val="000000"/>
          <w:kern w:val="0"/>
          <w:sz w:val="21"/>
          <w:szCs w:val="21"/>
          <w:highlight w:val="none"/>
          <w:u w:val="single"/>
        </w:rPr>
        <w:t xml:space="preserve">        /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发包人提供国外标准、规范的份数：</w:t>
      </w:r>
      <w:r>
        <w:rPr>
          <w:rFonts w:hint="eastAsia" w:ascii="宋体" w:hAnsi="宋体" w:eastAsia="宋体" w:cs="宋体"/>
          <w:color w:val="000000"/>
          <w:kern w:val="0"/>
          <w:sz w:val="21"/>
          <w:szCs w:val="21"/>
          <w:highlight w:val="none"/>
          <w:u w:val="single"/>
        </w:rPr>
        <w:t xml:space="preserve">      /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发包人提供国外标准、规范的名称：</w:t>
      </w:r>
      <w:r>
        <w:rPr>
          <w:rFonts w:hint="eastAsia" w:ascii="宋体" w:hAnsi="宋体" w:eastAsia="宋体" w:cs="宋体"/>
          <w:color w:val="000000"/>
          <w:kern w:val="0"/>
          <w:sz w:val="21"/>
          <w:szCs w:val="21"/>
          <w:highlight w:val="none"/>
          <w:u w:val="single"/>
        </w:rPr>
        <w:t xml:space="preserve">        /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left="596" w:leftChars="284"/>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1.4.3发包人对工程的技术标准和功能要求的特殊要求：</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 合同文件的优先顺序</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合同文件组成及优先顺序为：</w:t>
      </w:r>
      <w:r>
        <w:rPr>
          <w:rFonts w:hint="eastAsia" w:ascii="宋体" w:hAnsi="宋体" w:eastAsia="宋体" w:cs="宋体"/>
          <w:color w:val="000000"/>
          <w:sz w:val="21"/>
          <w:szCs w:val="21"/>
          <w:highlight w:val="none"/>
          <w:u w:val="single"/>
        </w:rPr>
        <w:t xml:space="preserve">1、合同协议书   2、补充协议  3、招标文件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 图纸和承包人文件</w:t>
      </w:r>
      <w:r>
        <w:rPr>
          <w:rFonts w:hint="eastAsia" w:ascii="宋体" w:hAnsi="宋体" w:eastAsia="宋体" w:cs="宋体"/>
          <w:color w:val="000000"/>
          <w:sz w:val="21"/>
          <w:szCs w:val="21"/>
          <w:highlight w:val="none"/>
        </w:rPr>
        <w:tab/>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1.6.1 图纸的提供</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发包人向承包人提供图纸的期限：</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发包人向承包人提供图纸的数量：</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发包人向承包人提供图纸的内容：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1.6.4 承包人文件</w:t>
      </w:r>
    </w:p>
    <w:p>
      <w:pPr>
        <w:pageBreakBefore w:val="0"/>
        <w:widowControl w:val="0"/>
        <w:kinsoku/>
        <w:wordWrap/>
        <w:overflowPunct/>
        <w:topLinePunct w:val="0"/>
        <w:bidi w:val="0"/>
        <w:snapToGrid/>
        <w:spacing w:line="400" w:lineRule="exact"/>
        <w:ind w:left="596" w:leftChars="284"/>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需要由承包人提供的文件，包括：</w:t>
      </w:r>
      <w:r>
        <w:rPr>
          <w:rFonts w:hint="eastAsia" w:ascii="宋体" w:hAnsi="宋体" w:eastAsia="宋体" w:cs="宋体"/>
          <w:color w:val="000000"/>
          <w:sz w:val="21"/>
          <w:szCs w:val="21"/>
          <w:highlight w:val="none"/>
          <w:u w:val="single"/>
        </w:rPr>
        <w:t xml:space="preserve">    双方另行确定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承包人提供的文件的期限为：</w:t>
      </w:r>
      <w:r>
        <w:rPr>
          <w:rFonts w:hint="eastAsia" w:ascii="宋体" w:hAnsi="宋体" w:eastAsia="宋体" w:cs="宋体"/>
          <w:color w:val="000000"/>
          <w:sz w:val="21"/>
          <w:szCs w:val="21"/>
          <w:highlight w:val="none"/>
          <w:u w:val="single"/>
        </w:rPr>
        <w:t xml:space="preserve">         双方另行确定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承包人提供的文件的数量为：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三套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承包人提供的文件的形式为：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原件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发包人审批承包人文件的期限：</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收到承包人提供文件7日内</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1.6.5 现场图纸准备</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关于现场图纸准备的约定：</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执行通用条款</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 联络</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1.7.1发包人和承包人应当在</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7  </w:t>
      </w:r>
      <w:r>
        <w:rPr>
          <w:rFonts w:hint="eastAsia" w:ascii="宋体" w:hAnsi="宋体" w:eastAsia="宋体" w:cs="宋体"/>
          <w:color w:val="000000"/>
          <w:kern w:val="0"/>
          <w:sz w:val="21"/>
          <w:szCs w:val="21"/>
          <w:highlight w:val="none"/>
        </w:rPr>
        <w:t>天内将与合同有关的通知、批准、证明、证书、指示、指令、要求、请求、同意、意见、确定和决定等书面函件送达对方当事人。</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1.7.2 发包人接收文件的地点：</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发包人办公室</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发包人指定的接收人为：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承包人接收文件的地点：</w:t>
      </w:r>
      <w:r>
        <w:rPr>
          <w:rFonts w:hint="eastAsia" w:ascii="宋体" w:hAnsi="宋体" w:eastAsia="宋体" w:cs="宋体"/>
          <w:color w:val="000000"/>
          <w:sz w:val="21"/>
          <w:szCs w:val="21"/>
          <w:highlight w:val="none"/>
          <w:u w:val="single"/>
        </w:rPr>
        <w:t xml:space="preserve"> 项目所在地承包人项目部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承包人指定的接收人为：</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承包方项目负责人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监理人接收文件的地点：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监理人指定的接收人为：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1.10 交通运输</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bookmarkStart w:id="60" w:name="_Toc300934943"/>
      <w:bookmarkStart w:id="61" w:name="_Toc303539100"/>
      <w:bookmarkStart w:id="62" w:name="_Toc312677986"/>
      <w:bookmarkStart w:id="63" w:name="_Toc304295521"/>
      <w:bookmarkStart w:id="64" w:name="_Toc318581155"/>
      <w:r>
        <w:rPr>
          <w:rFonts w:hint="eastAsia" w:ascii="宋体" w:hAnsi="宋体" w:eastAsia="宋体" w:cs="宋体"/>
          <w:sz w:val="21"/>
          <w:szCs w:val="21"/>
          <w:highlight w:val="none"/>
        </w:rPr>
        <w:t>.10.1 出入现场的权利</w:t>
      </w:r>
    </w:p>
    <w:p>
      <w:pPr>
        <w:pageBreakBefore w:val="0"/>
        <w:widowControl w:val="0"/>
        <w:kinsoku/>
        <w:wordWrap/>
        <w:overflowPunct/>
        <w:topLinePunct w:val="0"/>
        <w:bidi w:val="0"/>
        <w:snapToGrid/>
        <w:spacing w:line="400" w:lineRule="exact"/>
        <w:ind w:left="596" w:leftChars="284"/>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关于出入现场的权利的约定：</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双方另行确定 </w:t>
      </w:r>
      <w:r>
        <w:rPr>
          <w:rFonts w:hint="eastAsia" w:ascii="宋体" w:hAnsi="宋体" w:eastAsia="宋体" w:cs="宋体"/>
          <w:sz w:val="21"/>
          <w:szCs w:val="21"/>
          <w:highlight w:val="none"/>
        </w:rPr>
        <w:t>。</w:t>
      </w:r>
    </w:p>
    <w:bookmarkEnd w:id="60"/>
    <w:bookmarkEnd w:id="61"/>
    <w:bookmarkEnd w:id="62"/>
    <w:bookmarkEnd w:id="63"/>
    <w:bookmarkEnd w:id="64"/>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bookmarkStart w:id="65" w:name="_Toc312677987"/>
      <w:bookmarkStart w:id="66" w:name="_Toc318581156"/>
      <w:bookmarkStart w:id="67" w:name="_Toc300934944"/>
      <w:bookmarkStart w:id="68" w:name="_Toc304295522"/>
      <w:bookmarkStart w:id="69" w:name="_Toc303539101"/>
      <w:r>
        <w:rPr>
          <w:rFonts w:hint="eastAsia" w:ascii="宋体" w:hAnsi="宋体" w:eastAsia="宋体" w:cs="宋体"/>
          <w:sz w:val="21"/>
          <w:szCs w:val="21"/>
          <w:highlight w:val="none"/>
        </w:rPr>
        <w:t>.10.3 场内交通</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关于场外交通和场内交通的边界的约定：</w:t>
      </w:r>
      <w:r>
        <w:rPr>
          <w:rFonts w:hint="eastAsia" w:ascii="宋体" w:hAnsi="宋体" w:eastAsia="宋体" w:cs="宋体"/>
          <w:color w:val="000000"/>
          <w:sz w:val="21"/>
          <w:szCs w:val="21"/>
          <w:highlight w:val="none"/>
          <w:u w:val="single"/>
        </w:rPr>
        <w:t>本项目施工现场大门及红线</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关于发包人向承包人免费提供满足工程施工需要的场内道路和交通设施的约定：</w:t>
      </w:r>
      <w:r>
        <w:rPr>
          <w:rFonts w:hint="eastAsia" w:ascii="宋体" w:hAnsi="宋体" w:eastAsia="宋体" w:cs="宋体"/>
          <w:color w:val="000000"/>
          <w:sz w:val="21"/>
          <w:szCs w:val="21"/>
          <w:highlight w:val="none"/>
          <w:u w:val="single"/>
        </w:rPr>
        <w:t xml:space="preserve">双方另行确定  </w:t>
      </w:r>
      <w:r>
        <w:rPr>
          <w:rFonts w:hint="eastAsia" w:ascii="宋体" w:hAnsi="宋体" w:eastAsia="宋体" w:cs="宋体"/>
          <w:sz w:val="21"/>
          <w:szCs w:val="21"/>
          <w:highlight w:val="none"/>
        </w:rPr>
        <w:t>。</w:t>
      </w:r>
      <w:bookmarkEnd w:id="65"/>
      <w:bookmarkEnd w:id="66"/>
      <w:bookmarkEnd w:id="67"/>
      <w:bookmarkEnd w:id="68"/>
      <w:bookmarkEnd w:id="69"/>
      <w:r>
        <w:rPr>
          <w:rFonts w:hint="eastAsia" w:ascii="宋体" w:hAnsi="宋体" w:eastAsia="宋体" w:cs="宋体"/>
          <w:sz w:val="21"/>
          <w:szCs w:val="21"/>
          <w:highlight w:val="none"/>
        </w:rPr>
        <w:t xml:space="preserve">  </w:t>
      </w:r>
      <w:bookmarkStart w:id="70" w:name="_Toc318581157"/>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1.10.4超大件和超重件的运输</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运输超大件或超重件所需的道路和桥梁临时加固改造费用和其他有关费用由</w:t>
      </w:r>
      <w:r>
        <w:rPr>
          <w:rFonts w:hint="eastAsia" w:ascii="宋体" w:hAnsi="宋体" w:eastAsia="宋体" w:cs="宋体"/>
          <w:sz w:val="21"/>
          <w:szCs w:val="21"/>
          <w:highlight w:val="none"/>
          <w:u w:val="single"/>
        </w:rPr>
        <w:t xml:space="preserve">  承包方 </w:t>
      </w:r>
      <w:r>
        <w:rPr>
          <w:rFonts w:hint="eastAsia" w:ascii="宋体" w:hAnsi="宋体" w:eastAsia="宋体" w:cs="宋体"/>
          <w:sz w:val="21"/>
          <w:szCs w:val="21"/>
          <w:highlight w:val="none"/>
        </w:rPr>
        <w:t>承担。</w:t>
      </w:r>
    </w:p>
    <w:bookmarkEnd w:id="70"/>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1.11 知识产权</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1"/>
          <w:szCs w:val="21"/>
          <w:highlight w:val="none"/>
          <w:u w:val="single"/>
        </w:rPr>
        <w:t xml:space="preserve">执行通用条款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关于发包人提供的上述文件的使用限制的要求：</w:t>
      </w:r>
      <w:r>
        <w:rPr>
          <w:rFonts w:hint="eastAsia" w:ascii="宋体" w:hAnsi="宋体" w:eastAsia="宋体" w:cs="宋体"/>
          <w:color w:val="000000"/>
          <w:sz w:val="21"/>
          <w:szCs w:val="21"/>
          <w:highlight w:val="none"/>
          <w:u w:val="single"/>
        </w:rPr>
        <w:t xml:space="preserve"> 由发包人确定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left="596" w:leftChars="284"/>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1.11.2 关于承包人为实施工程所编制文件的著作权的归属：</w:t>
      </w:r>
      <w:r>
        <w:rPr>
          <w:rFonts w:hint="eastAsia" w:ascii="宋体" w:hAnsi="宋体" w:eastAsia="宋体" w:cs="宋体"/>
          <w:color w:val="000000"/>
          <w:sz w:val="21"/>
          <w:szCs w:val="21"/>
          <w:highlight w:val="none"/>
          <w:u w:val="single"/>
        </w:rPr>
        <w:t xml:space="preserve">执行通用条款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关于承包人提供的上述文件的使用限制的要求：</w:t>
      </w:r>
      <w:r>
        <w:rPr>
          <w:rFonts w:hint="eastAsia" w:ascii="宋体" w:hAnsi="宋体" w:eastAsia="宋体" w:cs="宋体"/>
          <w:color w:val="000000"/>
          <w:sz w:val="21"/>
          <w:szCs w:val="21"/>
          <w:highlight w:val="none"/>
          <w:u w:val="single"/>
        </w:rPr>
        <w:t xml:space="preserve">执行通用条款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1.11.4 承包人在施工过程中所采用的专利、专有技术、技术秘密的使用费的承担方式： </w:t>
      </w:r>
      <w:r>
        <w:rPr>
          <w:rFonts w:hint="eastAsia" w:ascii="宋体" w:hAnsi="宋体" w:eastAsia="宋体" w:cs="宋体"/>
          <w:color w:val="000000"/>
          <w:sz w:val="21"/>
          <w:szCs w:val="21"/>
          <w:highlight w:val="none"/>
          <w:u w:val="single"/>
        </w:rPr>
        <w:t xml:space="preserve">执行通用条款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1.13工程量清单错误的修正</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出现工程量清单错误时，是否调整合同价格：</w:t>
      </w:r>
      <w:r>
        <w:rPr>
          <w:rFonts w:hint="eastAsia" w:ascii="宋体" w:hAnsi="宋体" w:eastAsia="宋体" w:cs="宋体"/>
          <w:color w:val="000000"/>
          <w:sz w:val="21"/>
          <w:szCs w:val="21"/>
          <w:highlight w:val="none"/>
          <w:u w:val="single"/>
        </w:rPr>
        <w:t xml:space="preserve">  是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允许调整合同价格的工程量偏差范围：</w:t>
      </w:r>
      <w:r>
        <w:rPr>
          <w:rFonts w:hint="eastAsia" w:ascii="宋体" w:hAnsi="宋体" w:eastAsia="宋体" w:cs="宋体"/>
          <w:color w:val="000000"/>
          <w:sz w:val="21"/>
          <w:szCs w:val="21"/>
          <w:highlight w:val="none"/>
          <w:u w:val="single"/>
        </w:rPr>
        <w:t>±</w:t>
      </w:r>
      <w:r>
        <w:rPr>
          <w:rFonts w:hint="eastAsia" w:ascii="宋体" w:hAnsi="宋体" w:cs="宋体"/>
          <w:color w:val="000000"/>
          <w:sz w:val="21"/>
          <w:szCs w:val="21"/>
          <w:highlight w:val="none"/>
          <w:u w:val="single"/>
          <w:lang w:val="en-US" w:eastAsia="zh-CN"/>
        </w:rPr>
        <w:t>5</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kern w:val="0"/>
          <w:sz w:val="21"/>
          <w:szCs w:val="21"/>
          <w:highlight w:val="none"/>
        </w:rPr>
        <w:t>。</w:t>
      </w:r>
    </w:p>
    <w:p>
      <w:pPr>
        <w:pStyle w:val="4"/>
        <w:pageBreakBefore w:val="0"/>
        <w:widowControl w:val="0"/>
        <w:numPr>
          <w:ilvl w:val="3"/>
          <w:numId w:val="0"/>
        </w:numPr>
        <w:kinsoku/>
        <w:wordWrap/>
        <w:overflowPunct/>
        <w:topLinePunct w:val="0"/>
        <w:bidi w:val="0"/>
        <w:snapToGrid/>
        <w:spacing w:before="120" w:after="120" w:line="400" w:lineRule="exact"/>
        <w:ind w:leftChars="0" w:firstLine="422" w:firstLineChars="200"/>
        <w:textAlignment w:val="auto"/>
        <w:rPr>
          <w:rFonts w:hint="eastAsia" w:ascii="宋体" w:hAnsi="宋体" w:eastAsia="宋体" w:cs="宋体"/>
          <w:b/>
          <w:bCs w:val="0"/>
          <w:color w:val="000000"/>
          <w:sz w:val="21"/>
          <w:szCs w:val="21"/>
          <w:highlight w:val="none"/>
        </w:rPr>
      </w:pPr>
      <w:bookmarkStart w:id="71" w:name="_Toc22787"/>
      <w:r>
        <w:rPr>
          <w:rFonts w:hint="eastAsia" w:ascii="宋体" w:hAnsi="宋体" w:eastAsia="宋体" w:cs="宋体"/>
          <w:b/>
          <w:bCs w:val="0"/>
          <w:color w:val="000000"/>
          <w:sz w:val="21"/>
          <w:szCs w:val="21"/>
          <w:highlight w:val="none"/>
        </w:rPr>
        <w:t>2</w:t>
      </w:r>
      <w:bookmarkStart w:id="72" w:name="_Toc296346658"/>
      <w:bookmarkStart w:id="73" w:name="_Toc292559362"/>
      <w:bookmarkStart w:id="74" w:name="_Toc296347156"/>
      <w:bookmarkStart w:id="75" w:name="_Toc296890985"/>
      <w:bookmarkStart w:id="76" w:name="_Toc297120457"/>
      <w:bookmarkStart w:id="77" w:name="_Toc296891197"/>
      <w:bookmarkStart w:id="78" w:name="_Toc292559867"/>
      <w:bookmarkStart w:id="79" w:name="_Toc296503157"/>
      <w:bookmarkStart w:id="80" w:name="_Toc296944496"/>
      <w:bookmarkStart w:id="81" w:name="_Toc297048343"/>
      <w:r>
        <w:rPr>
          <w:rFonts w:hint="eastAsia" w:ascii="宋体" w:hAnsi="宋体" w:eastAsia="宋体" w:cs="宋体"/>
          <w:b/>
          <w:bCs w:val="0"/>
          <w:color w:val="000000"/>
          <w:sz w:val="21"/>
          <w:szCs w:val="21"/>
          <w:highlight w:val="none"/>
        </w:rPr>
        <w:t>. 发包人</w:t>
      </w:r>
      <w:bookmarkEnd w:id="71"/>
    </w:p>
    <w:bookmarkEnd w:id="72"/>
    <w:bookmarkEnd w:id="73"/>
    <w:bookmarkEnd w:id="74"/>
    <w:bookmarkEnd w:id="75"/>
    <w:bookmarkEnd w:id="76"/>
    <w:bookmarkEnd w:id="77"/>
    <w:bookmarkEnd w:id="78"/>
    <w:bookmarkEnd w:id="79"/>
    <w:bookmarkEnd w:id="80"/>
    <w:bookmarkEnd w:id="81"/>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 发包人代表</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发包人代表：</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    名：</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    务：</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通信地址：</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发包人对发包人代表的授权范围如下：</w:t>
      </w:r>
      <w:r>
        <w:rPr>
          <w:rFonts w:hint="eastAsia" w:ascii="宋体" w:hAnsi="宋体" w:eastAsia="宋体" w:cs="宋体"/>
          <w:color w:val="000000"/>
          <w:sz w:val="21"/>
          <w:szCs w:val="21"/>
          <w:highlight w:val="none"/>
          <w:u w:val="single"/>
        </w:rPr>
        <w:t xml:space="preserve">经发包人研究确定后的工程全部内容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 施工现场、施工条件和基础资料的提供</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2.4.1 提供施工现场</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关于发包人移交施工现场的期限要求：</w:t>
      </w:r>
      <w:r>
        <w:rPr>
          <w:rFonts w:hint="eastAsia" w:ascii="宋体" w:hAnsi="宋体" w:eastAsia="宋体" w:cs="宋体"/>
          <w:color w:val="000000"/>
          <w:sz w:val="21"/>
          <w:szCs w:val="21"/>
          <w:highlight w:val="none"/>
          <w:u w:val="single"/>
        </w:rPr>
        <w:t xml:space="preserve">开工前7日内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2.4.2 提供施工条件</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关于发包人应负责提供施工所需要的条件，包括：</w:t>
      </w:r>
      <w:r>
        <w:rPr>
          <w:rFonts w:hint="eastAsia" w:ascii="宋体" w:hAnsi="宋体" w:eastAsia="宋体" w:cs="宋体"/>
          <w:color w:val="000000"/>
          <w:sz w:val="21"/>
          <w:szCs w:val="21"/>
          <w:highlight w:val="none"/>
          <w:u w:val="single"/>
        </w:rPr>
        <w:t xml:space="preserve"> 三通一平（施工用水，用电，道路满足施工要求）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 资金来源证明及支付担保</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发包人提供资金来源证明的期限要求：</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发包人是否提供支付担保：</w:t>
      </w:r>
      <w:r>
        <w:rPr>
          <w:rFonts w:hint="eastAsia" w:ascii="宋体" w:hAnsi="宋体" w:eastAsia="宋体" w:cs="宋体"/>
          <w:color w:val="000000"/>
          <w:sz w:val="21"/>
          <w:szCs w:val="21"/>
          <w:highlight w:val="none"/>
          <w:u w:val="single"/>
        </w:rPr>
        <w:t xml:space="preserve">    否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发包人提供支付担保的形式：</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Style w:val="4"/>
        <w:pageBreakBefore w:val="0"/>
        <w:widowControl w:val="0"/>
        <w:numPr>
          <w:ilvl w:val="3"/>
          <w:numId w:val="0"/>
        </w:numPr>
        <w:kinsoku/>
        <w:wordWrap/>
        <w:overflowPunct/>
        <w:topLinePunct w:val="0"/>
        <w:bidi w:val="0"/>
        <w:snapToGrid/>
        <w:spacing w:before="120" w:after="120" w:line="400" w:lineRule="exact"/>
        <w:ind w:leftChars="0" w:firstLine="211" w:firstLineChars="100"/>
        <w:textAlignment w:val="auto"/>
        <w:rPr>
          <w:rFonts w:hint="eastAsia" w:ascii="宋体" w:hAnsi="宋体" w:eastAsia="宋体" w:cs="宋体"/>
          <w:b/>
          <w:bCs w:val="0"/>
          <w:color w:val="000000"/>
          <w:sz w:val="21"/>
          <w:szCs w:val="21"/>
          <w:highlight w:val="none"/>
        </w:rPr>
      </w:pPr>
      <w:bookmarkStart w:id="82" w:name="_Toc11505"/>
      <w:r>
        <w:rPr>
          <w:rFonts w:hint="eastAsia" w:ascii="宋体" w:hAnsi="宋体" w:eastAsia="宋体" w:cs="宋体"/>
          <w:b/>
          <w:bCs w:val="0"/>
          <w:color w:val="000000"/>
          <w:sz w:val="21"/>
          <w:szCs w:val="21"/>
          <w:highlight w:val="none"/>
        </w:rPr>
        <w:t>3</w:t>
      </w:r>
      <w:bookmarkStart w:id="83" w:name="_Toc292559868"/>
      <w:bookmarkStart w:id="84" w:name="_Toc296890986"/>
      <w:bookmarkStart w:id="85" w:name="_Toc296503158"/>
      <w:bookmarkStart w:id="86" w:name="_Toc296891198"/>
      <w:bookmarkStart w:id="87" w:name="_Toc297048344"/>
      <w:bookmarkStart w:id="88" w:name="_Toc296944497"/>
      <w:bookmarkStart w:id="89" w:name="_Toc292559363"/>
      <w:bookmarkStart w:id="90" w:name="_Toc297120458"/>
      <w:bookmarkStart w:id="91" w:name="_Toc296346659"/>
      <w:bookmarkStart w:id="92" w:name="_Toc296347157"/>
      <w:r>
        <w:rPr>
          <w:rFonts w:hint="eastAsia" w:ascii="宋体" w:hAnsi="宋体" w:eastAsia="宋体" w:cs="宋体"/>
          <w:b/>
          <w:bCs w:val="0"/>
          <w:color w:val="000000"/>
          <w:sz w:val="21"/>
          <w:szCs w:val="21"/>
          <w:highlight w:val="none"/>
        </w:rPr>
        <w:t>. 承包人</w:t>
      </w:r>
      <w:bookmarkEnd w:id="82"/>
    </w:p>
    <w:bookmarkEnd w:id="83"/>
    <w:bookmarkEnd w:id="84"/>
    <w:bookmarkEnd w:id="85"/>
    <w:bookmarkEnd w:id="86"/>
    <w:bookmarkEnd w:id="87"/>
    <w:bookmarkEnd w:id="88"/>
    <w:bookmarkEnd w:id="89"/>
    <w:bookmarkEnd w:id="90"/>
    <w:bookmarkEnd w:id="91"/>
    <w:bookmarkEnd w:id="92"/>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 承包人的一般义务</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（9）</w:t>
      </w:r>
      <w:r>
        <w:rPr>
          <w:rFonts w:hint="eastAsia" w:ascii="宋体" w:hAnsi="宋体" w:eastAsia="宋体" w:cs="宋体"/>
          <w:color w:val="000000"/>
          <w:sz w:val="21"/>
          <w:szCs w:val="21"/>
          <w:highlight w:val="none"/>
        </w:rPr>
        <w:t>承包人提交的竣工资料的内容：</w:t>
      </w:r>
      <w:r>
        <w:rPr>
          <w:rFonts w:hint="eastAsia" w:ascii="宋体" w:hAnsi="宋体" w:eastAsia="宋体" w:cs="宋体"/>
          <w:color w:val="000000"/>
          <w:sz w:val="21"/>
          <w:szCs w:val="21"/>
          <w:highlight w:val="none"/>
          <w:u w:val="single"/>
        </w:rPr>
        <w:t xml:space="preserve"> 承包人向发包人提交施工竣工资料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630" w:firstLineChars="3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承包人需要提交的竣工资料套数：</w:t>
      </w:r>
      <w:r>
        <w:rPr>
          <w:rFonts w:hint="eastAsia" w:ascii="宋体" w:hAnsi="宋体" w:eastAsia="宋体" w:cs="宋体"/>
          <w:color w:val="000000"/>
          <w:sz w:val="21"/>
          <w:szCs w:val="21"/>
          <w:highlight w:val="none"/>
          <w:u w:val="single"/>
        </w:rPr>
        <w:t xml:space="preserve">    三套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left="638" w:leftChars="304"/>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承包人提交的竣工资料的费用承担：</w:t>
      </w:r>
      <w:r>
        <w:rPr>
          <w:rFonts w:hint="eastAsia" w:ascii="宋体" w:hAnsi="宋体" w:eastAsia="宋体" w:cs="宋体"/>
          <w:color w:val="000000"/>
          <w:sz w:val="21"/>
          <w:szCs w:val="21"/>
          <w:highlight w:val="none"/>
          <w:u w:val="single"/>
        </w:rPr>
        <w:t xml:space="preserve">   由承包人自行承担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left="638" w:leftChars="304"/>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承包人提交的竣工资料移交时间：</w:t>
      </w:r>
      <w:r>
        <w:rPr>
          <w:rFonts w:hint="eastAsia" w:ascii="宋体" w:hAnsi="宋体" w:eastAsia="宋体" w:cs="宋体"/>
          <w:color w:val="000000"/>
          <w:sz w:val="21"/>
          <w:szCs w:val="21"/>
          <w:highlight w:val="none"/>
          <w:u w:val="single"/>
        </w:rPr>
        <w:t xml:space="preserve"> 工程竣工验收合格两个月内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承包人提交的竣工资料形式要求：</w:t>
      </w:r>
      <w:r>
        <w:rPr>
          <w:rFonts w:hint="eastAsia" w:ascii="宋体" w:hAnsi="宋体" w:eastAsia="宋体" w:cs="宋体"/>
          <w:color w:val="000000"/>
          <w:sz w:val="21"/>
          <w:szCs w:val="21"/>
          <w:highlight w:val="none"/>
          <w:u w:val="single"/>
        </w:rPr>
        <w:t xml:space="preserve">  书面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（10）承包人应履行的其他义务：</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 项目经理</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3.2.1 </w:t>
      </w:r>
      <w:r>
        <w:rPr>
          <w:rFonts w:hint="eastAsia" w:ascii="宋体" w:hAnsi="宋体" w:eastAsia="宋体" w:cs="宋体"/>
          <w:color w:val="000000"/>
          <w:sz w:val="21"/>
          <w:szCs w:val="21"/>
          <w:highlight w:val="none"/>
        </w:rPr>
        <w:t>项目经理：</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    名：</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建造师执业资格等级：</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建造师注册证书号：</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建造师执业印章号：</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安全生产考核合格证书号：</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通信地址：</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承包人对项目经理的授权范围如下：</w:t>
      </w:r>
      <w:r>
        <w:rPr>
          <w:rFonts w:hint="eastAsia" w:ascii="宋体" w:hAnsi="宋体" w:eastAsia="宋体" w:cs="宋体"/>
          <w:color w:val="000000"/>
          <w:sz w:val="21"/>
          <w:szCs w:val="21"/>
          <w:highlight w:val="none"/>
          <w:u w:val="single"/>
        </w:rPr>
        <w:t xml:space="preserve">1、代表承包人负责履行合同2、对本工程项目施工全面管理负责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关于项目经理每月在施工现场的时间要求：</w:t>
      </w:r>
      <w:r>
        <w:rPr>
          <w:rFonts w:hint="eastAsia" w:ascii="宋体" w:hAnsi="宋体" w:eastAsia="宋体" w:cs="宋体"/>
          <w:color w:val="000000"/>
          <w:sz w:val="21"/>
          <w:szCs w:val="21"/>
          <w:highlight w:val="none"/>
          <w:u w:val="single"/>
        </w:rPr>
        <w:t xml:space="preserve"> 不少于20日</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承包人未提交劳动合同，以及没有为项目经理缴纳社会保险证明的违约责任：</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kern w:val="0"/>
          <w:sz w:val="21"/>
          <w:szCs w:val="21"/>
          <w:highlight w:val="none"/>
        </w:rPr>
        <w:t>项目经理未经批准，擅自离开施工现场的违约责任：</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3.2.3 承包人擅自更换项目经理的违约责任：</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3.2.4 承包人无正当理由拒绝更换项目经理的违约责任：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 承包人人员</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3.3.1 承包人提交项目管理机构及施工现场管理人员安排报告的期限：</w:t>
      </w:r>
      <w:r>
        <w:rPr>
          <w:rFonts w:hint="eastAsia" w:ascii="宋体" w:hAnsi="宋体" w:eastAsia="宋体" w:cs="宋体"/>
          <w:color w:val="000000"/>
          <w:sz w:val="21"/>
          <w:szCs w:val="21"/>
          <w:highlight w:val="none"/>
          <w:u w:val="single"/>
        </w:rPr>
        <w:t xml:space="preserve"> 工程开工前3天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3.3.3 承包人无正当理由拒绝撤换主要施工管理人员的违约责任：</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3.3.4 承包人主要施工管理人员离开施工现场的批准要求：</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3.3.5承包人擅自更换主要施工管理人员的违约责任：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承包人主要施工管理人员擅自离开施工现场的违约责任：</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bookmarkStart w:id="93" w:name="_Toc300934945"/>
      <w:bookmarkStart w:id="94" w:name="_Toc296347158"/>
      <w:bookmarkStart w:id="95" w:name="_Toc296346660"/>
      <w:bookmarkStart w:id="96" w:name="_Toc296944498"/>
      <w:bookmarkStart w:id="97" w:name="_Toc297120459"/>
      <w:bookmarkStart w:id="98" w:name="_Toc297048345"/>
      <w:bookmarkStart w:id="99" w:name="_Toc297123492"/>
      <w:bookmarkStart w:id="100" w:name="_Toc296890987"/>
      <w:bookmarkStart w:id="101" w:name="_Toc297216151"/>
      <w:bookmarkStart w:id="102" w:name="_Toc292559364"/>
      <w:bookmarkStart w:id="103" w:name="_Toc292559869"/>
      <w:bookmarkStart w:id="104" w:name="_Toc304295523"/>
      <w:bookmarkStart w:id="105" w:name="_Toc296503159"/>
      <w:bookmarkStart w:id="106" w:name="_Toc303539102"/>
      <w:bookmarkStart w:id="107" w:name="_Toc312677988"/>
      <w:bookmarkStart w:id="108" w:name="_Toc296891199"/>
      <w:r>
        <w:rPr>
          <w:rFonts w:hint="eastAsia" w:ascii="宋体" w:hAnsi="宋体" w:eastAsia="宋体" w:cs="宋体"/>
          <w:color w:val="000000"/>
          <w:sz w:val="21"/>
          <w:szCs w:val="21"/>
          <w:highlight w:val="none"/>
        </w:rPr>
        <w:t>.5 分包</w:t>
      </w:r>
    </w:p>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bookmarkStart w:id="109" w:name="_Toc300934946"/>
      <w:bookmarkStart w:id="110" w:name="_Toc297216152"/>
      <w:bookmarkStart w:id="111" w:name="_Toc297120460"/>
      <w:bookmarkStart w:id="112" w:name="_Toc304295524"/>
      <w:bookmarkStart w:id="113" w:name="_Toc296347159"/>
      <w:bookmarkStart w:id="114" w:name="_Toc292559870"/>
      <w:bookmarkStart w:id="115" w:name="_Toc297123493"/>
      <w:bookmarkStart w:id="116" w:name="_Toc296891200"/>
      <w:bookmarkStart w:id="117" w:name="_Toc296890988"/>
      <w:bookmarkStart w:id="118" w:name="_Toc292559365"/>
      <w:bookmarkStart w:id="119" w:name="_Toc296503160"/>
      <w:bookmarkStart w:id="120" w:name="_Toc303539103"/>
      <w:bookmarkStart w:id="121" w:name="_Toc297048346"/>
      <w:bookmarkStart w:id="122" w:name="_Toc296346661"/>
      <w:bookmarkStart w:id="123" w:name="_Toc296944499"/>
      <w:bookmarkStart w:id="124" w:name="_Toc318581158"/>
      <w:bookmarkStart w:id="125" w:name="_Toc312677989"/>
      <w:r>
        <w:rPr>
          <w:rFonts w:hint="eastAsia" w:ascii="宋体" w:hAnsi="宋体" w:eastAsia="宋体" w:cs="宋体"/>
          <w:sz w:val="21"/>
          <w:szCs w:val="21"/>
          <w:highlight w:val="none"/>
        </w:rPr>
        <w:t>.5.1 分包的一般约定</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禁止分包的工程包括：</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本工程不分包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主体结构、关键性工作的范围：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Start w:id="126" w:name="_Toc304295525"/>
      <w:bookmarkStart w:id="127" w:name="_Toc297216153"/>
      <w:bookmarkStart w:id="128" w:name="_Toc296890989"/>
      <w:bookmarkStart w:id="129" w:name="_Toc300934947"/>
      <w:bookmarkStart w:id="130" w:name="_Toc296944500"/>
      <w:bookmarkStart w:id="131" w:name="_Toc296347160"/>
      <w:bookmarkStart w:id="132" w:name="_Toc296346662"/>
      <w:bookmarkStart w:id="133" w:name="_Toc303539104"/>
      <w:bookmarkStart w:id="134" w:name="_Toc297123494"/>
      <w:bookmarkStart w:id="135" w:name="_Toc297120461"/>
      <w:bookmarkStart w:id="136" w:name="_Toc297048347"/>
      <w:bookmarkStart w:id="137" w:name="_Toc296891201"/>
      <w:bookmarkStart w:id="138" w:name="_Toc296503161"/>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Pr>
        <w:pageBreakBefore w:val="0"/>
        <w:widowControl w:val="0"/>
        <w:kinsoku/>
        <w:wordWrap/>
        <w:overflowPunct/>
        <w:topLinePunct w:val="0"/>
        <w:bidi w:val="0"/>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w:t>
      </w:r>
      <w:bookmarkStart w:id="139" w:name="_Toc312677990"/>
      <w:bookmarkStart w:id="140" w:name="_Toc318581159"/>
      <w:r>
        <w:rPr>
          <w:rFonts w:hint="eastAsia" w:ascii="宋体" w:hAnsi="宋体" w:eastAsia="宋体" w:cs="宋体"/>
          <w:sz w:val="21"/>
          <w:szCs w:val="21"/>
          <w:highlight w:val="none"/>
        </w:rPr>
        <w:t>.5.2分包的确定</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允许分包的专业工程包括：</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其他关于分包的约定：</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3.5.4 分包合同价款</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关于分包合同价款支付的约定：</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bookmarkEnd w:id="139"/>
    <w:bookmarkEnd w:id="140"/>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3.6 工程照管与成品、半成品保护</w:t>
      </w:r>
    </w:p>
    <w:p>
      <w:pPr>
        <w:pageBreakBefore w:val="0"/>
        <w:widowControl w:val="0"/>
        <w:kinsoku/>
        <w:wordWrap/>
        <w:overflowPunct/>
        <w:topLinePunct w:val="0"/>
        <w:bidi w:val="0"/>
        <w:snapToGrid/>
        <w:spacing w:before="120" w:after="120" w:line="400" w:lineRule="exact"/>
        <w:ind w:firstLine="420" w:firstLineChars="200"/>
        <w:textAlignment w:val="auto"/>
        <w:rPr>
          <w:rFonts w:hint="eastAsia" w:ascii="宋体" w:hAnsi="宋体" w:eastAsia="宋体" w:cs="宋体"/>
          <w:color w:val="000000"/>
          <w:kern w:val="0"/>
          <w:sz w:val="21"/>
          <w:szCs w:val="21"/>
          <w:highlight w:val="none"/>
          <w:u w:val="single"/>
        </w:rPr>
      </w:pPr>
      <w:r>
        <w:rPr>
          <w:rFonts w:hint="eastAsia" w:ascii="宋体" w:hAnsi="宋体" w:eastAsia="宋体" w:cs="宋体"/>
          <w:color w:val="000000"/>
          <w:kern w:val="0"/>
          <w:sz w:val="21"/>
          <w:szCs w:val="21"/>
          <w:highlight w:val="none"/>
        </w:rPr>
        <w:t>承包人负责照管工程及工程相关的材料、工程设备的起始时间：</w:t>
      </w:r>
      <w:r>
        <w:rPr>
          <w:rFonts w:hint="eastAsia" w:ascii="宋体" w:hAnsi="宋体" w:eastAsia="宋体" w:cs="宋体"/>
          <w:color w:val="000000"/>
          <w:kern w:val="0"/>
          <w:sz w:val="21"/>
          <w:szCs w:val="21"/>
          <w:highlight w:val="none"/>
          <w:u w:val="single"/>
        </w:rPr>
        <w:t xml:space="preserve">   设备人员进场至验收交付使用前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 履约担保</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承包人是否提供履约担保：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eastAsia="zh-CN"/>
        </w:rPr>
        <w:t>否</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承包人提供履约担保的形式、金额及期限的：</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Style w:val="4"/>
        <w:pageBreakBefore w:val="0"/>
        <w:widowControl w:val="0"/>
        <w:numPr>
          <w:ilvl w:val="3"/>
          <w:numId w:val="0"/>
        </w:numPr>
        <w:kinsoku/>
        <w:wordWrap/>
        <w:overflowPunct/>
        <w:topLinePunct w:val="0"/>
        <w:bidi w:val="0"/>
        <w:snapToGrid/>
        <w:spacing w:before="120" w:after="120" w:line="400" w:lineRule="exact"/>
        <w:ind w:leftChars="0"/>
        <w:textAlignment w:val="auto"/>
        <w:rPr>
          <w:rFonts w:hint="eastAsia" w:ascii="宋体" w:hAnsi="宋体" w:eastAsia="宋体" w:cs="宋体"/>
          <w:b/>
          <w:bCs w:val="0"/>
          <w:color w:val="000000"/>
          <w:sz w:val="21"/>
          <w:szCs w:val="21"/>
          <w:highlight w:val="none"/>
        </w:rPr>
      </w:pPr>
      <w:bookmarkStart w:id="141" w:name="_Toc29191"/>
      <w:r>
        <w:rPr>
          <w:rFonts w:hint="eastAsia" w:ascii="宋体" w:hAnsi="宋体" w:eastAsia="宋体" w:cs="宋体"/>
          <w:b/>
          <w:bCs w:val="0"/>
          <w:color w:val="000000"/>
          <w:sz w:val="21"/>
          <w:szCs w:val="21"/>
          <w:highlight w:val="none"/>
        </w:rPr>
        <w:t>4</w:t>
      </w:r>
      <w:bookmarkStart w:id="142" w:name="_Toc296346663"/>
      <w:bookmarkStart w:id="143" w:name="_Toc296347161"/>
      <w:bookmarkStart w:id="144" w:name="_Toc292559871"/>
      <w:bookmarkStart w:id="145" w:name="_Toc292559366"/>
      <w:bookmarkStart w:id="146" w:name="_Toc297048348"/>
      <w:bookmarkStart w:id="147" w:name="_Toc296944501"/>
      <w:bookmarkStart w:id="148" w:name="_Toc267251413"/>
      <w:bookmarkStart w:id="149" w:name="_Toc296891202"/>
      <w:bookmarkStart w:id="150" w:name="_Toc296503162"/>
      <w:bookmarkStart w:id="151" w:name="_Toc296890990"/>
      <w:bookmarkStart w:id="152" w:name="_Toc297120462"/>
      <w:r>
        <w:rPr>
          <w:rFonts w:hint="eastAsia" w:ascii="宋体" w:hAnsi="宋体" w:eastAsia="宋体" w:cs="宋体"/>
          <w:b/>
          <w:bCs w:val="0"/>
          <w:color w:val="000000"/>
          <w:sz w:val="21"/>
          <w:szCs w:val="21"/>
          <w:highlight w:val="none"/>
        </w:rPr>
        <w:t>. 监</w:t>
      </w:r>
      <w:bookmarkEnd w:id="142"/>
      <w:bookmarkEnd w:id="143"/>
      <w:bookmarkEnd w:id="144"/>
      <w:bookmarkEnd w:id="145"/>
      <w:bookmarkEnd w:id="146"/>
      <w:bookmarkEnd w:id="147"/>
      <w:bookmarkEnd w:id="148"/>
      <w:bookmarkEnd w:id="149"/>
      <w:bookmarkEnd w:id="150"/>
      <w:bookmarkEnd w:id="151"/>
      <w:bookmarkEnd w:id="152"/>
      <w:r>
        <w:rPr>
          <w:rFonts w:hint="eastAsia" w:ascii="宋体" w:hAnsi="宋体" w:eastAsia="宋体" w:cs="宋体"/>
          <w:b/>
          <w:bCs w:val="0"/>
          <w:color w:val="000000"/>
          <w:sz w:val="21"/>
          <w:szCs w:val="21"/>
          <w:highlight w:val="none"/>
        </w:rPr>
        <w:t>理人</w:t>
      </w:r>
      <w:bookmarkEnd w:id="141"/>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4.1监理人的一般规定</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关于监理人的监理内容：</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关于监理人的监理权限：</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 xml:space="preserve">。 </w:t>
      </w:r>
    </w:p>
    <w:p>
      <w:pPr>
        <w:pageBreakBefore w:val="0"/>
        <w:widowControl w:val="0"/>
        <w:kinsoku/>
        <w:wordWrap/>
        <w:overflowPunct/>
        <w:topLinePunct w:val="0"/>
        <w:bidi w:val="0"/>
        <w:snapToGrid/>
        <w:spacing w:line="400" w:lineRule="exact"/>
        <w:ind w:left="479" w:leftChars="228"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关于监理人在施工现场的办公场所、生活场所的提供和费用承担的约定：</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4.2 监理人员</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总监理工程师：</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    名：</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    务：</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监理工程师执业资格证书号：</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通信地址：</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关于监理人的其他约定：</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4.4 商定或确定</w:t>
      </w:r>
    </w:p>
    <w:p>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rPr>
      </w:pPr>
      <w:bookmarkStart w:id="153" w:name="_Toc267251418"/>
      <w:r>
        <w:rPr>
          <w:rFonts w:hint="eastAsia" w:ascii="宋体" w:hAnsi="宋体" w:eastAsia="宋体" w:cs="宋体"/>
          <w:color w:val="000000"/>
          <w:sz w:val="21"/>
          <w:szCs w:val="21"/>
          <w:highlight w:val="none"/>
        </w:rPr>
        <w:t>在发包人和承包人不能通过协商达成一致意见时，发包人授权监理人对以下事项进行确定：</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Style w:val="4"/>
        <w:pageBreakBefore w:val="0"/>
        <w:widowControl w:val="0"/>
        <w:numPr>
          <w:ilvl w:val="3"/>
          <w:numId w:val="0"/>
        </w:numPr>
        <w:kinsoku/>
        <w:wordWrap/>
        <w:overflowPunct/>
        <w:topLinePunct w:val="0"/>
        <w:bidi w:val="0"/>
        <w:snapToGrid/>
        <w:spacing w:before="120" w:after="120" w:line="400" w:lineRule="exact"/>
        <w:ind w:leftChars="0"/>
        <w:textAlignment w:val="auto"/>
        <w:rPr>
          <w:rFonts w:hint="eastAsia" w:ascii="宋体" w:hAnsi="宋体" w:eastAsia="宋体" w:cs="宋体"/>
          <w:b/>
          <w:bCs w:val="0"/>
          <w:color w:val="000000"/>
          <w:sz w:val="21"/>
          <w:szCs w:val="21"/>
          <w:highlight w:val="none"/>
        </w:rPr>
      </w:pPr>
      <w:bookmarkStart w:id="154" w:name="_Toc17240"/>
      <w:r>
        <w:rPr>
          <w:rFonts w:hint="eastAsia" w:ascii="宋体" w:hAnsi="宋体" w:eastAsia="宋体" w:cs="宋体"/>
          <w:b/>
          <w:bCs w:val="0"/>
          <w:color w:val="000000"/>
          <w:sz w:val="21"/>
          <w:szCs w:val="21"/>
          <w:highlight w:val="none"/>
        </w:rPr>
        <w:t>5</w:t>
      </w:r>
      <w:bookmarkEnd w:id="153"/>
      <w:bookmarkStart w:id="155" w:name="_Toc296347162"/>
      <w:bookmarkStart w:id="156" w:name="_Toc296944502"/>
      <w:bookmarkStart w:id="157" w:name="_Toc296346664"/>
      <w:bookmarkStart w:id="158" w:name="_Toc297048349"/>
      <w:bookmarkStart w:id="159" w:name="_Toc292559872"/>
      <w:bookmarkStart w:id="160" w:name="_Toc296503163"/>
      <w:bookmarkStart w:id="161" w:name="_Toc297120463"/>
      <w:bookmarkStart w:id="162" w:name="_Toc292559367"/>
      <w:bookmarkStart w:id="163" w:name="_Toc296890991"/>
      <w:bookmarkStart w:id="164" w:name="_Toc296891203"/>
      <w:r>
        <w:rPr>
          <w:rFonts w:hint="eastAsia" w:ascii="宋体" w:hAnsi="宋体" w:eastAsia="宋体" w:cs="宋体"/>
          <w:b/>
          <w:bCs w:val="0"/>
          <w:color w:val="000000"/>
          <w:sz w:val="21"/>
          <w:szCs w:val="21"/>
          <w:highlight w:val="none"/>
        </w:rPr>
        <w:t>. 工程质量</w:t>
      </w:r>
      <w:bookmarkEnd w:id="154"/>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5.1 质量要求</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bookmarkStart w:id="165" w:name="_Toc318581164"/>
      <w:bookmarkStart w:id="166" w:name="_Toc297216155"/>
      <w:bookmarkStart w:id="167" w:name="_Toc312677997"/>
      <w:bookmarkStart w:id="168" w:name="_Toc300934949"/>
      <w:bookmarkStart w:id="169" w:name="_Toc304295527"/>
      <w:bookmarkStart w:id="170" w:name="_Toc303539106"/>
      <w:bookmarkStart w:id="171" w:name="_Toc297123496"/>
      <w:r>
        <w:rPr>
          <w:rFonts w:hint="eastAsia" w:ascii="宋体" w:hAnsi="宋体" w:eastAsia="宋体" w:cs="宋体"/>
          <w:sz w:val="21"/>
          <w:szCs w:val="21"/>
          <w:highlight w:val="none"/>
        </w:rPr>
        <w:t>.1.1 特殊质量标准和要求：</w:t>
      </w:r>
      <w:r>
        <w:rPr>
          <w:rFonts w:hint="eastAsia" w:ascii="宋体" w:hAnsi="宋体" w:eastAsia="宋体" w:cs="宋体"/>
          <w:sz w:val="21"/>
          <w:szCs w:val="21"/>
          <w:highlight w:val="none"/>
          <w:u w:val="single"/>
        </w:rPr>
        <w:t xml:space="preserve">      合格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关于工程奖项的约定：</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5.3 隐蔽工程检查</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5.3.2承包人提前通知监理人隐蔽工程检查的期限的约定：</w:t>
      </w:r>
      <w:r>
        <w:rPr>
          <w:rFonts w:hint="eastAsia" w:ascii="宋体" w:hAnsi="宋体" w:eastAsia="宋体" w:cs="宋体"/>
          <w:sz w:val="21"/>
          <w:szCs w:val="21"/>
          <w:highlight w:val="none"/>
          <w:u w:val="single"/>
        </w:rPr>
        <w:t xml:space="preserve"> 共同检查48小时通知监理人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监理人不能按时进行检查时，应提前</w:t>
      </w:r>
      <w:r>
        <w:rPr>
          <w:rFonts w:hint="eastAsia" w:ascii="宋体" w:hAnsi="宋体" w:eastAsia="宋体" w:cs="宋体"/>
          <w:sz w:val="21"/>
          <w:szCs w:val="21"/>
          <w:highlight w:val="none"/>
          <w:u w:val="single"/>
        </w:rPr>
        <w:t xml:space="preserve">  24  </w:t>
      </w:r>
      <w:r>
        <w:rPr>
          <w:rFonts w:hint="eastAsia" w:ascii="宋体" w:hAnsi="宋体" w:eastAsia="宋体" w:cs="宋体"/>
          <w:sz w:val="21"/>
          <w:szCs w:val="21"/>
          <w:highlight w:val="none"/>
        </w:rPr>
        <w:t>小时提交书面延期要求。</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关于延期最长不得超过：</w:t>
      </w:r>
      <w:r>
        <w:rPr>
          <w:rFonts w:hint="eastAsia" w:ascii="宋体" w:hAnsi="宋体" w:eastAsia="宋体" w:cs="宋体"/>
          <w:sz w:val="21"/>
          <w:szCs w:val="21"/>
          <w:highlight w:val="none"/>
          <w:u w:val="single"/>
        </w:rPr>
        <w:t xml:space="preserve">  48  </w:t>
      </w:r>
      <w:r>
        <w:rPr>
          <w:rFonts w:hint="eastAsia" w:ascii="宋体" w:hAnsi="宋体" w:eastAsia="宋体" w:cs="宋体"/>
          <w:sz w:val="21"/>
          <w:szCs w:val="21"/>
          <w:highlight w:val="none"/>
        </w:rPr>
        <w:t>小时。</w:t>
      </w:r>
    </w:p>
    <w:p>
      <w:pPr>
        <w:pStyle w:val="4"/>
        <w:pageBreakBefore w:val="0"/>
        <w:widowControl w:val="0"/>
        <w:numPr>
          <w:ilvl w:val="3"/>
          <w:numId w:val="0"/>
        </w:numPr>
        <w:kinsoku/>
        <w:wordWrap/>
        <w:overflowPunct/>
        <w:topLinePunct w:val="0"/>
        <w:bidi w:val="0"/>
        <w:snapToGrid/>
        <w:spacing w:before="120" w:after="120" w:line="400" w:lineRule="exact"/>
        <w:ind w:leftChars="0"/>
        <w:textAlignment w:val="auto"/>
        <w:rPr>
          <w:rFonts w:hint="eastAsia" w:ascii="宋体" w:hAnsi="宋体" w:eastAsia="宋体" w:cs="宋体"/>
          <w:b/>
          <w:bCs w:val="0"/>
          <w:color w:val="000000"/>
          <w:sz w:val="21"/>
          <w:szCs w:val="21"/>
          <w:highlight w:val="none"/>
        </w:rPr>
      </w:pPr>
      <w:bookmarkStart w:id="172" w:name="_Toc1052"/>
      <w:r>
        <w:rPr>
          <w:rFonts w:hint="eastAsia" w:ascii="宋体" w:hAnsi="宋体" w:eastAsia="宋体" w:cs="宋体"/>
          <w:b/>
          <w:bCs w:val="0"/>
          <w:color w:val="000000"/>
          <w:sz w:val="21"/>
          <w:szCs w:val="21"/>
          <w:highlight w:val="none"/>
        </w:rPr>
        <w:t>6. 安全文明施工与环境保护</w:t>
      </w:r>
      <w:bookmarkEnd w:id="172"/>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6.1安全文明施工</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w:t>
      </w:r>
      <w:r>
        <w:rPr>
          <w:rFonts w:hint="eastAsia" w:ascii="宋体" w:hAnsi="宋体" w:eastAsia="宋体" w:cs="宋体"/>
          <w:color w:val="000000"/>
          <w:sz w:val="21"/>
          <w:szCs w:val="21"/>
          <w:highlight w:val="none"/>
        </w:rPr>
        <w:t xml:space="preserve"> 项目安全生产的达标目标及相应事项的约定：</w:t>
      </w:r>
      <w:r>
        <w:rPr>
          <w:rFonts w:hint="eastAsia" w:ascii="宋体" w:hAnsi="宋体" w:eastAsia="宋体" w:cs="宋体"/>
          <w:sz w:val="21"/>
          <w:szCs w:val="21"/>
          <w:highlight w:val="none"/>
          <w:u w:val="single"/>
        </w:rPr>
        <w:t xml:space="preserve">  达到《建筑施工安全检查标准》（JE159-2011）标准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color w:val="000000"/>
          <w:sz w:val="21"/>
          <w:szCs w:val="21"/>
          <w:highlight w:val="none"/>
          <w:u w:val="single"/>
        </w:rPr>
        <w:t>执行通用条款</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rPr>
        <w:t xml:space="preserve"> 开工前提供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6.1.5 文明施工</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w:t>
      </w:r>
      <w:r>
        <w:rPr>
          <w:rFonts w:hint="eastAsia" w:ascii="宋体" w:hAnsi="宋体" w:eastAsia="宋体" w:cs="宋体"/>
          <w:sz w:val="21"/>
          <w:szCs w:val="21"/>
          <w:highlight w:val="none"/>
          <w:u w:val="single"/>
        </w:rPr>
        <w:t xml:space="preserve">  达到《建筑施工现场环境卫生标准》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6.1.6 关于安全文明施工费支付比例和支付期限的约定：</w:t>
      </w:r>
      <w:r>
        <w:rPr>
          <w:rFonts w:hint="eastAsia" w:ascii="宋体" w:hAnsi="宋体" w:eastAsia="宋体" w:cs="宋体"/>
          <w:sz w:val="21"/>
          <w:szCs w:val="21"/>
          <w:highlight w:val="none"/>
          <w:u w:val="single"/>
        </w:rPr>
        <w:t xml:space="preserve"> 纳入合同价格支付    </w:t>
      </w:r>
      <w:r>
        <w:rPr>
          <w:rFonts w:hint="eastAsia" w:ascii="宋体" w:hAnsi="宋体" w:eastAsia="宋体" w:cs="宋体"/>
          <w:sz w:val="21"/>
          <w:szCs w:val="21"/>
          <w:highlight w:val="none"/>
        </w:rPr>
        <w:t>。</w:t>
      </w:r>
    </w:p>
    <w:bookmarkEnd w:id="165"/>
    <w:bookmarkEnd w:id="166"/>
    <w:bookmarkEnd w:id="167"/>
    <w:bookmarkEnd w:id="168"/>
    <w:bookmarkEnd w:id="169"/>
    <w:bookmarkEnd w:id="170"/>
    <w:bookmarkEnd w:id="171"/>
    <w:p>
      <w:pPr>
        <w:pStyle w:val="4"/>
        <w:pageBreakBefore w:val="0"/>
        <w:widowControl w:val="0"/>
        <w:numPr>
          <w:ilvl w:val="3"/>
          <w:numId w:val="0"/>
        </w:numPr>
        <w:kinsoku/>
        <w:wordWrap/>
        <w:overflowPunct/>
        <w:topLinePunct w:val="0"/>
        <w:bidi w:val="0"/>
        <w:snapToGrid/>
        <w:spacing w:before="120" w:after="120" w:line="400" w:lineRule="exact"/>
        <w:ind w:leftChars="0"/>
        <w:textAlignment w:val="auto"/>
        <w:rPr>
          <w:rFonts w:hint="eastAsia" w:ascii="宋体" w:hAnsi="宋体" w:eastAsia="宋体" w:cs="宋体"/>
          <w:b/>
          <w:bCs w:val="0"/>
          <w:color w:val="000000"/>
          <w:sz w:val="21"/>
          <w:szCs w:val="21"/>
          <w:highlight w:val="none"/>
        </w:rPr>
      </w:pPr>
      <w:bookmarkStart w:id="173" w:name="_Toc8281"/>
      <w:r>
        <w:rPr>
          <w:rFonts w:hint="eastAsia" w:ascii="宋体" w:hAnsi="宋体" w:eastAsia="宋体" w:cs="宋体"/>
          <w:b/>
          <w:bCs w:val="0"/>
          <w:color w:val="000000"/>
          <w:sz w:val="21"/>
          <w:szCs w:val="21"/>
          <w:highlight w:val="none"/>
        </w:rPr>
        <w:t>7. 工期和进度</w:t>
      </w:r>
      <w:bookmarkEnd w:id="173"/>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7.1 施工组织设计</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7.1.1 </w:t>
      </w:r>
      <w:r>
        <w:rPr>
          <w:rFonts w:hint="eastAsia" w:ascii="宋体" w:hAnsi="宋体" w:eastAsia="宋体" w:cs="宋体"/>
          <w:color w:val="000000"/>
          <w:sz w:val="21"/>
          <w:szCs w:val="21"/>
          <w:highlight w:val="none"/>
        </w:rPr>
        <w:t>合</w:t>
      </w:r>
      <w:r>
        <w:rPr>
          <w:rFonts w:hint="eastAsia" w:ascii="宋体" w:hAnsi="宋体" w:eastAsia="宋体" w:cs="宋体"/>
          <w:color w:val="000000"/>
          <w:kern w:val="0"/>
          <w:sz w:val="21"/>
          <w:szCs w:val="21"/>
          <w:highlight w:val="none"/>
        </w:rPr>
        <w:t>同当事人约定的施工组织设计应包括的其他内容：</w:t>
      </w:r>
      <w:r>
        <w:rPr>
          <w:rFonts w:hint="eastAsia" w:ascii="宋体" w:hAnsi="宋体" w:eastAsia="宋体" w:cs="宋体"/>
          <w:sz w:val="21"/>
          <w:szCs w:val="21"/>
          <w:highlight w:val="none"/>
          <w:u w:val="single"/>
        </w:rPr>
        <w:t xml:space="preserve">  按招标文件约定，无约定的执行通用条款 </w:t>
      </w:r>
      <w:r>
        <w:rPr>
          <w:rFonts w:hint="eastAsia" w:ascii="宋体" w:hAnsi="宋体" w:eastAsia="宋体" w:cs="宋体"/>
          <w:sz w:val="21"/>
          <w:szCs w:val="21"/>
          <w:highlight w:val="none"/>
        </w:rPr>
        <w:t>。</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7.1.2</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kern w:val="0"/>
          <w:sz w:val="21"/>
          <w:szCs w:val="21"/>
          <w:highlight w:val="none"/>
        </w:rPr>
        <w:t>施工组织设计的提交和修改</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承包人提交详细施工组织设计的期限的约定：</w:t>
      </w:r>
      <w:r>
        <w:rPr>
          <w:rFonts w:hint="eastAsia" w:ascii="宋体" w:hAnsi="宋体" w:eastAsia="宋体" w:cs="宋体"/>
          <w:sz w:val="21"/>
          <w:szCs w:val="21"/>
          <w:highlight w:val="none"/>
          <w:u w:val="single"/>
        </w:rPr>
        <w:t xml:space="preserve"> 开工前7日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发包人和监理人在收到详细的施工组织设计后确认或提出修改意见的期限：</w:t>
      </w:r>
      <w:r>
        <w:rPr>
          <w:rFonts w:hint="eastAsia" w:ascii="宋体" w:hAnsi="宋体" w:eastAsia="宋体" w:cs="宋体"/>
          <w:sz w:val="21"/>
          <w:szCs w:val="21"/>
          <w:highlight w:val="none"/>
          <w:u w:val="single"/>
        </w:rPr>
        <w:t xml:space="preserve">  收到后7日内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bookmarkStart w:id="174" w:name="_Toc312678005"/>
      <w:bookmarkStart w:id="175" w:name="_Toc297216173"/>
      <w:bookmarkStart w:id="176" w:name="_Toc297123514"/>
      <w:bookmarkStart w:id="177" w:name="_Toc304295541"/>
      <w:bookmarkStart w:id="178" w:name="_Toc300934966"/>
      <w:bookmarkStart w:id="179" w:name="_Toc303539123"/>
      <w:bookmarkStart w:id="180" w:name="_Toc312677479"/>
      <w:r>
        <w:rPr>
          <w:rFonts w:hint="eastAsia" w:ascii="宋体" w:hAnsi="宋体" w:eastAsia="宋体" w:cs="宋体"/>
          <w:color w:val="000000"/>
          <w:sz w:val="21"/>
          <w:szCs w:val="21"/>
          <w:highlight w:val="none"/>
        </w:rPr>
        <w:t>.2 施工进度计划</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7.2.2 施工进度计划的修订</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发包人和监理人在收到修订的施工进度计划后确认或提出修改意见的期限：</w:t>
      </w:r>
      <w:r>
        <w:rPr>
          <w:rFonts w:hint="eastAsia" w:ascii="宋体" w:hAnsi="宋体" w:eastAsia="宋体" w:cs="宋体"/>
          <w:sz w:val="21"/>
          <w:szCs w:val="21"/>
          <w:highlight w:val="none"/>
          <w:u w:val="single"/>
        </w:rPr>
        <w:t xml:space="preserve">  收到后5日内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7.3 开工</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7.3.1 开工准备</w:t>
      </w:r>
    </w:p>
    <w:p>
      <w:pPr>
        <w:pageBreakBefore w:val="0"/>
        <w:widowControl w:val="0"/>
        <w:kinsoku/>
        <w:wordWrap/>
        <w:overflowPunct/>
        <w:topLinePunct w:val="0"/>
        <w:bidi w:val="0"/>
        <w:snapToGrid/>
        <w:spacing w:line="400" w:lineRule="exact"/>
        <w:ind w:firstLine="645"/>
        <w:jc w:val="left"/>
        <w:textAlignment w:val="auto"/>
        <w:rPr>
          <w:rFonts w:hint="eastAsia" w:ascii="宋体" w:hAnsi="宋体" w:eastAsia="宋体" w:cs="宋体"/>
          <w:sz w:val="21"/>
          <w:szCs w:val="21"/>
          <w:highlight w:val="none"/>
          <w:u w:val="single"/>
        </w:rPr>
      </w:pPr>
      <w:r>
        <w:rPr>
          <w:rFonts w:hint="eastAsia" w:ascii="宋体" w:hAnsi="宋体" w:eastAsia="宋体" w:cs="宋体"/>
          <w:color w:val="000000"/>
          <w:sz w:val="21"/>
          <w:szCs w:val="21"/>
          <w:highlight w:val="none"/>
        </w:rPr>
        <w:t>关于承包人提交</w:t>
      </w:r>
      <w:r>
        <w:rPr>
          <w:rFonts w:hint="eastAsia" w:ascii="宋体" w:hAnsi="宋体" w:eastAsia="宋体" w:cs="宋体"/>
          <w:color w:val="000000"/>
          <w:kern w:val="0"/>
          <w:sz w:val="21"/>
          <w:szCs w:val="21"/>
          <w:highlight w:val="none"/>
        </w:rPr>
        <w:t>工程开工报审表的期限：</w:t>
      </w:r>
      <w:r>
        <w:rPr>
          <w:rFonts w:hint="eastAsia" w:ascii="宋体" w:hAnsi="宋体" w:eastAsia="宋体" w:cs="宋体"/>
          <w:sz w:val="21"/>
          <w:szCs w:val="21"/>
          <w:highlight w:val="none"/>
          <w:u w:val="single"/>
        </w:rPr>
        <w:t>合同签订后，开工前</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630" w:firstLineChars="3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关于发包人应完成的其他开工准备工作及期限：</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关于承包人应完成的其他开工准备工作及期限：</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7.3.2开工通知</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因发包人原因造成监理人未能在计划开工日期之日起</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天内发出开工通知的，承包人有权提出价格调整要求，或者解除合同。</w:t>
      </w:r>
    </w:p>
    <w:bookmarkEnd w:id="174"/>
    <w:bookmarkEnd w:id="175"/>
    <w:bookmarkEnd w:id="176"/>
    <w:bookmarkEnd w:id="177"/>
    <w:bookmarkEnd w:id="178"/>
    <w:bookmarkEnd w:id="179"/>
    <w:bookmarkEnd w:id="180"/>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7.4 测量放线</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7.4.1发包人通过监理人向承包人提供测量基准点、基准线和水准点及其书面资料的期限：</w:t>
      </w:r>
      <w:r>
        <w:rPr>
          <w:rFonts w:hint="eastAsia" w:ascii="宋体" w:hAnsi="宋体" w:eastAsia="宋体" w:cs="宋体"/>
          <w:sz w:val="21"/>
          <w:szCs w:val="21"/>
          <w:highlight w:val="none"/>
          <w:u w:val="single"/>
        </w:rPr>
        <w:t xml:space="preserve">合同签订后，开工前3天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bookmarkStart w:id="181" w:name="_Toc300934968"/>
      <w:bookmarkStart w:id="182" w:name="_Toc312677484"/>
      <w:bookmarkStart w:id="183" w:name="_Toc303539125"/>
      <w:bookmarkStart w:id="184" w:name="_Toc297216175"/>
      <w:bookmarkStart w:id="185" w:name="_Toc297123516"/>
      <w:bookmarkStart w:id="186" w:name="_Toc304295546"/>
      <w:bookmarkStart w:id="187" w:name="_Toc312678010"/>
      <w:r>
        <w:rPr>
          <w:rFonts w:hint="eastAsia" w:ascii="宋体" w:hAnsi="宋体" w:eastAsia="宋体" w:cs="宋体"/>
          <w:color w:val="000000"/>
          <w:sz w:val="21"/>
          <w:szCs w:val="21"/>
          <w:highlight w:val="none"/>
        </w:rPr>
        <w:t>.5 工期延误</w:t>
      </w:r>
    </w:p>
    <w:bookmarkEnd w:id="181"/>
    <w:bookmarkEnd w:id="182"/>
    <w:bookmarkEnd w:id="183"/>
    <w:bookmarkEnd w:id="184"/>
    <w:bookmarkEnd w:id="185"/>
    <w:bookmarkEnd w:id="186"/>
    <w:bookmarkEnd w:id="187"/>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7.5.1 因发包人原因导致工期延误</w:t>
      </w:r>
    </w:p>
    <w:p>
      <w:pPr>
        <w:pageBreakBefore w:val="0"/>
        <w:widowControl w:val="0"/>
        <w:kinsoku/>
        <w:wordWrap/>
        <w:overflowPunct/>
        <w:topLinePunct w:val="0"/>
        <w:bidi w:val="0"/>
        <w:snapToGrid/>
        <w:spacing w:line="400" w:lineRule="exact"/>
        <w:ind w:firstLine="1050" w:firstLineChars="5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因发包人原因导致工期延误的其他情形：</w:t>
      </w:r>
      <w:r>
        <w:rPr>
          <w:rFonts w:hint="eastAsia" w:ascii="宋体" w:hAnsi="宋体" w:eastAsia="宋体" w:cs="宋体"/>
          <w:sz w:val="21"/>
          <w:szCs w:val="21"/>
          <w:highlight w:val="none"/>
          <w:u w:val="single"/>
        </w:rPr>
        <w:t xml:space="preserve"> 1、设计变更2、国家政策调整3、不可抗力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bookmarkStart w:id="188" w:name="_Toc312677486"/>
      <w:bookmarkStart w:id="189" w:name="_Toc318581169"/>
      <w:bookmarkStart w:id="190" w:name="_Toc312678012"/>
      <w:bookmarkStart w:id="191" w:name="_Toc303539127"/>
      <w:bookmarkStart w:id="192" w:name="_Toc304295548"/>
      <w:bookmarkStart w:id="193" w:name="_Toc297123518"/>
      <w:bookmarkStart w:id="194" w:name="_Toc300934970"/>
      <w:bookmarkStart w:id="195" w:name="_Toc297216177"/>
      <w:r>
        <w:rPr>
          <w:rFonts w:hint="eastAsia" w:ascii="宋体" w:hAnsi="宋体" w:eastAsia="宋体" w:cs="宋体"/>
          <w:sz w:val="21"/>
          <w:szCs w:val="21"/>
          <w:highlight w:val="none"/>
        </w:rPr>
        <w:t>.5.2 因承包人原因导致工期延误</w:t>
      </w:r>
    </w:p>
    <w:bookmarkEnd w:id="188"/>
    <w:bookmarkEnd w:id="189"/>
    <w:bookmarkEnd w:id="190"/>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因</w:t>
      </w:r>
      <w:bookmarkStart w:id="196" w:name="_Toc312678013"/>
      <w:bookmarkStart w:id="197" w:name="_Toc312677487"/>
      <w:bookmarkStart w:id="198" w:name="_Toc318581170"/>
      <w:r>
        <w:rPr>
          <w:rFonts w:hint="eastAsia" w:ascii="宋体" w:hAnsi="宋体" w:eastAsia="宋体" w:cs="宋体"/>
          <w:sz w:val="21"/>
          <w:szCs w:val="21"/>
          <w:highlight w:val="none"/>
        </w:rPr>
        <w:t>承包人原因造成工期延误，逾期竣工违约金的计算方法为：</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bookmarkEnd w:id="191"/>
      <w:bookmarkEnd w:id="192"/>
      <w:bookmarkEnd w:id="193"/>
      <w:bookmarkEnd w:id="194"/>
      <w:bookmarkEnd w:id="195"/>
      <w:bookmarkEnd w:id="196"/>
      <w:bookmarkEnd w:id="197"/>
    </w:p>
    <w:bookmarkEnd w:id="198"/>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因承包人原因造成工期延误，逾</w:t>
      </w:r>
      <w:bookmarkStart w:id="199" w:name="_Toc312678014"/>
      <w:bookmarkStart w:id="200" w:name="_Toc318581171"/>
      <w:r>
        <w:rPr>
          <w:rFonts w:hint="eastAsia" w:ascii="宋体" w:hAnsi="宋体" w:eastAsia="宋体" w:cs="宋体"/>
          <w:sz w:val="21"/>
          <w:szCs w:val="21"/>
          <w:highlight w:val="none"/>
        </w:rPr>
        <w:t>期竣工违约金的上限：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bookmarkEnd w:id="199"/>
    <w:bookmarkEnd w:id="200"/>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bookmarkStart w:id="201" w:name="_Toc312678015"/>
      <w:bookmarkStart w:id="202" w:name="_Toc300934971"/>
      <w:bookmarkStart w:id="203" w:name="_Toc297216178"/>
      <w:bookmarkStart w:id="204" w:name="_Toc297123519"/>
      <w:bookmarkStart w:id="205" w:name="_Toc304295549"/>
      <w:bookmarkStart w:id="206" w:name="_Toc303539128"/>
      <w:r>
        <w:rPr>
          <w:rFonts w:hint="eastAsia" w:ascii="宋体" w:hAnsi="宋体" w:eastAsia="宋体" w:cs="宋体"/>
          <w:color w:val="000000"/>
          <w:sz w:val="21"/>
          <w:szCs w:val="21"/>
          <w:highlight w:val="none"/>
        </w:rPr>
        <w:t>.6 不</w:t>
      </w:r>
      <w:bookmarkEnd w:id="201"/>
      <w:bookmarkEnd w:id="202"/>
      <w:bookmarkEnd w:id="203"/>
      <w:bookmarkEnd w:id="204"/>
      <w:bookmarkEnd w:id="205"/>
      <w:bookmarkEnd w:id="206"/>
      <w:r>
        <w:rPr>
          <w:rFonts w:hint="eastAsia" w:ascii="宋体" w:hAnsi="宋体" w:eastAsia="宋体" w:cs="宋体"/>
          <w:color w:val="000000"/>
          <w:sz w:val="21"/>
          <w:szCs w:val="21"/>
          <w:highlight w:val="none"/>
        </w:rPr>
        <w:t>利物质条件</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1"/>
          <w:szCs w:val="21"/>
          <w:highlight w:val="none"/>
        </w:rPr>
      </w:pPr>
      <w:bookmarkStart w:id="207" w:name="_Toc300934972"/>
      <w:bookmarkStart w:id="208" w:name="_Toc297216179"/>
      <w:bookmarkStart w:id="209" w:name="_Toc297123520"/>
      <w:bookmarkStart w:id="210" w:name="_Toc304295550"/>
      <w:bookmarkStart w:id="211" w:name="_Toc318581172"/>
      <w:bookmarkStart w:id="212" w:name="_Toc303539129"/>
      <w:bookmarkStart w:id="213" w:name="_Toc312678016"/>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bookmarkEnd w:id="207"/>
    <w:bookmarkEnd w:id="208"/>
    <w:bookmarkEnd w:id="209"/>
    <w:bookmarkEnd w:id="210"/>
    <w:bookmarkEnd w:id="211"/>
    <w:bookmarkEnd w:id="212"/>
    <w:bookmarkEnd w:id="213"/>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bookmarkStart w:id="214" w:name="_Toc300934973"/>
      <w:bookmarkStart w:id="215" w:name="_Toc304295551"/>
      <w:bookmarkStart w:id="216" w:name="_Toc297216180"/>
      <w:bookmarkStart w:id="217" w:name="_Toc303539130"/>
      <w:bookmarkStart w:id="218" w:name="_Toc312678017"/>
      <w:bookmarkStart w:id="219" w:name="_Toc297123521"/>
      <w:r>
        <w:rPr>
          <w:rFonts w:hint="eastAsia" w:ascii="宋体" w:hAnsi="宋体" w:eastAsia="宋体" w:cs="宋体"/>
          <w:color w:val="000000"/>
          <w:sz w:val="21"/>
          <w:szCs w:val="21"/>
          <w:highlight w:val="none"/>
        </w:rPr>
        <w:t>.7异常恶劣的气候条件</w:t>
      </w:r>
    </w:p>
    <w:bookmarkEnd w:id="214"/>
    <w:bookmarkEnd w:id="215"/>
    <w:bookmarkEnd w:id="216"/>
    <w:bookmarkEnd w:id="217"/>
    <w:bookmarkEnd w:id="218"/>
    <w:bookmarkEnd w:id="219"/>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发包人和承包人同意以下情形视为异常恶劣的气候条件：</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7.9 提前竣工的奖励</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7.9.2提前竣工的奖励：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pStyle w:val="4"/>
        <w:pageBreakBefore w:val="0"/>
        <w:widowControl w:val="0"/>
        <w:numPr>
          <w:ilvl w:val="3"/>
          <w:numId w:val="0"/>
        </w:numPr>
        <w:kinsoku/>
        <w:wordWrap/>
        <w:overflowPunct/>
        <w:topLinePunct w:val="0"/>
        <w:bidi w:val="0"/>
        <w:snapToGrid/>
        <w:spacing w:before="120" w:after="120" w:line="400" w:lineRule="exact"/>
        <w:ind w:leftChars="0"/>
        <w:textAlignment w:val="auto"/>
        <w:rPr>
          <w:rFonts w:hint="eastAsia" w:ascii="宋体" w:hAnsi="宋体" w:eastAsia="宋体" w:cs="宋体"/>
          <w:b/>
          <w:bCs w:val="0"/>
          <w:color w:val="000000"/>
          <w:sz w:val="21"/>
          <w:szCs w:val="21"/>
          <w:highlight w:val="none"/>
        </w:rPr>
      </w:pPr>
      <w:bookmarkStart w:id="220" w:name="_Toc31221"/>
      <w:r>
        <w:rPr>
          <w:rFonts w:hint="eastAsia" w:ascii="宋体" w:hAnsi="宋体" w:eastAsia="宋体" w:cs="宋体"/>
          <w:b/>
          <w:bCs w:val="0"/>
          <w:color w:val="000000"/>
          <w:sz w:val="21"/>
          <w:szCs w:val="21"/>
          <w:highlight w:val="none"/>
        </w:rPr>
        <w:t>8. 材料与设备</w:t>
      </w:r>
      <w:bookmarkEnd w:id="220"/>
    </w:p>
    <w:bookmarkEnd w:id="155"/>
    <w:bookmarkEnd w:id="156"/>
    <w:bookmarkEnd w:id="157"/>
    <w:bookmarkEnd w:id="158"/>
    <w:bookmarkEnd w:id="159"/>
    <w:bookmarkEnd w:id="160"/>
    <w:bookmarkEnd w:id="161"/>
    <w:bookmarkEnd w:id="162"/>
    <w:bookmarkEnd w:id="163"/>
    <w:bookmarkEnd w:id="164"/>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bookmarkStart w:id="221" w:name="_Toc303539136"/>
      <w:bookmarkStart w:id="222" w:name="_Toc312677493"/>
      <w:bookmarkStart w:id="223" w:name="_Toc300934979"/>
      <w:bookmarkStart w:id="224" w:name="_Toc292559372"/>
      <w:bookmarkStart w:id="225" w:name="_Toc296890995"/>
      <w:bookmarkStart w:id="226" w:name="_Toc297048353"/>
      <w:bookmarkStart w:id="227" w:name="_Toc296346668"/>
      <w:bookmarkStart w:id="228" w:name="_Toc304295556"/>
      <w:bookmarkStart w:id="229" w:name="_Toc312678019"/>
      <w:bookmarkStart w:id="230" w:name="_Toc296891207"/>
      <w:bookmarkStart w:id="231" w:name="_Toc280868654"/>
      <w:bookmarkStart w:id="232" w:name="_Toc297123527"/>
      <w:bookmarkStart w:id="233" w:name="_Toc297216186"/>
      <w:bookmarkStart w:id="234" w:name="_Toc296347166"/>
      <w:bookmarkStart w:id="235" w:name="_Toc292559877"/>
      <w:bookmarkStart w:id="236" w:name="_Toc297120467"/>
      <w:bookmarkStart w:id="237" w:name="_Toc296944506"/>
      <w:bookmarkStart w:id="238" w:name="_Toc296503167"/>
      <w:bookmarkStart w:id="239" w:name="_Toc280868656"/>
      <w:bookmarkStart w:id="240" w:name="_Toc280868655"/>
      <w:bookmarkStart w:id="241" w:name="_Toc267251424"/>
      <w:r>
        <w:rPr>
          <w:rFonts w:hint="eastAsia" w:ascii="宋体" w:hAnsi="宋体" w:eastAsia="宋体" w:cs="宋体"/>
          <w:color w:val="000000"/>
          <w:sz w:val="21"/>
          <w:szCs w:val="21"/>
          <w:highlight w:val="none"/>
        </w:rPr>
        <w:t>.4材料与工程设备的保管与使用</w:t>
      </w: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bookmarkStart w:id="242" w:name="_Toc292559373"/>
      <w:bookmarkStart w:id="243" w:name="_Toc292559878"/>
      <w:bookmarkStart w:id="244" w:name="_Toc297123528"/>
      <w:bookmarkStart w:id="245" w:name="_Toc312677494"/>
      <w:bookmarkStart w:id="246" w:name="_Toc304295557"/>
      <w:bookmarkStart w:id="247" w:name="_Toc296890996"/>
      <w:bookmarkStart w:id="248" w:name="_Toc318581173"/>
      <w:bookmarkStart w:id="249" w:name="_Toc296503168"/>
      <w:bookmarkStart w:id="250" w:name="_Toc303539137"/>
      <w:bookmarkStart w:id="251" w:name="_Toc297048354"/>
      <w:bookmarkStart w:id="252" w:name="_Toc300934980"/>
      <w:bookmarkStart w:id="253" w:name="_Toc296944507"/>
      <w:bookmarkStart w:id="254" w:name="_Toc312678020"/>
      <w:bookmarkStart w:id="255" w:name="_Toc296891208"/>
      <w:bookmarkStart w:id="256" w:name="_Toc296346669"/>
      <w:bookmarkStart w:id="257" w:name="_Toc296347167"/>
      <w:bookmarkStart w:id="258" w:name="_Toc297216187"/>
      <w:bookmarkStart w:id="259" w:name="_Toc297120468"/>
      <w:r>
        <w:rPr>
          <w:rFonts w:hint="eastAsia" w:ascii="宋体" w:hAnsi="宋体" w:eastAsia="宋体" w:cs="宋体"/>
          <w:sz w:val="21"/>
          <w:szCs w:val="21"/>
          <w:highlight w:val="none"/>
        </w:rPr>
        <w:t>.4.1发包人供应的材料设备的保管费用的承担：</w:t>
      </w:r>
      <w:r>
        <w:rPr>
          <w:rFonts w:hint="eastAsia" w:ascii="宋体" w:hAnsi="宋体" w:eastAsia="宋体" w:cs="宋体"/>
          <w:sz w:val="21"/>
          <w:szCs w:val="21"/>
          <w:highlight w:val="none"/>
          <w:u w:val="single"/>
        </w:rPr>
        <w:t xml:space="preserve"> 由承包人承担   </w:t>
      </w:r>
      <w:r>
        <w:rPr>
          <w:rFonts w:hint="eastAsia" w:ascii="宋体" w:hAnsi="宋体" w:eastAsia="宋体" w:cs="宋体"/>
          <w:sz w:val="21"/>
          <w:szCs w:val="21"/>
          <w:highlight w:val="none"/>
        </w:rPr>
        <w:t>。</w:t>
      </w:r>
      <w:bookmarkEnd w:id="242"/>
      <w:bookmarkEnd w:id="243"/>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8.6 样品</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8.6.1</w:t>
      </w:r>
      <w:r>
        <w:rPr>
          <w:rFonts w:hint="eastAsia" w:ascii="宋体" w:hAnsi="宋体" w:eastAsia="宋体" w:cs="宋体"/>
          <w:color w:val="000000"/>
          <w:kern w:val="0"/>
          <w:sz w:val="21"/>
          <w:szCs w:val="21"/>
          <w:highlight w:val="none"/>
        </w:rPr>
        <w:tab/>
      </w:r>
      <w:r>
        <w:rPr>
          <w:rFonts w:hint="eastAsia" w:ascii="宋体" w:hAnsi="宋体" w:eastAsia="宋体" w:cs="宋体"/>
          <w:color w:val="000000"/>
          <w:kern w:val="0"/>
          <w:sz w:val="21"/>
          <w:szCs w:val="21"/>
          <w:highlight w:val="none"/>
        </w:rPr>
        <w:t>样品的报送与封存</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需要承包人报送样品的材料或工程设备，样品的种类、名称、规格、数量要求：</w:t>
      </w:r>
      <w:r>
        <w:rPr>
          <w:rFonts w:hint="eastAsia" w:ascii="宋体" w:hAnsi="宋体" w:eastAsia="宋体" w:cs="宋体"/>
          <w:sz w:val="21"/>
          <w:szCs w:val="21"/>
          <w:highlight w:val="none"/>
          <w:u w:val="single"/>
        </w:rPr>
        <w:t xml:space="preserve">  按管理部门要求和发包人要求确定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8.8 施工设备和临时设施</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8.8.1 承包人提供的施工设备和临时设施</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关于修建临时设施费用承担的约定：</w:t>
      </w:r>
      <w:r>
        <w:rPr>
          <w:rFonts w:hint="eastAsia" w:ascii="宋体" w:hAnsi="宋体" w:eastAsia="宋体" w:cs="宋体"/>
          <w:sz w:val="21"/>
          <w:szCs w:val="21"/>
          <w:highlight w:val="none"/>
          <w:u w:val="single"/>
        </w:rPr>
        <w:t xml:space="preserve">   由承包人承担     </w:t>
      </w:r>
      <w:r>
        <w:rPr>
          <w:rFonts w:hint="eastAsia" w:ascii="宋体" w:hAnsi="宋体" w:eastAsia="宋体" w:cs="宋体"/>
          <w:sz w:val="21"/>
          <w:szCs w:val="21"/>
          <w:highlight w:val="none"/>
        </w:rPr>
        <w:t>。</w:t>
      </w:r>
    </w:p>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Pr>
        <w:pStyle w:val="4"/>
        <w:pageBreakBefore w:val="0"/>
        <w:widowControl w:val="0"/>
        <w:numPr>
          <w:ilvl w:val="3"/>
          <w:numId w:val="0"/>
        </w:numPr>
        <w:kinsoku/>
        <w:wordWrap/>
        <w:overflowPunct/>
        <w:topLinePunct w:val="0"/>
        <w:bidi w:val="0"/>
        <w:snapToGrid/>
        <w:spacing w:before="120" w:after="120" w:line="400" w:lineRule="exact"/>
        <w:ind w:leftChars="0"/>
        <w:textAlignment w:val="auto"/>
        <w:rPr>
          <w:rFonts w:hint="eastAsia" w:ascii="宋体" w:hAnsi="宋体" w:eastAsia="宋体" w:cs="宋体"/>
          <w:b/>
          <w:bCs w:val="0"/>
          <w:color w:val="000000"/>
          <w:sz w:val="21"/>
          <w:szCs w:val="21"/>
          <w:highlight w:val="none"/>
        </w:rPr>
      </w:pPr>
      <w:bookmarkStart w:id="260" w:name="_Toc17497"/>
      <w:r>
        <w:rPr>
          <w:rFonts w:hint="eastAsia" w:ascii="宋体" w:hAnsi="宋体" w:eastAsia="宋体" w:cs="宋体"/>
          <w:b/>
          <w:bCs w:val="0"/>
          <w:color w:val="000000"/>
          <w:sz w:val="21"/>
          <w:szCs w:val="21"/>
          <w:highlight w:val="none"/>
        </w:rPr>
        <w:t>9</w:t>
      </w:r>
      <w:bookmarkEnd w:id="239"/>
      <w:bookmarkEnd w:id="240"/>
      <w:bookmarkEnd w:id="241"/>
      <w:bookmarkStart w:id="261" w:name="_Toc312678021"/>
      <w:bookmarkStart w:id="262" w:name="_Toc297216192"/>
      <w:bookmarkStart w:id="263" w:name="_Toc297123533"/>
      <w:bookmarkStart w:id="264" w:name="_Toc300934982"/>
      <w:bookmarkStart w:id="265" w:name="_Toc312677495"/>
      <w:bookmarkStart w:id="266" w:name="_Toc303539139"/>
      <w:bookmarkStart w:id="267" w:name="_Toc304295559"/>
      <w:bookmarkStart w:id="268" w:name="_Toc297048359"/>
      <w:bookmarkStart w:id="269" w:name="_Toc296503173"/>
      <w:bookmarkStart w:id="270" w:name="_Toc296891213"/>
      <w:bookmarkStart w:id="271" w:name="_Toc296346674"/>
      <w:bookmarkStart w:id="272" w:name="_Toc297120473"/>
      <w:bookmarkStart w:id="273" w:name="_Toc292559378"/>
      <w:bookmarkStart w:id="274" w:name="_Toc296347172"/>
      <w:bookmarkStart w:id="275" w:name="_Toc267251428"/>
      <w:bookmarkStart w:id="276" w:name="_Toc292559883"/>
      <w:bookmarkStart w:id="277" w:name="_Toc296944512"/>
      <w:bookmarkStart w:id="278" w:name="_Toc267251427"/>
      <w:bookmarkStart w:id="279" w:name="_Toc296891001"/>
      <w:r>
        <w:rPr>
          <w:rFonts w:hint="eastAsia" w:ascii="宋体" w:hAnsi="宋体" w:eastAsia="宋体" w:cs="宋体"/>
          <w:b/>
          <w:bCs w:val="0"/>
          <w:color w:val="000000"/>
          <w:sz w:val="21"/>
          <w:szCs w:val="21"/>
          <w:highlight w:val="none"/>
        </w:rPr>
        <w:t>. 试验与检验</w:t>
      </w:r>
      <w:bookmarkEnd w:id="260"/>
    </w:p>
    <w:bookmarkEnd w:id="261"/>
    <w:bookmarkEnd w:id="262"/>
    <w:bookmarkEnd w:id="263"/>
    <w:bookmarkEnd w:id="264"/>
    <w:bookmarkEnd w:id="265"/>
    <w:bookmarkEnd w:id="266"/>
    <w:bookmarkEnd w:id="267"/>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bookmarkStart w:id="280" w:name="_Toc303539140"/>
      <w:bookmarkStart w:id="281" w:name="_Toc312677496"/>
      <w:bookmarkStart w:id="282" w:name="_Toc297216193"/>
      <w:bookmarkStart w:id="283" w:name="_Toc297123534"/>
      <w:bookmarkStart w:id="284" w:name="_Toc312678022"/>
      <w:bookmarkStart w:id="285" w:name="_Toc300934983"/>
      <w:bookmarkStart w:id="286" w:name="_Toc304295560"/>
      <w:r>
        <w:rPr>
          <w:rFonts w:hint="eastAsia" w:ascii="宋体" w:hAnsi="宋体" w:eastAsia="宋体" w:cs="宋体"/>
          <w:color w:val="000000"/>
          <w:sz w:val="21"/>
          <w:szCs w:val="21"/>
          <w:highlight w:val="none"/>
        </w:rPr>
        <w:t>.1试验设备与试验人员</w:t>
      </w:r>
    </w:p>
    <w:bookmarkEnd w:id="280"/>
    <w:bookmarkEnd w:id="281"/>
    <w:bookmarkEnd w:id="282"/>
    <w:bookmarkEnd w:id="283"/>
    <w:bookmarkEnd w:id="284"/>
    <w:bookmarkEnd w:id="285"/>
    <w:bookmarkEnd w:id="286"/>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bookmarkStart w:id="287" w:name="_Toc300934984"/>
      <w:bookmarkStart w:id="288" w:name="_Toc297216194"/>
      <w:bookmarkStart w:id="289" w:name="_Toc312678023"/>
      <w:bookmarkStart w:id="290" w:name="_Toc312677497"/>
      <w:bookmarkStart w:id="291" w:name="_Toc304295561"/>
      <w:bookmarkStart w:id="292" w:name="_Toc303539141"/>
      <w:bookmarkStart w:id="293" w:name="_Toc297123535"/>
      <w:bookmarkStart w:id="294" w:name="_Toc318581174"/>
      <w:r>
        <w:rPr>
          <w:rFonts w:hint="eastAsia" w:ascii="宋体" w:hAnsi="宋体" w:eastAsia="宋体" w:cs="宋体"/>
          <w:sz w:val="21"/>
          <w:szCs w:val="21"/>
          <w:highlight w:val="none"/>
        </w:rPr>
        <w:t>.1.2 试验设备</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bookmarkEnd w:id="287"/>
      <w:bookmarkEnd w:id="288"/>
      <w:bookmarkEnd w:id="289"/>
      <w:bookmarkEnd w:id="290"/>
      <w:bookmarkEnd w:id="291"/>
      <w:bookmarkEnd w:id="292"/>
      <w:bookmarkEnd w:id="293"/>
      <w:bookmarkStart w:id="295" w:name="_Toc304295562"/>
      <w:bookmarkStart w:id="296" w:name="_Toc303539142"/>
      <w:bookmarkStart w:id="297" w:name="_Toc300934985"/>
      <w:bookmarkStart w:id="298" w:name="_Toc297216195"/>
      <w:bookmarkStart w:id="299" w:name="_Toc312677498"/>
      <w:bookmarkStart w:id="300" w:name="_Toc312678024"/>
      <w:bookmarkStart w:id="301" w:name="_Toc297123536"/>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 xml:space="preserve">。 </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9.4 现场工艺试验 </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现场工艺试验的有关约定：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bookmarkEnd w:id="294"/>
    <w:bookmarkEnd w:id="295"/>
    <w:bookmarkEnd w:id="296"/>
    <w:bookmarkEnd w:id="297"/>
    <w:bookmarkEnd w:id="298"/>
    <w:bookmarkEnd w:id="299"/>
    <w:bookmarkEnd w:id="300"/>
    <w:bookmarkEnd w:id="301"/>
    <w:p>
      <w:pPr>
        <w:pStyle w:val="4"/>
        <w:pageBreakBefore w:val="0"/>
        <w:widowControl w:val="0"/>
        <w:numPr>
          <w:ilvl w:val="3"/>
          <w:numId w:val="0"/>
        </w:numPr>
        <w:kinsoku/>
        <w:wordWrap/>
        <w:overflowPunct/>
        <w:topLinePunct w:val="0"/>
        <w:bidi w:val="0"/>
        <w:snapToGrid/>
        <w:spacing w:before="120" w:after="120" w:line="400" w:lineRule="exact"/>
        <w:ind w:leftChars="0"/>
        <w:textAlignment w:val="auto"/>
        <w:rPr>
          <w:rFonts w:hint="eastAsia" w:ascii="宋体" w:hAnsi="宋体" w:eastAsia="宋体" w:cs="宋体"/>
          <w:b/>
          <w:bCs w:val="0"/>
          <w:color w:val="000000"/>
          <w:sz w:val="21"/>
          <w:szCs w:val="21"/>
          <w:highlight w:val="none"/>
        </w:rPr>
      </w:pPr>
      <w:bookmarkStart w:id="302" w:name="_Toc30966"/>
      <w:r>
        <w:rPr>
          <w:rFonts w:hint="eastAsia" w:ascii="宋体" w:hAnsi="宋体" w:eastAsia="宋体" w:cs="宋体"/>
          <w:b/>
          <w:bCs w:val="0"/>
          <w:color w:val="000000"/>
          <w:sz w:val="21"/>
          <w:szCs w:val="21"/>
          <w:highlight w:val="none"/>
        </w:rPr>
        <w:t>1</w:t>
      </w:r>
      <w:bookmarkEnd w:id="268"/>
      <w:bookmarkEnd w:id="269"/>
      <w:bookmarkEnd w:id="270"/>
      <w:bookmarkEnd w:id="271"/>
      <w:bookmarkEnd w:id="272"/>
      <w:bookmarkEnd w:id="273"/>
      <w:bookmarkEnd w:id="274"/>
      <w:bookmarkEnd w:id="275"/>
      <w:bookmarkEnd w:id="276"/>
      <w:bookmarkEnd w:id="277"/>
      <w:bookmarkEnd w:id="278"/>
      <w:bookmarkEnd w:id="279"/>
      <w:bookmarkStart w:id="303" w:name="_Toc297123540"/>
      <w:bookmarkStart w:id="304" w:name="_Toc296503193"/>
      <w:bookmarkStart w:id="305" w:name="_Toc300934989"/>
      <w:bookmarkStart w:id="306" w:name="_Toc296347192"/>
      <w:bookmarkStart w:id="307" w:name="_Toc296346694"/>
      <w:bookmarkStart w:id="308" w:name="_Toc304295566"/>
      <w:bookmarkStart w:id="309" w:name="_Toc297120493"/>
      <w:bookmarkStart w:id="310" w:name="_Toc297048379"/>
      <w:bookmarkStart w:id="311" w:name="_Toc297216199"/>
      <w:bookmarkStart w:id="312" w:name="_Toc292559398"/>
      <w:bookmarkStart w:id="313" w:name="_Toc292559903"/>
      <w:bookmarkStart w:id="314" w:name="_Toc296944532"/>
      <w:bookmarkStart w:id="315" w:name="_Toc303539146"/>
      <w:bookmarkStart w:id="316" w:name="_Toc296891233"/>
      <w:bookmarkStart w:id="317" w:name="_Toc296891021"/>
      <w:bookmarkStart w:id="318" w:name="_Toc312677499"/>
      <w:bookmarkStart w:id="319" w:name="_Toc312678025"/>
      <w:bookmarkStart w:id="320" w:name="_Toc267251439"/>
      <w:bookmarkStart w:id="321" w:name="_Toc267251435"/>
      <w:bookmarkStart w:id="322" w:name="_Toc267251433"/>
      <w:bookmarkStart w:id="323" w:name="_Toc267251437"/>
      <w:bookmarkStart w:id="324" w:name="_Toc267251441"/>
      <w:bookmarkStart w:id="325" w:name="_Toc267251440"/>
      <w:bookmarkStart w:id="326" w:name="_Toc267251442"/>
      <w:r>
        <w:rPr>
          <w:rFonts w:hint="eastAsia" w:ascii="宋体" w:hAnsi="宋体" w:eastAsia="宋体" w:cs="宋体"/>
          <w:b/>
          <w:bCs w:val="0"/>
          <w:color w:val="000000"/>
          <w:sz w:val="21"/>
          <w:szCs w:val="21"/>
          <w:highlight w:val="none"/>
        </w:rPr>
        <w:t>0. 变更</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bookmarkEnd w:id="318"/>
    <w:bookmarkEnd w:id="319"/>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bookmarkStart w:id="327" w:name="_Toc296891022"/>
      <w:bookmarkStart w:id="328" w:name="_Toc297120494"/>
      <w:bookmarkStart w:id="329" w:name="_Toc292559904"/>
      <w:bookmarkStart w:id="330" w:name="_Toc297048380"/>
      <w:bookmarkStart w:id="331" w:name="_Toc304295567"/>
      <w:bookmarkStart w:id="332" w:name="_Toc297123541"/>
      <w:bookmarkStart w:id="333" w:name="_Toc312677500"/>
      <w:bookmarkStart w:id="334" w:name="_Toc296944533"/>
      <w:bookmarkStart w:id="335" w:name="_Toc312678026"/>
      <w:bookmarkStart w:id="336" w:name="_Toc303539147"/>
      <w:bookmarkStart w:id="337" w:name="_Toc300934990"/>
      <w:bookmarkStart w:id="338" w:name="_Toc296347193"/>
      <w:bookmarkStart w:id="339" w:name="_Toc296891234"/>
      <w:bookmarkStart w:id="340" w:name="_Toc296346695"/>
      <w:bookmarkStart w:id="341" w:name="_Toc292559399"/>
      <w:bookmarkStart w:id="342" w:name="_Toc297216200"/>
      <w:bookmarkStart w:id="343" w:name="_Toc296503194"/>
      <w:r>
        <w:rPr>
          <w:rFonts w:hint="eastAsia" w:ascii="宋体" w:hAnsi="宋体" w:eastAsia="宋体" w:cs="宋体"/>
          <w:color w:val="000000"/>
          <w:sz w:val="21"/>
          <w:szCs w:val="21"/>
          <w:highlight w:val="none"/>
        </w:rPr>
        <w:t>0.1变更的范围</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关于变更的范围的约定：</w:t>
      </w:r>
      <w:r>
        <w:rPr>
          <w:rFonts w:hint="eastAsia" w:ascii="宋体" w:hAnsi="宋体" w:eastAsia="宋体" w:cs="宋体"/>
          <w:color w:val="000000"/>
          <w:sz w:val="21"/>
          <w:szCs w:val="21"/>
          <w:highlight w:val="none"/>
          <w:u w:val="single"/>
        </w:rPr>
        <w:t xml:space="preserve">  执行通用条款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10.4 变更估价</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10.4.1 变更估价原则</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 xml:space="preserve">关于变更估价的约定: </w:t>
      </w:r>
      <w:r>
        <w:rPr>
          <w:rFonts w:hint="eastAsia" w:ascii="宋体" w:hAnsi="宋体" w:eastAsia="宋体" w:cs="宋体"/>
          <w:color w:val="000000"/>
          <w:sz w:val="21"/>
          <w:szCs w:val="21"/>
          <w:highlight w:val="none"/>
          <w:u w:val="single"/>
        </w:rPr>
        <w:t xml:space="preserve">  按照招标文件执行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Start w:id="344" w:name="_Toc297123544"/>
      <w:bookmarkStart w:id="345" w:name="_Toc296346698"/>
      <w:bookmarkStart w:id="346" w:name="_Toc297048383"/>
      <w:bookmarkStart w:id="347" w:name="_Toc296891025"/>
      <w:bookmarkStart w:id="348" w:name="_Toc300934993"/>
      <w:bookmarkStart w:id="349" w:name="_Toc292559402"/>
      <w:bookmarkStart w:id="350" w:name="_Toc296347196"/>
      <w:bookmarkStart w:id="351" w:name="_Toc296503197"/>
      <w:bookmarkStart w:id="352" w:name="_Toc292559907"/>
      <w:bookmarkStart w:id="353" w:name="_Toc297120497"/>
      <w:bookmarkStart w:id="354" w:name="_Toc297216203"/>
      <w:bookmarkStart w:id="355" w:name="_Toc296944536"/>
      <w:bookmarkStart w:id="356" w:name="_Toc303539150"/>
      <w:bookmarkStart w:id="357" w:name="_Toc296891237"/>
      <w:bookmarkStart w:id="358" w:name="_Toc312677503"/>
      <w:bookmarkStart w:id="359" w:name="_Toc312678029"/>
      <w:bookmarkStart w:id="360" w:name="_Toc304295570"/>
      <w:r>
        <w:rPr>
          <w:rFonts w:hint="eastAsia" w:ascii="宋体" w:hAnsi="宋体" w:eastAsia="宋体" w:cs="宋体"/>
          <w:color w:val="000000"/>
          <w:sz w:val="21"/>
          <w:szCs w:val="21"/>
          <w:highlight w:val="none"/>
        </w:rPr>
        <w:t>0.5承</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Start w:id="361" w:name="_Toc296944542"/>
      <w:bookmarkStart w:id="362" w:name="_Toc300934994"/>
      <w:bookmarkStart w:id="363" w:name="_Toc297048389"/>
      <w:bookmarkStart w:id="364" w:name="_Toc296346704"/>
      <w:bookmarkStart w:id="365" w:name="_Toc292559408"/>
      <w:bookmarkStart w:id="366" w:name="_Toc292559913"/>
      <w:bookmarkStart w:id="367" w:name="_Toc296347202"/>
      <w:bookmarkStart w:id="368" w:name="_Toc297123545"/>
      <w:bookmarkStart w:id="369" w:name="_Toc297120503"/>
      <w:bookmarkStart w:id="370" w:name="_Toc303539151"/>
      <w:bookmarkStart w:id="371" w:name="_Toc296891243"/>
      <w:bookmarkStart w:id="372" w:name="_Toc297216204"/>
      <w:bookmarkStart w:id="373" w:name="_Toc296891031"/>
      <w:bookmarkStart w:id="374" w:name="_Toc296503203"/>
      <w:r>
        <w:rPr>
          <w:rFonts w:hint="eastAsia" w:ascii="宋体" w:hAnsi="宋体" w:eastAsia="宋体" w:cs="宋体"/>
          <w:color w:val="000000"/>
          <w:sz w:val="21"/>
          <w:szCs w:val="21"/>
          <w:highlight w:val="none"/>
        </w:rPr>
        <w:t>包人的合理化建议</w:t>
      </w:r>
    </w:p>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承</w:t>
      </w:r>
      <w:bookmarkStart w:id="375" w:name="_Toc318581175"/>
      <w:bookmarkStart w:id="376" w:name="_Toc296347203"/>
      <w:bookmarkStart w:id="377" w:name="_Toc297048390"/>
      <w:bookmarkStart w:id="378" w:name="_Toc312678030"/>
      <w:bookmarkStart w:id="379" w:name="_Toc300934995"/>
      <w:bookmarkStart w:id="380" w:name="_Toc297120504"/>
      <w:bookmarkStart w:id="381" w:name="_Toc296503204"/>
      <w:bookmarkStart w:id="382" w:name="_Toc297216205"/>
      <w:bookmarkStart w:id="383" w:name="_Toc296346705"/>
      <w:bookmarkStart w:id="384" w:name="_Toc304295571"/>
      <w:bookmarkStart w:id="385" w:name="_Toc297123546"/>
      <w:bookmarkStart w:id="386" w:name="_Toc303539152"/>
      <w:bookmarkStart w:id="387" w:name="_Toc292559409"/>
      <w:bookmarkStart w:id="388" w:name="_Toc296891032"/>
      <w:bookmarkStart w:id="389" w:name="_Toc296944543"/>
      <w:bookmarkStart w:id="390" w:name="_Toc296891244"/>
      <w:bookmarkStart w:id="391" w:name="_Toc312677504"/>
      <w:bookmarkStart w:id="392" w:name="_Toc292559914"/>
      <w:r>
        <w:rPr>
          <w:rFonts w:hint="eastAsia" w:ascii="宋体" w:hAnsi="宋体" w:eastAsia="宋体" w:cs="宋体"/>
          <w:sz w:val="21"/>
          <w:szCs w:val="21"/>
          <w:highlight w:val="none"/>
        </w:rPr>
        <w:t>包人提出的合理化建议降低了合同价格或者提高了工程经济效益的奖励的方法和金额为：</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bookmarkStart w:id="393" w:name="_Toc297120499"/>
      <w:bookmarkStart w:id="394" w:name="_Toc297216207"/>
      <w:bookmarkStart w:id="395" w:name="_Toc296347198"/>
      <w:bookmarkStart w:id="396" w:name="_Toc292559404"/>
      <w:bookmarkStart w:id="397" w:name="_Toc296503199"/>
      <w:bookmarkStart w:id="398" w:name="_Toc304295574"/>
      <w:bookmarkStart w:id="399" w:name="_Toc300934997"/>
      <w:bookmarkStart w:id="400" w:name="_Toc312677507"/>
      <w:bookmarkStart w:id="401" w:name="_Toc312678033"/>
      <w:bookmarkStart w:id="402" w:name="_Toc303539154"/>
      <w:bookmarkStart w:id="403" w:name="_Toc297123548"/>
      <w:bookmarkStart w:id="404" w:name="_Toc296891027"/>
      <w:bookmarkStart w:id="405" w:name="_Toc297048385"/>
      <w:bookmarkStart w:id="406" w:name="_Toc296944538"/>
      <w:bookmarkStart w:id="407" w:name="_Toc296891239"/>
      <w:bookmarkStart w:id="408" w:name="_Toc292559909"/>
      <w:bookmarkStart w:id="409" w:name="_Toc296346700"/>
      <w:r>
        <w:rPr>
          <w:rFonts w:hint="eastAsia" w:ascii="宋体" w:hAnsi="宋体" w:eastAsia="宋体" w:cs="宋体"/>
          <w:color w:val="000000"/>
          <w:sz w:val="21"/>
          <w:szCs w:val="21"/>
          <w:highlight w:val="none"/>
        </w:rPr>
        <w:t>0.7 暂估价</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暂</w:t>
      </w:r>
      <w:bookmarkStart w:id="410" w:name="_Toc312678034"/>
      <w:bookmarkStart w:id="411" w:name="_Toc318581176"/>
      <w:bookmarkStart w:id="412" w:name="_Toc312677508"/>
      <w:r>
        <w:rPr>
          <w:rFonts w:hint="eastAsia" w:ascii="宋体" w:hAnsi="宋体" w:eastAsia="宋体" w:cs="宋体"/>
          <w:kern w:val="0"/>
          <w:sz w:val="21"/>
          <w:szCs w:val="21"/>
          <w:highlight w:val="none"/>
        </w:rPr>
        <w:t>估价材料和工程设备的明细详见附件11：《</w:t>
      </w:r>
      <w:r>
        <w:rPr>
          <w:rFonts w:hint="eastAsia" w:ascii="宋体" w:hAnsi="宋体" w:eastAsia="宋体" w:cs="宋体"/>
          <w:color w:val="000000"/>
          <w:sz w:val="21"/>
          <w:szCs w:val="21"/>
          <w:highlight w:val="none"/>
        </w:rPr>
        <w:t>暂估价一览表》</w:t>
      </w:r>
      <w:r>
        <w:rPr>
          <w:rFonts w:hint="eastAsia" w:ascii="宋体" w:hAnsi="宋体" w:eastAsia="宋体" w:cs="宋体"/>
          <w:kern w:val="0"/>
          <w:sz w:val="21"/>
          <w:szCs w:val="21"/>
          <w:highlight w:val="none"/>
        </w:rPr>
        <w:t>。</w:t>
      </w:r>
    </w:p>
    <w:bookmarkEnd w:id="410"/>
    <w:bookmarkEnd w:id="411"/>
    <w:bookmarkEnd w:id="412"/>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bookmarkStart w:id="413" w:name="_Toc312678035"/>
      <w:bookmarkStart w:id="414" w:name="_Toc318581177"/>
      <w:bookmarkStart w:id="415" w:name="_Toc312677509"/>
      <w:r>
        <w:rPr>
          <w:rFonts w:hint="eastAsia" w:ascii="宋体" w:hAnsi="宋体" w:eastAsia="宋体" w:cs="宋体"/>
          <w:sz w:val="21"/>
          <w:szCs w:val="21"/>
          <w:highlight w:val="none"/>
        </w:rPr>
        <w:t>0.7.1 依法必须招标的暂估价项目</w:t>
      </w:r>
    </w:p>
    <w:bookmarkEnd w:id="413"/>
    <w:bookmarkEnd w:id="414"/>
    <w:bookmarkEnd w:id="415"/>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对于依法必须招标的暂估价项目的确认和批准采取第</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种方式确定。</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10.7.2 不属于依法必须招标的暂估价项目</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对于不属于依法必须招标的暂估价项目的确认和批准采取第</w:t>
      </w:r>
      <w:r>
        <w:rPr>
          <w:rFonts w:hint="eastAsia" w:ascii="宋体" w:hAnsi="宋体" w:eastAsia="宋体" w:cs="宋体"/>
          <w:sz w:val="21"/>
          <w:szCs w:val="21"/>
          <w:highlight w:val="none"/>
          <w:u w:val="single"/>
        </w:rPr>
        <w:t xml:space="preserve"> 2  </w:t>
      </w:r>
      <w:r>
        <w:rPr>
          <w:rFonts w:hint="eastAsia" w:ascii="宋体" w:hAnsi="宋体" w:eastAsia="宋体" w:cs="宋体"/>
          <w:sz w:val="21"/>
          <w:szCs w:val="21"/>
          <w:highlight w:val="none"/>
        </w:rPr>
        <w:t xml:space="preserve"> 种方式确定。</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第3种方式：</w:t>
      </w:r>
      <w:r>
        <w:rPr>
          <w:rFonts w:hint="eastAsia" w:ascii="宋体" w:hAnsi="宋体" w:eastAsia="宋体" w:cs="宋体"/>
          <w:color w:val="000000"/>
          <w:kern w:val="0"/>
          <w:sz w:val="21"/>
          <w:szCs w:val="21"/>
          <w:highlight w:val="none"/>
        </w:rPr>
        <w:t>承包人直接实施的暂估价项目</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承包人直接实施的暂估价项目的约定：</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10.8 暂列金额</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合同当事人关于暂列金额使用的约定：</w:t>
      </w:r>
      <w:r>
        <w:rPr>
          <w:rFonts w:hint="eastAsia" w:ascii="宋体" w:hAnsi="宋体" w:eastAsia="宋体" w:cs="宋体"/>
          <w:sz w:val="21"/>
          <w:szCs w:val="21"/>
          <w:highlight w:val="none"/>
          <w:u w:val="single"/>
        </w:rPr>
        <w:t xml:space="preserve"> 按国家相关规定执行  </w:t>
      </w:r>
      <w:r>
        <w:rPr>
          <w:rFonts w:hint="eastAsia" w:ascii="宋体" w:hAnsi="宋体" w:eastAsia="宋体" w:cs="宋体"/>
          <w:color w:val="000000"/>
          <w:kern w:val="0"/>
          <w:sz w:val="21"/>
          <w:szCs w:val="21"/>
          <w:highlight w:val="none"/>
        </w:rPr>
        <w:t>。</w:t>
      </w:r>
    </w:p>
    <w:p>
      <w:pPr>
        <w:pStyle w:val="4"/>
        <w:pageBreakBefore w:val="0"/>
        <w:widowControl w:val="0"/>
        <w:numPr>
          <w:ilvl w:val="3"/>
          <w:numId w:val="0"/>
        </w:numPr>
        <w:kinsoku/>
        <w:wordWrap/>
        <w:overflowPunct/>
        <w:topLinePunct w:val="0"/>
        <w:bidi w:val="0"/>
        <w:snapToGrid/>
        <w:spacing w:before="120" w:after="120" w:line="400" w:lineRule="exact"/>
        <w:ind w:leftChars="0"/>
        <w:textAlignment w:val="auto"/>
        <w:rPr>
          <w:rFonts w:hint="eastAsia" w:ascii="宋体" w:hAnsi="宋体" w:eastAsia="宋体" w:cs="宋体"/>
          <w:b/>
          <w:bCs w:val="0"/>
          <w:color w:val="000000"/>
          <w:sz w:val="21"/>
          <w:szCs w:val="21"/>
          <w:highlight w:val="none"/>
        </w:rPr>
      </w:pPr>
      <w:bookmarkStart w:id="416" w:name="_Toc4980"/>
      <w:r>
        <w:rPr>
          <w:rFonts w:hint="eastAsia" w:ascii="宋体" w:hAnsi="宋体" w:eastAsia="宋体" w:cs="宋体"/>
          <w:b/>
          <w:bCs w:val="0"/>
          <w:color w:val="000000"/>
          <w:sz w:val="21"/>
          <w:szCs w:val="21"/>
          <w:highlight w:val="none"/>
        </w:rPr>
        <w:t>11. 价格调整</w:t>
      </w:r>
      <w:bookmarkEnd w:id="416"/>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bookmarkStart w:id="417" w:name="_Toc296503201"/>
      <w:bookmarkStart w:id="418" w:name="_Toc297048387"/>
      <w:bookmarkStart w:id="419" w:name="_Toc312678039"/>
      <w:bookmarkStart w:id="420" w:name="_Toc296944540"/>
      <w:bookmarkStart w:id="421" w:name="_Toc296346702"/>
      <w:bookmarkStart w:id="422" w:name="_Toc304295577"/>
      <w:bookmarkStart w:id="423" w:name="_Toc297120501"/>
      <w:bookmarkStart w:id="424" w:name="_Toc296347200"/>
      <w:bookmarkStart w:id="425" w:name="_Toc296891241"/>
      <w:bookmarkStart w:id="426" w:name="_Toc303539157"/>
      <w:bookmarkStart w:id="427" w:name="_Toc297123550"/>
      <w:bookmarkStart w:id="428" w:name="_Toc292559406"/>
      <w:bookmarkStart w:id="429" w:name="_Toc296891029"/>
      <w:bookmarkStart w:id="430" w:name="_Toc300935000"/>
      <w:bookmarkStart w:id="431" w:name="_Toc297216209"/>
      <w:bookmarkStart w:id="432" w:name="_Toc292559911"/>
      <w:r>
        <w:rPr>
          <w:rFonts w:hint="eastAsia" w:ascii="宋体" w:hAnsi="宋体" w:eastAsia="宋体" w:cs="宋体"/>
          <w:color w:val="000000"/>
          <w:sz w:val="21"/>
          <w:szCs w:val="21"/>
          <w:highlight w:val="none"/>
        </w:rPr>
        <w:t>11.1 市场价格波动引起的调整</w:t>
      </w: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市场价格波动是否调整合同价格的约定：</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否</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因市场价格波动调整合同价格，采用以下</w:t>
      </w:r>
      <w:r>
        <w:rPr>
          <w:rFonts w:hint="eastAsia" w:ascii="宋体" w:hAnsi="宋体" w:eastAsia="宋体" w:cs="宋体"/>
          <w:sz w:val="21"/>
          <w:szCs w:val="21"/>
          <w:highlight w:val="none"/>
        </w:rPr>
        <w:t>第</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种方式对合同价格进行调整：</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第1种方式：采用价格指数进行价格调整。</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 xml:space="preserve">；  </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第2种方式：采用造价信息进行价格调整。</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（2）关于基准价格的约定：</w:t>
      </w:r>
      <w:r>
        <w:rPr>
          <w:rFonts w:hint="eastAsia" w:ascii="宋体" w:hAnsi="宋体" w:eastAsia="宋体" w:cs="宋体"/>
          <w:sz w:val="21"/>
          <w:szCs w:val="21"/>
          <w:highlight w:val="none"/>
          <w:u w:val="single"/>
        </w:rPr>
        <w:t xml:space="preserve"> 按照招标文件执行 </w:t>
      </w:r>
      <w:r>
        <w:rPr>
          <w:rFonts w:hint="eastAsia" w:ascii="宋体" w:hAnsi="宋体" w:eastAsia="宋体" w:cs="宋体"/>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%时，或材料单价跌幅以已标价工程量清单或预算书中载明材料单价为基础超过</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%时，其超过部分据实调整。</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%时，材料单价涨幅以已标价工程量清单或预算书中载明材料单价为基础超过</w:t>
      </w:r>
      <w:r>
        <w:rPr>
          <w:rFonts w:hint="eastAsia" w:ascii="宋体" w:hAnsi="宋体" w:eastAsia="宋体" w:cs="宋体"/>
          <w:color w:val="000000"/>
          <w:sz w:val="21"/>
          <w:szCs w:val="21"/>
          <w:highlight w:val="none"/>
          <w:u w:val="single"/>
        </w:rPr>
        <w:t>10</w:t>
      </w:r>
      <w:r>
        <w:rPr>
          <w:rFonts w:hint="eastAsia" w:ascii="宋体" w:hAnsi="宋体" w:eastAsia="宋体" w:cs="宋体"/>
          <w:color w:val="000000"/>
          <w:sz w:val="21"/>
          <w:szCs w:val="21"/>
          <w:highlight w:val="none"/>
        </w:rPr>
        <w:t>%时，其超过部分据实调整。</w:t>
      </w:r>
    </w:p>
    <w:p>
      <w:pPr>
        <w:pageBreakBefore w:val="0"/>
        <w:widowControl w:val="0"/>
        <w:kinsoku/>
        <w:wordWrap/>
        <w:overflowPunct/>
        <w:topLinePunct w:val="0"/>
        <w:bidi w:val="0"/>
        <w:snapToGrid/>
        <w:spacing w:line="400" w:lineRule="exact"/>
        <w:ind w:firstLine="645"/>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sz w:val="21"/>
          <w:szCs w:val="21"/>
          <w:highlight w:val="none"/>
          <w:u w:val="single"/>
          <w:lang w:val="en-US" w:eastAsia="zh-CN"/>
        </w:rPr>
        <w:t xml:space="preserve">  /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时，其超过部分据实调整。</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第3种方式：其他价格调整方式：</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bookmarkEnd w:id="320"/>
    <w:bookmarkEnd w:id="321"/>
    <w:bookmarkEnd w:id="322"/>
    <w:bookmarkEnd w:id="323"/>
    <w:bookmarkEnd w:id="324"/>
    <w:bookmarkEnd w:id="325"/>
    <w:p>
      <w:pPr>
        <w:pStyle w:val="4"/>
        <w:pageBreakBefore w:val="0"/>
        <w:widowControl w:val="0"/>
        <w:numPr>
          <w:ilvl w:val="3"/>
          <w:numId w:val="0"/>
        </w:numPr>
        <w:kinsoku/>
        <w:wordWrap/>
        <w:overflowPunct/>
        <w:topLinePunct w:val="0"/>
        <w:bidi w:val="0"/>
        <w:snapToGrid/>
        <w:spacing w:before="120" w:after="120" w:line="400" w:lineRule="exact"/>
        <w:ind w:leftChars="0"/>
        <w:textAlignment w:val="auto"/>
        <w:rPr>
          <w:rFonts w:hint="eastAsia" w:ascii="宋体" w:hAnsi="宋体" w:eastAsia="宋体" w:cs="宋体"/>
          <w:b/>
          <w:bCs w:val="0"/>
          <w:color w:val="000000"/>
          <w:sz w:val="21"/>
          <w:szCs w:val="21"/>
          <w:highlight w:val="none"/>
        </w:rPr>
      </w:pPr>
      <w:bookmarkStart w:id="433" w:name="_Toc296891033"/>
      <w:bookmarkStart w:id="434" w:name="_Toc292559915"/>
      <w:bookmarkStart w:id="435" w:name="_Toc296944544"/>
      <w:bookmarkStart w:id="436" w:name="_Toc296346706"/>
      <w:bookmarkStart w:id="437" w:name="_Toc296347204"/>
      <w:bookmarkStart w:id="438" w:name="_Toc296503205"/>
      <w:bookmarkStart w:id="439" w:name="_Toc292559410"/>
      <w:bookmarkStart w:id="440" w:name="_Toc297120505"/>
      <w:bookmarkStart w:id="441" w:name="_Toc297048391"/>
      <w:bookmarkStart w:id="442" w:name="_Toc296891245"/>
      <w:bookmarkStart w:id="443" w:name="_Toc32747"/>
      <w:bookmarkStart w:id="444" w:name="_Toc297216211"/>
      <w:bookmarkStart w:id="445" w:name="_Toc304295579"/>
      <w:bookmarkStart w:id="446" w:name="_Toc297123552"/>
      <w:bookmarkStart w:id="447" w:name="_Toc312678040"/>
      <w:bookmarkStart w:id="448" w:name="_Toc303539159"/>
      <w:bookmarkStart w:id="449" w:name="_Toc300935002"/>
      <w:r>
        <w:rPr>
          <w:rFonts w:hint="eastAsia" w:ascii="宋体" w:hAnsi="宋体" w:eastAsia="宋体" w:cs="宋体"/>
          <w:b/>
          <w:bCs w:val="0"/>
          <w:color w:val="000000"/>
          <w:sz w:val="21"/>
          <w:szCs w:val="21"/>
          <w:highlight w:val="none"/>
        </w:rPr>
        <w:t xml:space="preserve">12. </w:t>
      </w:r>
      <w:bookmarkEnd w:id="433"/>
      <w:bookmarkEnd w:id="434"/>
      <w:bookmarkEnd w:id="435"/>
      <w:bookmarkEnd w:id="436"/>
      <w:bookmarkEnd w:id="437"/>
      <w:bookmarkEnd w:id="438"/>
      <w:bookmarkEnd w:id="439"/>
      <w:bookmarkEnd w:id="440"/>
      <w:bookmarkEnd w:id="441"/>
      <w:bookmarkEnd w:id="442"/>
      <w:r>
        <w:rPr>
          <w:rFonts w:hint="eastAsia" w:ascii="宋体" w:hAnsi="宋体" w:eastAsia="宋体" w:cs="宋体"/>
          <w:b/>
          <w:bCs w:val="0"/>
          <w:color w:val="000000"/>
          <w:sz w:val="21"/>
          <w:szCs w:val="21"/>
          <w:highlight w:val="none"/>
        </w:rPr>
        <w:t>合同价格、计量与支付</w:t>
      </w:r>
      <w:bookmarkEnd w:id="443"/>
    </w:p>
    <w:bookmarkEnd w:id="444"/>
    <w:bookmarkEnd w:id="445"/>
    <w:bookmarkEnd w:id="446"/>
    <w:bookmarkEnd w:id="447"/>
    <w:bookmarkEnd w:id="448"/>
    <w:bookmarkEnd w:id="449"/>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bookmarkStart w:id="450" w:name="_Toc267251461"/>
      <w:bookmarkStart w:id="451" w:name="_Toc292559916"/>
      <w:bookmarkStart w:id="452" w:name="_Toc292559411"/>
      <w:bookmarkStart w:id="453" w:name="_Toc297048392"/>
      <w:bookmarkStart w:id="454" w:name="_Toc296347205"/>
      <w:bookmarkStart w:id="455" w:name="_Toc296944545"/>
      <w:bookmarkStart w:id="456" w:name="_Toc296891246"/>
      <w:bookmarkStart w:id="457" w:name="_Toc296503206"/>
      <w:bookmarkStart w:id="458" w:name="_Toc296346707"/>
      <w:bookmarkStart w:id="459" w:name="_Toc296891034"/>
      <w:bookmarkStart w:id="460" w:name="_Toc297120506"/>
      <w:bookmarkStart w:id="461" w:name="_Toc304295580"/>
      <w:bookmarkStart w:id="462" w:name="_Toc297123553"/>
      <w:bookmarkStart w:id="463" w:name="_Toc303539160"/>
      <w:bookmarkStart w:id="464" w:name="_Toc297216212"/>
      <w:bookmarkStart w:id="465" w:name="_Toc312678041"/>
      <w:bookmarkStart w:id="466" w:name="_Toc300935003"/>
      <w:r>
        <w:rPr>
          <w:rFonts w:hint="eastAsia" w:ascii="宋体" w:hAnsi="宋体" w:eastAsia="宋体" w:cs="宋体"/>
          <w:color w:val="000000"/>
          <w:sz w:val="21"/>
          <w:szCs w:val="21"/>
          <w:highlight w:val="none"/>
        </w:rPr>
        <w:t>12.1 合</w:t>
      </w:r>
      <w:bookmarkEnd w:id="450"/>
      <w:bookmarkEnd w:id="451"/>
      <w:bookmarkEnd w:id="452"/>
      <w:r>
        <w:rPr>
          <w:rFonts w:hint="eastAsia" w:ascii="宋体" w:hAnsi="宋体" w:eastAsia="宋体" w:cs="宋体"/>
          <w:color w:val="000000"/>
          <w:sz w:val="21"/>
          <w:szCs w:val="21"/>
          <w:highlight w:val="none"/>
        </w:rPr>
        <w:t>同价</w:t>
      </w:r>
      <w:bookmarkEnd w:id="453"/>
      <w:bookmarkEnd w:id="454"/>
      <w:bookmarkEnd w:id="455"/>
      <w:bookmarkEnd w:id="456"/>
      <w:bookmarkEnd w:id="457"/>
      <w:bookmarkEnd w:id="458"/>
      <w:bookmarkEnd w:id="459"/>
      <w:bookmarkEnd w:id="460"/>
      <w:r>
        <w:rPr>
          <w:rFonts w:hint="eastAsia" w:ascii="宋体" w:hAnsi="宋体" w:eastAsia="宋体" w:cs="宋体"/>
          <w:color w:val="000000"/>
          <w:sz w:val="21"/>
          <w:szCs w:val="21"/>
          <w:highlight w:val="none"/>
        </w:rPr>
        <w:t>格形式</w:t>
      </w:r>
    </w:p>
    <w:bookmarkEnd w:id="461"/>
    <w:bookmarkEnd w:id="462"/>
    <w:bookmarkEnd w:id="463"/>
    <w:bookmarkEnd w:id="464"/>
    <w:bookmarkEnd w:id="465"/>
    <w:bookmarkEnd w:id="466"/>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1、单价合同。</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综合单价包含的风险范围：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风险费用的计算方法：</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风险范围以外合同价格的调整方法：</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2、总价合同。</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总价包含的风险范围：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风险费用的计算方法：</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风险范围以外合同价格的调整方法：</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3、其他价格方式：</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bookmarkStart w:id="467" w:name="_Toc297123554"/>
      <w:bookmarkStart w:id="468" w:name="_Toc303539161"/>
      <w:bookmarkStart w:id="469" w:name="_Toc300935004"/>
      <w:bookmarkStart w:id="470" w:name="_Toc304295581"/>
      <w:bookmarkStart w:id="471" w:name="_Toc312678042"/>
      <w:bookmarkStart w:id="472" w:name="_Toc297216213"/>
      <w:bookmarkStart w:id="473" w:name="_Toc292559917"/>
      <w:bookmarkStart w:id="474" w:name="_Toc296891247"/>
      <w:bookmarkStart w:id="475" w:name="_Toc296347206"/>
      <w:bookmarkStart w:id="476" w:name="_Toc297048393"/>
      <w:bookmarkStart w:id="477" w:name="_Toc296346708"/>
      <w:bookmarkStart w:id="478" w:name="_Toc292559412"/>
      <w:bookmarkStart w:id="479" w:name="_Toc296944546"/>
      <w:bookmarkStart w:id="480" w:name="_Toc296503207"/>
      <w:bookmarkStart w:id="481" w:name="_Toc296891035"/>
      <w:bookmarkStart w:id="482" w:name="_Toc297120507"/>
      <w:r>
        <w:rPr>
          <w:rFonts w:hint="eastAsia" w:ascii="宋体" w:hAnsi="宋体" w:eastAsia="宋体" w:cs="宋体"/>
          <w:color w:val="000000"/>
          <w:sz w:val="21"/>
          <w:szCs w:val="21"/>
          <w:highlight w:val="none"/>
        </w:rPr>
        <w:t>12.2 预付款</w:t>
      </w:r>
    </w:p>
    <w:bookmarkEnd w:id="467"/>
    <w:bookmarkEnd w:id="468"/>
    <w:bookmarkEnd w:id="469"/>
    <w:bookmarkEnd w:id="470"/>
    <w:bookmarkEnd w:id="471"/>
    <w:bookmarkEnd w:id="472"/>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12.2.1 预付款的支付</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预付款支付比例或金额：</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30%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预付款支付期限：</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预付款扣回的方式：</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12.2.2 预付款担保</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承包人提交预付款担保的期限：</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预付款担保的形式为：</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bookmarkEnd w:id="473"/>
    <w:bookmarkEnd w:id="474"/>
    <w:bookmarkEnd w:id="475"/>
    <w:bookmarkEnd w:id="476"/>
    <w:bookmarkEnd w:id="477"/>
    <w:bookmarkEnd w:id="478"/>
    <w:bookmarkEnd w:id="479"/>
    <w:bookmarkEnd w:id="480"/>
    <w:bookmarkEnd w:id="481"/>
    <w:bookmarkEnd w:id="482"/>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 计量</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12.3.1 计量原则</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工程量计算规则：</w:t>
      </w:r>
      <w:r>
        <w:rPr>
          <w:rFonts w:hint="eastAsia" w:ascii="宋体" w:hAnsi="宋体" w:eastAsia="宋体" w:cs="宋体"/>
          <w:color w:val="000000"/>
          <w:sz w:val="21"/>
          <w:szCs w:val="21"/>
          <w:highlight w:val="none"/>
          <w:u w:val="single"/>
        </w:rPr>
        <w:t>建设工程工程量清单计价规(G1350500-2013）</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《河南省建设工程工程量清单综合单价》（20</w:t>
      </w:r>
      <w:r>
        <w:rPr>
          <w:rFonts w:hint="eastAsia" w:ascii="宋体" w:hAnsi="宋体" w:eastAsia="宋体" w:cs="宋体"/>
          <w:color w:val="000000"/>
          <w:sz w:val="21"/>
          <w:szCs w:val="21"/>
          <w:highlight w:val="none"/>
          <w:u w:val="single"/>
          <w:lang w:val="en-US" w:eastAsia="zh-CN"/>
        </w:rPr>
        <w:t>16</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12.3.2 计量周期</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关于计量周期的约定：</w:t>
      </w:r>
      <w:r>
        <w:rPr>
          <w:rFonts w:hint="eastAsia" w:ascii="宋体" w:hAnsi="宋体" w:eastAsia="宋体" w:cs="宋体"/>
          <w:color w:val="000000"/>
          <w:sz w:val="21"/>
          <w:szCs w:val="21"/>
          <w:highlight w:val="none"/>
          <w:u w:val="single"/>
        </w:rPr>
        <w:t xml:space="preserve">  按月进行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12.3.3 单价合同的计量</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关于单价合同计量的约定：</w:t>
      </w:r>
      <w:r>
        <w:rPr>
          <w:rFonts w:hint="eastAsia" w:ascii="宋体" w:hAnsi="宋体" w:eastAsia="宋体" w:cs="宋体"/>
          <w:color w:val="000000"/>
          <w:sz w:val="21"/>
          <w:szCs w:val="21"/>
          <w:highlight w:val="none"/>
          <w:u w:val="single"/>
        </w:rPr>
        <w:t xml:space="preserve">   执行通用条款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12.3.4 总价合同的计量</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关于总价合同计量的约定：</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12.3.5总价合同采用支付分解表计量支付的，是否适用第</w:t>
      </w:r>
      <w:r>
        <w:rPr>
          <w:rFonts w:hint="eastAsia" w:ascii="宋体" w:hAnsi="宋体" w:eastAsia="宋体" w:cs="宋体"/>
          <w:color w:val="000000"/>
          <w:kern w:val="0"/>
          <w:sz w:val="21"/>
          <w:szCs w:val="21"/>
          <w:highlight w:val="none"/>
        </w:rPr>
        <w:t xml:space="preserve">12.3.4 </w:t>
      </w:r>
      <w:r>
        <w:rPr>
          <w:rFonts w:hint="eastAsia" w:ascii="宋体" w:hAnsi="宋体" w:eastAsia="宋体" w:cs="宋体"/>
          <w:color w:val="000000"/>
          <w:sz w:val="21"/>
          <w:szCs w:val="21"/>
          <w:highlight w:val="none"/>
        </w:rPr>
        <w:t>项</w:t>
      </w:r>
      <w:r>
        <w:rPr>
          <w:rFonts w:hint="eastAsia" w:ascii="宋体" w:hAnsi="宋体" w:eastAsia="宋体" w:cs="宋体"/>
          <w:color w:val="000000"/>
          <w:kern w:val="0"/>
          <w:sz w:val="21"/>
          <w:szCs w:val="21"/>
          <w:highlight w:val="none"/>
        </w:rPr>
        <w:t>〔总价合同的计量〕</w:t>
      </w:r>
      <w:r>
        <w:rPr>
          <w:rFonts w:hint="eastAsia" w:ascii="宋体" w:hAnsi="宋体" w:eastAsia="宋体" w:cs="宋体"/>
          <w:color w:val="000000"/>
          <w:sz w:val="21"/>
          <w:szCs w:val="21"/>
          <w:highlight w:val="none"/>
        </w:rPr>
        <w:t>约定进行计量：</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12.3.6 其他价格形式合同的计量</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其他价格形式的计量方式和程序：</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rPr>
        <w:t xml:space="preserve"> </w:t>
      </w:r>
      <w:r>
        <w:rPr>
          <w:rFonts w:hint="eastAsia" w:ascii="宋体" w:hAnsi="宋体" w:eastAsia="宋体" w:cs="宋体"/>
          <w:color w:val="000000"/>
          <w:sz w:val="21"/>
          <w:szCs w:val="21"/>
          <w:highlight w:val="none"/>
        </w:rPr>
        <w:t xml:space="preserve">    </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bookmarkStart w:id="483" w:name="_Toc292559416"/>
      <w:bookmarkStart w:id="484" w:name="_Toc296346712"/>
      <w:bookmarkStart w:id="485" w:name="_Toc303539163"/>
      <w:bookmarkStart w:id="486" w:name="_Toc296503211"/>
      <w:bookmarkStart w:id="487" w:name="_Toc297216215"/>
      <w:bookmarkStart w:id="488" w:name="_Toc296891251"/>
      <w:bookmarkStart w:id="489" w:name="_Toc297048397"/>
      <w:bookmarkStart w:id="490" w:name="_Toc297123556"/>
      <w:bookmarkStart w:id="491" w:name="_Toc296347210"/>
      <w:bookmarkStart w:id="492" w:name="_Toc292559921"/>
      <w:bookmarkStart w:id="493" w:name="_Toc296891039"/>
      <w:bookmarkStart w:id="494" w:name="_Toc300935006"/>
      <w:bookmarkStart w:id="495" w:name="_Toc296944550"/>
      <w:bookmarkStart w:id="496" w:name="_Toc297120511"/>
      <w:r>
        <w:rPr>
          <w:rFonts w:hint="eastAsia" w:ascii="宋体" w:hAnsi="宋体" w:eastAsia="宋体" w:cs="宋体"/>
          <w:color w:val="000000"/>
          <w:sz w:val="21"/>
          <w:szCs w:val="21"/>
          <w:highlight w:val="none"/>
        </w:rPr>
        <w:t>12.4.1 付款周期</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关于付款周期的约定：</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lang w:val="en-US" w:eastAsia="zh-CN"/>
        </w:rPr>
        <w:t>双方签订合同后，乙方进场施工甲方向乙方支付 30%的预付款，项目完工并验收合格，经评审后，乙方向甲方提供 3%的质保函 (质保期满后可解除质保函)，甲方支付至评审金额的100%。</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12.4.2 进度付款申请单的编制</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关于进度付款申请单编制的约定：</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hint="eastAsia" w:ascii="宋体" w:hAnsi="宋体" w:eastAsia="宋体" w:cs="宋体"/>
          <w:color w:val="000000"/>
          <w:sz w:val="21"/>
          <w:szCs w:val="21"/>
          <w:highlight w:val="none"/>
        </w:rPr>
        <w:t>2.4.3 进度付款申请单的提交</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（1）单价合同进度付款申请单提交的约定：</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（2）总价合同进度付款申请单提交的约定：</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（3）其他价格形式合同进度付款申请单提交的约定：</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12.4.4 进度款审核和支付</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（1）监理人审查并报送发包人的期限：</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发包人完成审批并签发进度款支付证书的期限：</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（2）发包人支付进度款的期限：</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发包人逾期支付进度款的违约金的计算方式：</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525" w:firstLineChars="25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12.4.6 支付分解表的编制</w:t>
      </w:r>
    </w:p>
    <w:p>
      <w:pPr>
        <w:pageBreakBefore w:val="0"/>
        <w:widowControl w:val="0"/>
        <w:kinsoku/>
        <w:wordWrap/>
        <w:overflowPunct/>
        <w:topLinePunct w:val="0"/>
        <w:bidi w:val="0"/>
        <w:snapToGrid/>
        <w:spacing w:line="400" w:lineRule="exact"/>
        <w:ind w:left="6000" w:hanging="4200" w:hangingChars="20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2、总价合同支付分解表的编制与审批：</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3、单价合同的总价项目支付分解表的编制与审批：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bookmarkEnd w:id="326"/>
    <w:p>
      <w:pPr>
        <w:pStyle w:val="4"/>
        <w:pageBreakBefore w:val="0"/>
        <w:widowControl w:val="0"/>
        <w:numPr>
          <w:ilvl w:val="3"/>
          <w:numId w:val="0"/>
        </w:numPr>
        <w:kinsoku/>
        <w:wordWrap/>
        <w:overflowPunct/>
        <w:topLinePunct w:val="0"/>
        <w:bidi w:val="0"/>
        <w:snapToGrid/>
        <w:spacing w:before="120" w:after="120" w:line="400" w:lineRule="exact"/>
        <w:ind w:leftChars="0"/>
        <w:textAlignment w:val="auto"/>
        <w:rPr>
          <w:rFonts w:hint="eastAsia" w:ascii="宋体" w:hAnsi="宋体" w:eastAsia="宋体" w:cs="宋体"/>
          <w:b/>
          <w:bCs w:val="0"/>
          <w:color w:val="000000"/>
          <w:sz w:val="21"/>
          <w:szCs w:val="21"/>
          <w:highlight w:val="none"/>
        </w:rPr>
      </w:pPr>
      <w:bookmarkStart w:id="497" w:name="_Toc6110"/>
      <w:bookmarkStart w:id="498" w:name="_Toc312678053"/>
      <w:bookmarkStart w:id="499" w:name="_Toc297216223"/>
      <w:bookmarkStart w:id="500" w:name="_Toc292559424"/>
      <w:bookmarkStart w:id="501" w:name="_Toc296891259"/>
      <w:bookmarkStart w:id="502" w:name="_Toc303539172"/>
      <w:bookmarkStart w:id="503" w:name="_Toc296346720"/>
      <w:bookmarkStart w:id="504" w:name="_Toc300935015"/>
      <w:bookmarkStart w:id="505" w:name="_Toc297048405"/>
      <w:bookmarkStart w:id="506" w:name="_Toc297123564"/>
      <w:bookmarkStart w:id="507" w:name="_Toc297120519"/>
      <w:bookmarkStart w:id="508" w:name="_Toc296891047"/>
      <w:bookmarkStart w:id="509" w:name="_Toc296347218"/>
      <w:bookmarkStart w:id="510" w:name="_Toc292559929"/>
      <w:bookmarkStart w:id="511" w:name="_Toc296944558"/>
      <w:bookmarkStart w:id="512" w:name="_Toc296503219"/>
      <w:bookmarkStart w:id="513" w:name="_Toc304295593"/>
      <w:r>
        <w:rPr>
          <w:rFonts w:hint="eastAsia" w:ascii="宋体" w:hAnsi="宋体" w:eastAsia="宋体" w:cs="宋体"/>
          <w:b/>
          <w:bCs w:val="0"/>
          <w:color w:val="000000"/>
          <w:sz w:val="21"/>
          <w:szCs w:val="21"/>
          <w:highlight w:val="none"/>
        </w:rPr>
        <w:t>13. 验收和工程试车</w:t>
      </w:r>
      <w:bookmarkEnd w:id="497"/>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13.1 分部分项工程验收</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13.1.2监理人不能按时进行验收时，应提前</w:t>
      </w:r>
      <w:r>
        <w:rPr>
          <w:rFonts w:hint="eastAsia" w:ascii="宋体" w:hAnsi="宋体" w:eastAsia="宋体" w:cs="宋体"/>
          <w:sz w:val="21"/>
          <w:szCs w:val="21"/>
          <w:highlight w:val="none"/>
          <w:u w:val="single"/>
        </w:rPr>
        <w:t xml:space="preserve"> 24 </w:t>
      </w:r>
      <w:r>
        <w:rPr>
          <w:rFonts w:hint="eastAsia" w:ascii="宋体" w:hAnsi="宋体" w:eastAsia="宋体" w:cs="宋体"/>
          <w:sz w:val="21"/>
          <w:szCs w:val="21"/>
          <w:highlight w:val="none"/>
        </w:rPr>
        <w:t>小时提交书面延期要求。</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b/>
          <w:color w:val="000000"/>
          <w:sz w:val="21"/>
          <w:szCs w:val="21"/>
          <w:highlight w:val="none"/>
        </w:rPr>
      </w:pPr>
      <w:r>
        <w:rPr>
          <w:rFonts w:hint="eastAsia" w:ascii="宋体" w:hAnsi="宋体" w:eastAsia="宋体" w:cs="宋体"/>
          <w:sz w:val="21"/>
          <w:szCs w:val="21"/>
          <w:highlight w:val="none"/>
        </w:rPr>
        <w:t>关于延期最长不得超过：</w:t>
      </w:r>
      <w:r>
        <w:rPr>
          <w:rFonts w:hint="eastAsia" w:ascii="宋体" w:hAnsi="宋体" w:eastAsia="宋体" w:cs="宋体"/>
          <w:sz w:val="21"/>
          <w:szCs w:val="21"/>
          <w:highlight w:val="none"/>
          <w:u w:val="single"/>
        </w:rPr>
        <w:t xml:space="preserve">  48  </w:t>
      </w:r>
      <w:r>
        <w:rPr>
          <w:rFonts w:hint="eastAsia" w:ascii="宋体" w:hAnsi="宋体" w:eastAsia="宋体" w:cs="宋体"/>
          <w:sz w:val="21"/>
          <w:szCs w:val="21"/>
          <w:highlight w:val="none"/>
        </w:rPr>
        <w:t>小时。</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bookmarkStart w:id="514" w:name="_Toc297216224"/>
      <w:bookmarkStart w:id="515" w:name="_Toc296891051"/>
      <w:bookmarkStart w:id="516" w:name="_Toc304295596"/>
      <w:bookmarkStart w:id="517" w:name="_Toc292559933"/>
      <w:bookmarkStart w:id="518" w:name="_Toc312678056"/>
      <w:bookmarkStart w:id="519" w:name="_Toc297048409"/>
      <w:bookmarkStart w:id="520" w:name="_Toc296944562"/>
      <w:bookmarkStart w:id="521" w:name="_Toc296891263"/>
      <w:bookmarkStart w:id="522" w:name="_Toc300935016"/>
      <w:bookmarkStart w:id="523" w:name="_Toc296347222"/>
      <w:bookmarkStart w:id="524" w:name="_Toc296346724"/>
      <w:bookmarkStart w:id="525" w:name="_Toc297123565"/>
      <w:bookmarkStart w:id="526" w:name="_Toc292559428"/>
      <w:bookmarkStart w:id="527" w:name="_Toc303539173"/>
      <w:bookmarkStart w:id="528" w:name="_Toc296503223"/>
      <w:bookmarkStart w:id="529" w:name="_Toc297120523"/>
      <w:bookmarkStart w:id="530" w:name="_Toc267251473"/>
      <w:bookmarkStart w:id="531" w:name="_Toc267251475"/>
      <w:bookmarkStart w:id="532" w:name="_Toc267251472"/>
      <w:bookmarkStart w:id="533" w:name="_Toc267251470"/>
      <w:bookmarkStart w:id="534" w:name="_Toc267251476"/>
      <w:bookmarkStart w:id="535" w:name="_Toc267251471"/>
      <w:bookmarkStart w:id="536" w:name="_Toc267251474"/>
      <w:r>
        <w:rPr>
          <w:rFonts w:hint="eastAsia" w:ascii="宋体" w:hAnsi="宋体" w:eastAsia="宋体" w:cs="宋体"/>
          <w:color w:val="000000"/>
          <w:sz w:val="21"/>
          <w:szCs w:val="21"/>
          <w:highlight w:val="none"/>
        </w:rPr>
        <w:t>13.2 竣工验收</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bookmarkStart w:id="537" w:name="_Toc280868704"/>
      <w:bookmarkStart w:id="538" w:name="_Toc280868705"/>
      <w:bookmarkStart w:id="539" w:name="_Toc280868706"/>
      <w:bookmarkStart w:id="540" w:name="_Toc280868707"/>
      <w:bookmarkStart w:id="541" w:name="_Toc280868708"/>
      <w:bookmarkStart w:id="542" w:name="_Toc280868709"/>
      <w:r>
        <w:rPr>
          <w:rFonts w:hint="eastAsia" w:ascii="宋体" w:hAnsi="宋体" w:eastAsia="宋体" w:cs="宋体"/>
          <w:color w:val="000000"/>
          <w:sz w:val="21"/>
          <w:szCs w:val="21"/>
          <w:highlight w:val="none"/>
        </w:rPr>
        <w:t>13.2.2竣工验收程序</w:t>
      </w:r>
    </w:p>
    <w:bookmarkEnd w:id="537"/>
    <w:p>
      <w:pPr>
        <w:pageBreakBefore w:val="0"/>
        <w:widowControl w:val="0"/>
        <w:kinsoku/>
        <w:wordWrap/>
        <w:overflowPunct/>
        <w:topLinePunct w:val="0"/>
        <w:bidi w:val="0"/>
        <w:snapToGrid/>
        <w:spacing w:line="400" w:lineRule="exact"/>
        <w:ind w:left="6000" w:hanging="4200" w:hangingChars="20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关于竣工验收程序的约定：</w:t>
      </w:r>
      <w:r>
        <w:rPr>
          <w:rFonts w:hint="eastAsia" w:ascii="宋体" w:hAnsi="宋体" w:eastAsia="宋体" w:cs="宋体"/>
          <w:color w:val="000000"/>
          <w:sz w:val="21"/>
          <w:szCs w:val="21"/>
          <w:highlight w:val="none"/>
          <w:u w:val="single"/>
        </w:rPr>
        <w:t xml:space="preserve">    按通用条款执行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发包人不按照本项约定组织竣工验收、颁发工程接收证书的违约金的计算方法：</w:t>
      </w:r>
      <w:r>
        <w:rPr>
          <w:rFonts w:hint="eastAsia" w:ascii="宋体" w:hAnsi="宋体" w:eastAsia="宋体" w:cs="宋体"/>
          <w:color w:val="000000"/>
          <w:sz w:val="21"/>
          <w:szCs w:val="21"/>
          <w:highlight w:val="none"/>
          <w:u w:val="single"/>
        </w:rPr>
        <w:t xml:space="preserve"> 按通用条款执行    </w:t>
      </w:r>
      <w:r>
        <w:rPr>
          <w:rFonts w:hint="eastAsia" w:ascii="宋体" w:hAnsi="宋体" w:eastAsia="宋体" w:cs="宋体"/>
          <w:color w:val="000000"/>
          <w:sz w:val="21"/>
          <w:szCs w:val="21"/>
          <w:highlight w:val="none"/>
        </w:rPr>
        <w:t>。</w:t>
      </w:r>
    </w:p>
    <w:bookmarkEnd w:id="538"/>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13.2.5移交、接收全部与部分工程</w:t>
      </w:r>
    </w:p>
    <w:bookmarkEnd w:id="539"/>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承包人向发包人移交工程的期限：</w:t>
      </w:r>
      <w:r>
        <w:rPr>
          <w:rFonts w:hint="eastAsia" w:ascii="宋体" w:hAnsi="宋体" w:eastAsia="宋体" w:cs="宋体"/>
          <w:color w:val="000000"/>
          <w:sz w:val="21"/>
          <w:szCs w:val="21"/>
          <w:highlight w:val="none"/>
          <w:u w:val="single"/>
        </w:rPr>
        <w:t xml:space="preserve">  颁发工程接收证书7日内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kern w:val="0"/>
          <w:sz w:val="21"/>
          <w:szCs w:val="21"/>
          <w:highlight w:val="none"/>
        </w:rPr>
        <w:t>发包人未按本合同约定接收全部或部分工程的，违约金的计算方法为：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bookmarkEnd w:id="540"/>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承包人未按时移交工程的，违约金的计算方法为：</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13.3 工程试车</w:t>
      </w:r>
    </w:p>
    <w:bookmarkEnd w:id="541"/>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13.3.1 试车程序</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工程试车内容：</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（1）单机无负荷试车费用由</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kern w:val="0"/>
          <w:sz w:val="21"/>
          <w:szCs w:val="21"/>
          <w:highlight w:val="none"/>
        </w:rPr>
        <w:t>承担；</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（2）无负荷联动试车费用由</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kern w:val="0"/>
          <w:sz w:val="21"/>
          <w:szCs w:val="21"/>
          <w:highlight w:val="none"/>
        </w:rPr>
        <w:t>承担。</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13.3.3 投料试车</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关于投料试车相关事项的约定：</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13.6 竣工退场</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13.6.1 竣工退场</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承包人完成竣工退场的期限：</w:t>
      </w:r>
      <w:r>
        <w:rPr>
          <w:rFonts w:hint="eastAsia" w:ascii="宋体" w:hAnsi="宋体" w:eastAsia="宋体" w:cs="宋体"/>
          <w:color w:val="000000"/>
          <w:sz w:val="21"/>
          <w:szCs w:val="21"/>
          <w:highlight w:val="none"/>
          <w:u w:val="single"/>
        </w:rPr>
        <w:t xml:space="preserve">颁发工程接收证书7日内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14. 竣工结算</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14.1 竣工结算申请</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承包人提交竣工结算申请单的期限：</w:t>
      </w:r>
      <w:r>
        <w:rPr>
          <w:rFonts w:hint="eastAsia" w:ascii="宋体" w:hAnsi="宋体" w:eastAsia="宋体" w:cs="宋体"/>
          <w:color w:val="000000"/>
          <w:sz w:val="21"/>
          <w:szCs w:val="21"/>
          <w:highlight w:val="none"/>
          <w:u w:val="single"/>
        </w:rPr>
        <w:t>工程验收合格后28天内</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竣工结算申请单应包括的内容：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执行通用条款</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14.2 竣工结算审核</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发包人审批竣工付款申请单的期限：</w:t>
      </w:r>
      <w:r>
        <w:rPr>
          <w:rFonts w:hint="eastAsia" w:ascii="宋体" w:hAnsi="宋体" w:eastAsia="宋体" w:cs="宋体"/>
          <w:color w:val="000000"/>
          <w:sz w:val="21"/>
          <w:szCs w:val="21"/>
          <w:highlight w:val="none"/>
          <w:u w:val="single"/>
        </w:rPr>
        <w:t>收到竣工付款申请单28天内</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发包人完成竣工付款的期限：</w:t>
      </w:r>
      <w:r>
        <w:rPr>
          <w:rFonts w:hint="eastAsia" w:ascii="宋体" w:hAnsi="宋体" w:eastAsia="宋体" w:cs="宋体"/>
          <w:color w:val="000000"/>
          <w:sz w:val="21"/>
          <w:szCs w:val="21"/>
          <w:highlight w:val="none"/>
          <w:u w:val="single"/>
        </w:rPr>
        <w:t xml:space="preserve"> 签收竣工付款证书后14天内</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关于竣工付款证书异议部分复核的方式和程序：</w:t>
      </w:r>
      <w:r>
        <w:rPr>
          <w:rFonts w:hint="eastAsia" w:ascii="宋体" w:hAnsi="宋体" w:eastAsia="宋体" w:cs="宋体"/>
          <w:color w:val="000000"/>
          <w:sz w:val="21"/>
          <w:szCs w:val="21"/>
          <w:highlight w:val="none"/>
          <w:u w:val="single"/>
        </w:rPr>
        <w:t xml:space="preserve"> 执行通用条款</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14.4 最终结清</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14.4.1 最终结清申请单</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承包人提交最终结清申请单的份数：</w:t>
      </w:r>
      <w:r>
        <w:rPr>
          <w:rFonts w:hint="eastAsia" w:ascii="宋体" w:hAnsi="宋体" w:eastAsia="宋体" w:cs="宋体"/>
          <w:color w:val="000000"/>
          <w:sz w:val="21"/>
          <w:szCs w:val="21"/>
          <w:highlight w:val="none"/>
          <w:u w:val="single"/>
        </w:rPr>
        <w:t xml:space="preserve">   四份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承包人提交最终结算申请单的期限：</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rPr>
        <w:t xml:space="preserve"> </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14.4.2 最终结清证书和支付</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（1）发包人完成最终结清申请单的审批并颁发最终结清证书的期限：</w:t>
      </w:r>
      <w:r>
        <w:rPr>
          <w:rFonts w:hint="eastAsia" w:ascii="宋体" w:hAnsi="宋体" w:eastAsia="宋体" w:cs="宋体"/>
          <w:color w:val="000000"/>
          <w:sz w:val="21"/>
          <w:szCs w:val="21"/>
          <w:highlight w:val="none"/>
          <w:u w:val="single"/>
        </w:rPr>
        <w:t xml:space="preserve"> 承包人应在缺陷责任期终止证书颁发7日内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（2）发包人完成支付的期限：</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bookmarkEnd w:id="530"/>
    <w:bookmarkEnd w:id="531"/>
    <w:bookmarkEnd w:id="532"/>
    <w:bookmarkEnd w:id="533"/>
    <w:bookmarkEnd w:id="534"/>
    <w:bookmarkEnd w:id="535"/>
    <w:bookmarkEnd w:id="536"/>
    <w:bookmarkEnd w:id="542"/>
    <w:p>
      <w:pPr>
        <w:pStyle w:val="4"/>
        <w:pageBreakBefore w:val="0"/>
        <w:widowControl w:val="0"/>
        <w:numPr>
          <w:ilvl w:val="3"/>
          <w:numId w:val="0"/>
        </w:numPr>
        <w:kinsoku/>
        <w:wordWrap/>
        <w:overflowPunct/>
        <w:topLinePunct w:val="0"/>
        <w:bidi w:val="0"/>
        <w:snapToGrid/>
        <w:spacing w:before="120" w:after="120" w:line="400" w:lineRule="exact"/>
        <w:ind w:leftChars="200"/>
        <w:textAlignment w:val="auto"/>
        <w:rPr>
          <w:rFonts w:hint="eastAsia" w:ascii="宋体" w:hAnsi="宋体" w:eastAsia="宋体" w:cs="宋体"/>
          <w:b/>
          <w:bCs w:val="0"/>
          <w:color w:val="000000"/>
          <w:sz w:val="21"/>
          <w:szCs w:val="21"/>
          <w:highlight w:val="none"/>
        </w:rPr>
      </w:pPr>
      <w:bookmarkStart w:id="543" w:name="_Toc17518"/>
      <w:bookmarkStart w:id="544" w:name="_Toc267251483"/>
      <w:bookmarkStart w:id="545" w:name="_Toc267251484"/>
      <w:bookmarkStart w:id="546" w:name="_Toc267251482"/>
      <w:bookmarkStart w:id="547" w:name="_Toc267251485"/>
      <w:bookmarkStart w:id="548" w:name="_Toc267251490"/>
      <w:bookmarkStart w:id="549" w:name="_Toc267251486"/>
      <w:bookmarkStart w:id="550" w:name="_Toc267251488"/>
      <w:bookmarkStart w:id="551" w:name="_Toc267251489"/>
      <w:bookmarkStart w:id="552" w:name="_Toc267251497"/>
      <w:bookmarkStart w:id="553" w:name="_Toc267251495"/>
      <w:bookmarkStart w:id="554" w:name="_Toc267251499"/>
      <w:bookmarkStart w:id="555" w:name="_Toc267251494"/>
      <w:bookmarkStart w:id="556" w:name="_Toc267251498"/>
      <w:bookmarkStart w:id="557" w:name="_Toc267251501"/>
      <w:bookmarkStart w:id="558" w:name="_Toc267251493"/>
      <w:bookmarkStart w:id="559" w:name="_Toc267251491"/>
      <w:bookmarkStart w:id="560" w:name="_Toc267251496"/>
      <w:bookmarkStart w:id="561" w:name="_Toc267251492"/>
      <w:bookmarkStart w:id="562" w:name="_Toc267251502"/>
      <w:bookmarkStart w:id="563" w:name="_Toc267251503"/>
      <w:bookmarkStart w:id="564" w:name="_Toc267251504"/>
      <w:bookmarkStart w:id="565" w:name="_Toc267251506"/>
      <w:bookmarkStart w:id="566" w:name="_Toc267251507"/>
      <w:bookmarkStart w:id="567" w:name="_Toc267251508"/>
      <w:bookmarkStart w:id="568" w:name="_Toc267251511"/>
      <w:bookmarkStart w:id="569" w:name="_Toc267251513"/>
      <w:bookmarkStart w:id="570" w:name="_Toc267251509"/>
      <w:bookmarkStart w:id="571" w:name="_Toc267251510"/>
      <w:bookmarkStart w:id="572" w:name="_Toc267251514"/>
      <w:bookmarkStart w:id="573" w:name="_Toc267251515"/>
      <w:r>
        <w:rPr>
          <w:rFonts w:hint="eastAsia" w:ascii="宋体" w:hAnsi="宋体" w:eastAsia="宋体" w:cs="宋体"/>
          <w:b/>
          <w:bCs w:val="0"/>
          <w:color w:val="000000"/>
          <w:sz w:val="21"/>
          <w:szCs w:val="21"/>
          <w:highlight w:val="none"/>
        </w:rPr>
        <w:t>15. 缺陷责任期与保修</w:t>
      </w:r>
      <w:bookmarkEnd w:id="543"/>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15.2缺陷责任期</w:t>
      </w:r>
      <w:bookmarkEnd w:id="544"/>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缺陷责任期的具体期限：</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12</w:t>
      </w:r>
      <w:r>
        <w:rPr>
          <w:rFonts w:hint="eastAsia" w:ascii="宋体" w:hAnsi="宋体" w:eastAsia="宋体" w:cs="宋体"/>
          <w:color w:val="000000"/>
          <w:sz w:val="21"/>
          <w:szCs w:val="21"/>
          <w:highlight w:val="none"/>
          <w:u w:val="single"/>
        </w:rPr>
        <w:t xml:space="preserve">个月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15.3 质量保证金</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关于是否扣留质量保证金的约定：</w:t>
      </w:r>
      <w:r>
        <w:rPr>
          <w:rFonts w:hint="eastAsia" w:ascii="宋体" w:hAnsi="宋体" w:eastAsia="宋体" w:cs="宋体"/>
          <w:color w:val="000000"/>
          <w:sz w:val="21"/>
          <w:szCs w:val="21"/>
          <w:highlight w:val="none"/>
          <w:u w:val="single"/>
        </w:rPr>
        <w:t xml:space="preserve">      是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15.3.1 承包人提供质量保证金的方式</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质量保证金采用以下第</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1</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种方式：</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（1）质量保证金保函，保证金额为：</w:t>
      </w:r>
      <w:r>
        <w:rPr>
          <w:rFonts w:hint="eastAsia" w:ascii="宋体" w:hAnsi="宋体" w:eastAsia="宋体" w:cs="宋体"/>
          <w:color w:val="000000"/>
          <w:kern w:val="0"/>
          <w:sz w:val="21"/>
          <w:szCs w:val="21"/>
          <w:highlight w:val="none"/>
          <w:u w:val="single"/>
        </w:rPr>
        <w:t xml:space="preserve">   </w:t>
      </w:r>
      <w:r>
        <w:rPr>
          <w:rFonts w:hint="eastAsia" w:ascii="宋体" w:hAnsi="宋体" w:cs="宋体"/>
          <w:color w:val="000000"/>
          <w:kern w:val="0"/>
          <w:sz w:val="21"/>
          <w:szCs w:val="21"/>
          <w:highlight w:val="none"/>
          <w:u w:val="single"/>
          <w:lang w:val="en-US" w:eastAsia="zh-CN"/>
        </w:rPr>
        <w:t>3%</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 xml:space="preserve">； </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cs="宋体"/>
          <w:color w:val="000000"/>
          <w:kern w:val="0"/>
          <w:sz w:val="21"/>
          <w:szCs w:val="21"/>
          <w:highlight w:val="none"/>
          <w:u w:val="single"/>
          <w:lang w:val="en-US" w:eastAsia="zh-CN"/>
        </w:rPr>
        <w:t>/</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%的工程款；</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（3）其他方式:</w:t>
      </w:r>
      <w:r>
        <w:rPr>
          <w:rFonts w:hint="eastAsia" w:ascii="宋体" w:hAnsi="宋体" w:eastAsia="宋体" w:cs="宋体"/>
          <w:color w:val="000000"/>
          <w:kern w:val="0"/>
          <w:sz w:val="21"/>
          <w:szCs w:val="21"/>
          <w:highlight w:val="none"/>
          <w:u w:val="single"/>
        </w:rPr>
        <w:t xml:space="preserve">          /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15.3.2 质量保证金的扣留 </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质量保证金的扣留采取以下第</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种方式：</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（1）在支付工程进度款时逐次扣留，在此情形下，质量保证金的计算基数不包括预付款的支付、扣回以及价格调整的金额；</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（2）工程竣工结算时一次性扣留质量保证金；</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（3）其他扣留方式:</w:t>
      </w:r>
      <w:r>
        <w:rPr>
          <w:rFonts w:hint="eastAsia" w:ascii="宋体" w:hAnsi="宋体" w:eastAsia="宋体" w:cs="宋体"/>
          <w:color w:val="000000"/>
          <w:kern w:val="0"/>
          <w:sz w:val="21"/>
          <w:szCs w:val="21"/>
          <w:highlight w:val="none"/>
          <w:u w:val="single"/>
        </w:rPr>
        <w:t xml:space="preserve">          </w:t>
      </w:r>
      <w:r>
        <w:rPr>
          <w:rFonts w:hint="eastAsia" w:ascii="宋体" w:hAnsi="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630" w:firstLineChars="3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关于质量保证金的补充约定：</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w:t>
      </w:r>
    </w:p>
    <w:bookmarkEnd w:id="545"/>
    <w:bookmarkEnd w:id="546"/>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15.4保修</w:t>
      </w:r>
    </w:p>
    <w:bookmarkEnd w:id="547"/>
    <w:p>
      <w:pPr>
        <w:pageBreakBefore w:val="0"/>
        <w:widowControl w:val="0"/>
        <w:kinsoku/>
        <w:wordWrap/>
        <w:overflowPunct/>
        <w:topLinePunct w:val="0"/>
        <w:bidi w:val="0"/>
        <w:snapToGrid/>
        <w:spacing w:line="400" w:lineRule="exact"/>
        <w:ind w:firstLine="409" w:firstLineChars="195"/>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15.4.1 保修责任</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工程保修期为：</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u w:val="single"/>
          <w:lang w:eastAsia="zh-CN"/>
        </w:rPr>
        <w:t>一年</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09" w:firstLineChars="195"/>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15.4.3 修复通知</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承包人收到保修通知并到达工程现场的合理时间：</w:t>
      </w:r>
      <w:r>
        <w:rPr>
          <w:rFonts w:hint="eastAsia" w:ascii="宋体" w:hAnsi="宋体" w:eastAsia="宋体" w:cs="宋体"/>
          <w:color w:val="000000"/>
          <w:kern w:val="0"/>
          <w:sz w:val="21"/>
          <w:szCs w:val="21"/>
          <w:highlight w:val="none"/>
          <w:u w:val="single"/>
        </w:rPr>
        <w:t xml:space="preserve"> 48小时  </w:t>
      </w:r>
      <w:r>
        <w:rPr>
          <w:rFonts w:hint="eastAsia" w:ascii="宋体" w:hAnsi="宋体" w:eastAsia="宋体" w:cs="宋体"/>
          <w:color w:val="000000"/>
          <w:kern w:val="0"/>
          <w:sz w:val="21"/>
          <w:szCs w:val="21"/>
          <w:highlight w:val="none"/>
        </w:rPr>
        <w:t>。</w:t>
      </w:r>
      <w:bookmarkEnd w:id="548"/>
      <w:bookmarkEnd w:id="549"/>
      <w:bookmarkEnd w:id="550"/>
      <w:bookmarkEnd w:id="551"/>
      <w:bookmarkStart w:id="574" w:name="_Toc9647"/>
      <w:bookmarkStart w:id="575" w:name="_Toc280868718"/>
    </w:p>
    <w:p>
      <w:pPr>
        <w:pageBreakBefore w:val="0"/>
        <w:widowControl w:val="0"/>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16. 违约</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16.1 发包人违约</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16.1.1发包人违约的情形</w:t>
      </w:r>
    </w:p>
    <w:p>
      <w:pPr>
        <w:pageBreakBefore w:val="0"/>
        <w:widowControl w:val="0"/>
        <w:kinsoku/>
        <w:wordWrap/>
        <w:overflowPunct/>
        <w:topLinePunct w:val="0"/>
        <w:bidi w:val="0"/>
        <w:snapToGrid/>
        <w:spacing w:line="400" w:lineRule="exact"/>
        <w:ind w:left="1500" w:hanging="1050" w:hangingChars="5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发包人违约的其他情形：</w:t>
      </w:r>
      <w:r>
        <w:rPr>
          <w:rFonts w:hint="eastAsia" w:ascii="宋体" w:hAnsi="宋体" w:eastAsia="宋体" w:cs="宋体"/>
          <w:color w:val="000000"/>
          <w:kern w:val="0"/>
          <w:sz w:val="21"/>
          <w:szCs w:val="21"/>
          <w:highlight w:val="none"/>
          <w:u w:val="single"/>
        </w:rPr>
        <w:t xml:space="preserve">    /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left="1500" w:hanging="1050" w:hangingChars="5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16.1.2 发包人违约的责任</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发包人违约责任的承担方式和计算方法：</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u w:val="single"/>
        </w:rPr>
      </w:pPr>
      <w:r>
        <w:rPr>
          <w:rFonts w:hint="eastAsia" w:ascii="宋体" w:hAnsi="宋体" w:eastAsia="宋体" w:cs="宋体"/>
          <w:color w:val="000000"/>
          <w:kern w:val="0"/>
          <w:sz w:val="21"/>
          <w:szCs w:val="21"/>
          <w:highlight w:val="none"/>
        </w:rPr>
        <w:t>（1）因发包人原因未能在计划开工日期前7天内下达开工通知的违约责任：</w:t>
      </w:r>
      <w:r>
        <w:rPr>
          <w:rFonts w:hint="eastAsia" w:ascii="宋体" w:hAnsi="宋体" w:eastAsia="宋体" w:cs="宋体"/>
          <w:color w:val="000000"/>
          <w:kern w:val="0"/>
          <w:sz w:val="21"/>
          <w:szCs w:val="21"/>
          <w:highlight w:val="none"/>
          <w:u w:val="single"/>
        </w:rPr>
        <w:t xml:space="preserve">      /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（2）因发包人原因未能按合同约定支付合同价款的违约责任：</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u w:val="single"/>
        </w:rPr>
      </w:pPr>
      <w:r>
        <w:rPr>
          <w:rFonts w:hint="eastAsia" w:ascii="宋体" w:hAnsi="宋体" w:eastAsia="宋体" w:cs="宋体"/>
          <w:color w:val="000000"/>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000000"/>
          <w:kern w:val="0"/>
          <w:sz w:val="21"/>
          <w:szCs w:val="21"/>
          <w:highlight w:val="none"/>
          <w:u w:val="single"/>
        </w:rPr>
        <w:t xml:space="preserve">     /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u w:val="single"/>
          <w:lang w:val="en-US" w:eastAsia="zh-CN"/>
        </w:rPr>
        <w:t>/</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（5）因发包人违反合同约定造成暂停施工的违约责任：</w:t>
      </w:r>
      <w:r>
        <w:rPr>
          <w:rFonts w:hint="eastAsia" w:ascii="宋体" w:hAnsi="宋体" w:eastAsia="宋体" w:cs="宋体"/>
          <w:color w:val="000000"/>
          <w:kern w:val="0"/>
          <w:sz w:val="21"/>
          <w:szCs w:val="21"/>
          <w:highlight w:val="none"/>
          <w:u w:val="single"/>
        </w:rPr>
        <w:t xml:space="preserve"> /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（6）发包人无正当理由没有在约定期限内发出复工指示，导致承包人无法复工的违约责任：</w:t>
      </w:r>
      <w:r>
        <w:rPr>
          <w:rFonts w:hint="eastAsia" w:ascii="宋体" w:hAnsi="宋体" w:eastAsia="宋体" w:cs="宋体"/>
          <w:color w:val="000000"/>
          <w:kern w:val="0"/>
          <w:sz w:val="21"/>
          <w:szCs w:val="21"/>
          <w:highlight w:val="none"/>
          <w:u w:val="single"/>
        </w:rPr>
        <w:t xml:space="preserve">      /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（7）其他：</w:t>
      </w:r>
      <w:r>
        <w:rPr>
          <w:rFonts w:hint="eastAsia" w:ascii="宋体" w:hAnsi="宋体" w:eastAsia="宋体" w:cs="宋体"/>
          <w:color w:val="000000"/>
          <w:kern w:val="0"/>
          <w:sz w:val="21"/>
          <w:szCs w:val="21"/>
          <w:highlight w:val="none"/>
          <w:u w:val="single"/>
        </w:rPr>
        <w:t xml:space="preserve">        /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16.1.3 因发包人违约解除合同</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承包人按16.1.1项〔发包人违约的情形〕约定暂停施工满</w:t>
      </w:r>
      <w:r>
        <w:rPr>
          <w:rFonts w:hint="eastAsia" w:ascii="宋体" w:hAnsi="宋体" w:eastAsia="宋体" w:cs="宋体"/>
          <w:color w:val="000000"/>
          <w:kern w:val="0"/>
          <w:sz w:val="21"/>
          <w:szCs w:val="21"/>
          <w:highlight w:val="none"/>
          <w:u w:val="single"/>
        </w:rPr>
        <w:t xml:space="preserve"> 60 </w:t>
      </w:r>
      <w:r>
        <w:rPr>
          <w:rFonts w:hint="eastAsia" w:ascii="宋体" w:hAnsi="宋体" w:eastAsia="宋体" w:cs="宋体"/>
          <w:color w:val="000000"/>
          <w:kern w:val="0"/>
          <w:sz w:val="21"/>
          <w:szCs w:val="21"/>
          <w:highlight w:val="none"/>
        </w:rPr>
        <w:t>天后发包人仍不纠正其违约行为并致使合同目的不能实现的，承包人有权解除合同。</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16.2 承包人违约</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16.2.1 承包人违约的情形</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承包人违约的其他情形：</w:t>
      </w:r>
      <w:r>
        <w:rPr>
          <w:rFonts w:hint="eastAsia" w:ascii="宋体" w:hAnsi="宋体" w:eastAsia="宋体" w:cs="宋体"/>
          <w:color w:val="000000"/>
          <w:kern w:val="0"/>
          <w:sz w:val="21"/>
          <w:szCs w:val="21"/>
          <w:highlight w:val="none"/>
          <w:u w:val="single"/>
        </w:rPr>
        <w:t>双方另行确定</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16.2.2承包人违约的责任</w:t>
      </w:r>
    </w:p>
    <w:p>
      <w:pPr>
        <w:pageBreakBefore w:val="0"/>
        <w:widowControl w:val="0"/>
        <w:kinsoku/>
        <w:wordWrap/>
        <w:overflowPunct/>
        <w:topLinePunct w:val="0"/>
        <w:bidi w:val="0"/>
        <w:snapToGrid/>
        <w:spacing w:line="400" w:lineRule="exact"/>
        <w:ind w:left="1500" w:hanging="1050" w:hangingChars="500"/>
        <w:jc w:val="left"/>
        <w:textAlignment w:val="auto"/>
        <w:rPr>
          <w:rFonts w:hint="eastAsia" w:ascii="宋体" w:hAnsi="宋体" w:eastAsia="宋体" w:cs="宋体"/>
          <w:color w:val="000000"/>
          <w:kern w:val="0"/>
          <w:sz w:val="21"/>
          <w:szCs w:val="21"/>
          <w:highlight w:val="none"/>
          <w:u w:val="single"/>
        </w:rPr>
      </w:pPr>
      <w:r>
        <w:rPr>
          <w:rFonts w:hint="eastAsia" w:ascii="宋体" w:hAnsi="宋体" w:eastAsia="宋体" w:cs="宋体"/>
          <w:color w:val="000000"/>
          <w:kern w:val="0"/>
          <w:sz w:val="21"/>
          <w:szCs w:val="21"/>
          <w:highlight w:val="none"/>
        </w:rPr>
        <w:t>承包人违约责任的承担方式和计算方法：</w:t>
      </w:r>
      <w:r>
        <w:rPr>
          <w:rFonts w:hint="eastAsia" w:ascii="宋体" w:hAnsi="宋体" w:eastAsia="宋体" w:cs="宋体"/>
          <w:color w:val="000000"/>
          <w:kern w:val="0"/>
          <w:sz w:val="21"/>
          <w:szCs w:val="21"/>
          <w:highlight w:val="none"/>
          <w:u w:val="single"/>
        </w:rPr>
        <w:t xml:space="preserve">由承包人承担全部费用 </w:t>
      </w:r>
      <w:r>
        <w:rPr>
          <w:rFonts w:hint="eastAsia" w:ascii="宋体" w:hAnsi="宋体" w:eastAsia="宋体" w:cs="宋体"/>
          <w:color w:val="000000"/>
          <w:kern w:val="0"/>
          <w:sz w:val="21"/>
          <w:szCs w:val="21"/>
          <w:highlight w:val="none"/>
        </w:rPr>
        <w:t>。</w:t>
      </w:r>
      <w:r>
        <w:rPr>
          <w:rFonts w:hint="eastAsia" w:ascii="宋体" w:hAnsi="宋体" w:eastAsia="宋体" w:cs="宋体"/>
          <w:color w:val="000000"/>
          <w:sz w:val="21"/>
          <w:szCs w:val="21"/>
          <w:highlight w:val="none"/>
        </w:rPr>
        <w:t xml:space="preserve">    </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16.2.3 因承包人违约解除合同</w:t>
      </w:r>
    </w:p>
    <w:p>
      <w:pPr>
        <w:pageBreakBefore w:val="0"/>
        <w:widowControl w:val="0"/>
        <w:kinsoku/>
        <w:wordWrap/>
        <w:overflowPunct/>
        <w:topLinePunct w:val="0"/>
        <w:bidi w:val="0"/>
        <w:snapToGrid/>
        <w:spacing w:before="120" w:after="120" w:line="4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关于承包人违约解除合同的特别约定：</w:t>
      </w:r>
      <w:r>
        <w:rPr>
          <w:rFonts w:hint="eastAsia" w:ascii="宋体" w:hAnsi="宋体" w:eastAsia="宋体" w:cs="宋体"/>
          <w:color w:val="000000"/>
          <w:kern w:val="0"/>
          <w:sz w:val="21"/>
          <w:szCs w:val="21"/>
          <w:highlight w:val="none"/>
          <w:u w:val="single"/>
        </w:rPr>
        <w:t xml:space="preserve"> 按通用条款执行</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before="120" w:after="120"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1"/>
          <w:szCs w:val="21"/>
          <w:highlight w:val="none"/>
          <w:u w:val="single"/>
        </w:rPr>
        <w:t>双方另行确定</w:t>
      </w:r>
      <w:r>
        <w:rPr>
          <w:rFonts w:hint="eastAsia" w:ascii="宋体" w:hAnsi="宋体" w:eastAsia="宋体" w:cs="宋体"/>
          <w:color w:val="000000"/>
          <w:kern w:val="0"/>
          <w:sz w:val="21"/>
          <w:szCs w:val="21"/>
          <w:highlight w:val="none"/>
        </w:rPr>
        <w:t>。</w:t>
      </w:r>
    </w:p>
    <w:p>
      <w:pPr>
        <w:pStyle w:val="4"/>
        <w:pageBreakBefore w:val="0"/>
        <w:widowControl w:val="0"/>
        <w:numPr>
          <w:ilvl w:val="3"/>
          <w:numId w:val="0"/>
        </w:numPr>
        <w:kinsoku/>
        <w:wordWrap/>
        <w:overflowPunct/>
        <w:topLinePunct w:val="0"/>
        <w:bidi w:val="0"/>
        <w:snapToGrid/>
        <w:spacing w:before="120" w:after="120" w:line="400" w:lineRule="exact"/>
        <w:ind w:leftChars="0"/>
        <w:textAlignment w:val="auto"/>
        <w:rPr>
          <w:rFonts w:hint="eastAsia" w:ascii="宋体" w:hAnsi="宋体" w:eastAsia="宋体" w:cs="宋体"/>
          <w:b/>
          <w:bCs w:val="0"/>
          <w:color w:val="000000"/>
          <w:sz w:val="21"/>
          <w:szCs w:val="21"/>
          <w:highlight w:val="none"/>
        </w:rPr>
      </w:pPr>
      <w:bookmarkStart w:id="576" w:name="_Toc3160"/>
      <w:r>
        <w:rPr>
          <w:rFonts w:hint="eastAsia" w:ascii="宋体" w:hAnsi="宋体" w:eastAsia="宋体" w:cs="宋体"/>
          <w:b/>
          <w:bCs w:val="0"/>
          <w:color w:val="000000"/>
          <w:sz w:val="21"/>
          <w:szCs w:val="21"/>
          <w:highlight w:val="none"/>
        </w:rPr>
        <w:t>17. 不可抗力</w:t>
      </w:r>
      <w:bookmarkEnd w:id="576"/>
      <w:r>
        <w:rPr>
          <w:rFonts w:hint="eastAsia" w:ascii="宋体" w:hAnsi="宋体" w:eastAsia="宋体" w:cs="宋体"/>
          <w:b/>
          <w:bCs w:val="0"/>
          <w:color w:val="000000"/>
          <w:sz w:val="21"/>
          <w:szCs w:val="21"/>
          <w:highlight w:val="none"/>
        </w:rPr>
        <w:t xml:space="preserve"> </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17.1 不可抗力的确认</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u w:val="single"/>
        </w:rPr>
      </w:pPr>
      <w:r>
        <w:rPr>
          <w:rFonts w:hint="eastAsia" w:ascii="宋体" w:hAnsi="宋体" w:eastAsia="宋体" w:cs="宋体"/>
          <w:color w:val="000000"/>
          <w:sz w:val="21"/>
          <w:szCs w:val="21"/>
          <w:highlight w:val="none"/>
        </w:rPr>
        <w:t xml:space="preserve">除通用合同条款约定的不可抗力事件之外，视为不可抗力的其他情形： </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u w:val="single"/>
          <w:lang w:val="en-US" w:eastAsia="zh-CN"/>
        </w:rPr>
        <w:t>/</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17.4 因不可抗力解除合同</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合同解除后，发包人应在商定或确定发包人应支付款项后</w:t>
      </w:r>
      <w:r>
        <w:rPr>
          <w:rFonts w:hint="eastAsia" w:ascii="宋体" w:hAnsi="宋体" w:eastAsia="宋体" w:cs="宋体"/>
          <w:color w:val="000000"/>
          <w:sz w:val="21"/>
          <w:szCs w:val="21"/>
          <w:highlight w:val="none"/>
          <w:u w:val="single"/>
        </w:rPr>
        <w:t>60</w:t>
      </w:r>
      <w:r>
        <w:rPr>
          <w:rFonts w:hint="eastAsia" w:ascii="宋体" w:hAnsi="宋体" w:eastAsia="宋体" w:cs="宋体"/>
          <w:color w:val="000000"/>
          <w:sz w:val="21"/>
          <w:szCs w:val="21"/>
          <w:highlight w:val="none"/>
        </w:rPr>
        <w:t>天内完成款项的支付。</w:t>
      </w:r>
    </w:p>
    <w:p>
      <w:pPr>
        <w:pStyle w:val="4"/>
        <w:pageBreakBefore w:val="0"/>
        <w:widowControl w:val="0"/>
        <w:numPr>
          <w:ilvl w:val="3"/>
          <w:numId w:val="0"/>
        </w:numPr>
        <w:kinsoku/>
        <w:wordWrap/>
        <w:overflowPunct/>
        <w:topLinePunct w:val="0"/>
        <w:bidi w:val="0"/>
        <w:snapToGrid/>
        <w:spacing w:before="120" w:after="120" w:line="400" w:lineRule="exact"/>
        <w:ind w:leftChars="0"/>
        <w:textAlignment w:val="auto"/>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rPr>
        <w:t>18. 保险</w:t>
      </w:r>
      <w:bookmarkEnd w:id="574"/>
    </w:p>
    <w:bookmarkEnd w:id="575"/>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18.1 工程保险</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关于工程保险的特别约定：</w:t>
      </w:r>
      <w:r>
        <w:rPr>
          <w:rFonts w:hint="eastAsia" w:ascii="宋体" w:hAnsi="宋体" w:eastAsia="宋体" w:cs="宋体"/>
          <w:color w:val="000000"/>
          <w:kern w:val="0"/>
          <w:sz w:val="21"/>
          <w:szCs w:val="21"/>
          <w:highlight w:val="none"/>
          <w:u w:val="single"/>
        </w:rPr>
        <w:t xml:space="preserve">  按通用条款执行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18.3 其他保险</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关于其他保险的约定：</w:t>
      </w:r>
      <w:r>
        <w:rPr>
          <w:rFonts w:hint="eastAsia" w:ascii="宋体" w:hAnsi="宋体" w:eastAsia="宋体" w:cs="宋体"/>
          <w:color w:val="000000"/>
          <w:kern w:val="0"/>
          <w:sz w:val="21"/>
          <w:szCs w:val="21"/>
          <w:highlight w:val="none"/>
          <w:u w:val="single"/>
        </w:rPr>
        <w:t xml:space="preserve">       /            </w:t>
      </w:r>
      <w:r>
        <w:rPr>
          <w:rFonts w:hint="eastAsia" w:ascii="宋体" w:hAnsi="宋体" w:eastAsia="宋体" w:cs="宋体"/>
          <w:color w:val="000000"/>
          <w:kern w:val="0"/>
          <w:sz w:val="21"/>
          <w:szCs w:val="21"/>
          <w:highlight w:val="none"/>
        </w:rPr>
        <w:t>。</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承包人是否应为其施工设备等办理财产保险：</w:t>
      </w:r>
      <w:r>
        <w:rPr>
          <w:rFonts w:hint="eastAsia" w:ascii="宋体" w:hAnsi="宋体" w:eastAsia="宋体" w:cs="宋体"/>
          <w:color w:val="000000"/>
          <w:kern w:val="0"/>
          <w:sz w:val="21"/>
          <w:szCs w:val="21"/>
          <w:highlight w:val="none"/>
          <w:u w:val="single"/>
        </w:rPr>
        <w:t>按通用条款执行</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18.7 通知义务</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关于变更保险合同时的通知义务的约定：</w:t>
      </w:r>
      <w:r>
        <w:rPr>
          <w:rFonts w:hint="eastAsia" w:ascii="宋体" w:hAnsi="宋体" w:eastAsia="宋体" w:cs="宋体"/>
          <w:color w:val="000000"/>
          <w:kern w:val="0"/>
          <w:sz w:val="21"/>
          <w:szCs w:val="21"/>
          <w:highlight w:val="none"/>
          <w:u w:val="single"/>
        </w:rPr>
        <w:t>按通用条款执行</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bookmarkEnd w:id="552"/>
    <w:bookmarkEnd w:id="553"/>
    <w:bookmarkEnd w:id="554"/>
    <w:bookmarkEnd w:id="555"/>
    <w:bookmarkEnd w:id="556"/>
    <w:bookmarkEnd w:id="557"/>
    <w:bookmarkEnd w:id="558"/>
    <w:bookmarkEnd w:id="559"/>
    <w:bookmarkEnd w:id="560"/>
    <w:bookmarkEnd w:id="561"/>
    <w:bookmarkEnd w:id="562"/>
    <w:bookmarkEnd w:id="563"/>
    <w:p>
      <w:pPr>
        <w:pStyle w:val="4"/>
        <w:pageBreakBefore w:val="0"/>
        <w:widowControl w:val="0"/>
        <w:numPr>
          <w:ilvl w:val="3"/>
          <w:numId w:val="0"/>
        </w:numPr>
        <w:kinsoku/>
        <w:wordWrap/>
        <w:overflowPunct/>
        <w:topLinePunct w:val="0"/>
        <w:bidi w:val="0"/>
        <w:snapToGrid/>
        <w:spacing w:before="120" w:after="120" w:line="400" w:lineRule="exact"/>
        <w:ind w:leftChars="0"/>
        <w:textAlignment w:val="auto"/>
        <w:rPr>
          <w:rFonts w:hint="eastAsia" w:ascii="宋体" w:hAnsi="宋体" w:eastAsia="宋体" w:cs="宋体"/>
          <w:b/>
          <w:bCs w:val="0"/>
          <w:color w:val="000000"/>
          <w:sz w:val="21"/>
          <w:szCs w:val="21"/>
          <w:highlight w:val="none"/>
        </w:rPr>
      </w:pPr>
      <w:bookmarkStart w:id="577" w:name="_Toc27642"/>
      <w:r>
        <w:rPr>
          <w:rFonts w:hint="eastAsia" w:ascii="宋体" w:hAnsi="宋体" w:eastAsia="宋体" w:cs="宋体"/>
          <w:b/>
          <w:bCs w:val="0"/>
          <w:color w:val="000000"/>
          <w:sz w:val="21"/>
          <w:szCs w:val="21"/>
          <w:highlight w:val="none"/>
        </w:rPr>
        <w:t>20. 争议解决</w:t>
      </w:r>
      <w:bookmarkEnd w:id="577"/>
    </w:p>
    <w:bookmarkEnd w:id="564"/>
    <w:bookmarkEnd w:id="565"/>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20.3 争</w:t>
      </w:r>
      <w:bookmarkEnd w:id="566"/>
      <w:r>
        <w:rPr>
          <w:rFonts w:hint="eastAsia" w:ascii="宋体" w:hAnsi="宋体" w:eastAsia="宋体" w:cs="宋体"/>
          <w:color w:val="000000"/>
          <w:sz w:val="21"/>
          <w:szCs w:val="21"/>
          <w:highlight w:val="none"/>
        </w:rPr>
        <w:t>议评审</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合同当事人是否同意将工程争议提交争议评审小组决定：</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 xml:space="preserve">。  </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20.3.1 争议评审小组的确定</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争议评审小组成员的确定：</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选定争议评审员的期限：</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争议评审小组成员的报酬承担方式：</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其他事项的约定：</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20.3.2 争议评审小组的决定</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合同当事人关于本项的约定：</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20.4仲裁或诉讼</w:t>
      </w:r>
      <w:bookmarkEnd w:id="567"/>
    </w:p>
    <w:p>
      <w:pPr>
        <w:pageBreakBefore w:val="0"/>
        <w:widowControl w:val="0"/>
        <w:kinsoku/>
        <w:wordWrap/>
        <w:overflowPunct/>
        <w:topLinePunct w:val="0"/>
        <w:bidi w:val="0"/>
        <w:snapToGrid/>
        <w:spacing w:after="120"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因合同及合同有关事项发生的争议，按下列第</w:t>
      </w:r>
      <w:r>
        <w:rPr>
          <w:rFonts w:hint="eastAsia" w:ascii="宋体" w:hAnsi="宋体" w:eastAsia="宋体" w:cs="宋体"/>
          <w:color w:val="000000"/>
          <w:sz w:val="21"/>
          <w:szCs w:val="21"/>
          <w:highlight w:val="none"/>
          <w:u w:val="single"/>
        </w:rPr>
        <w:t xml:space="preserve">  （2） </w:t>
      </w:r>
      <w:r>
        <w:rPr>
          <w:rFonts w:hint="eastAsia" w:ascii="宋体" w:hAnsi="宋体" w:eastAsia="宋体" w:cs="宋体"/>
          <w:color w:val="000000"/>
          <w:sz w:val="21"/>
          <w:szCs w:val="21"/>
          <w:highlight w:val="none"/>
        </w:rPr>
        <w:t>种方式解决：</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（1）向</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仲裁委员会申请仲裁；</w:t>
      </w:r>
    </w:p>
    <w:p>
      <w:pPr>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（2）向</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eastAsia="zh-CN"/>
        </w:rPr>
        <w:t>项目所在地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人民法院起诉。</w:t>
      </w:r>
      <w:bookmarkEnd w:id="568"/>
      <w:bookmarkEnd w:id="569"/>
      <w:bookmarkEnd w:id="570"/>
      <w:bookmarkEnd w:id="571"/>
      <w:bookmarkEnd w:id="572"/>
      <w:bookmarkEnd w:id="573"/>
    </w:p>
    <w:p>
      <w:pPr>
        <w:pageBreakBefore w:val="0"/>
        <w:widowControl w:val="0"/>
        <w:kinsoku/>
        <w:wordWrap/>
        <w:overflowPunct/>
        <w:topLinePunct w:val="0"/>
        <w:bidi w:val="0"/>
        <w:spacing w:line="400" w:lineRule="exact"/>
        <w:jc w:val="left"/>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附件</w:t>
      </w:r>
      <w:bookmarkEnd w:id="48"/>
    </w:p>
    <w:p>
      <w:pPr>
        <w:pageBreakBefore w:val="0"/>
        <w:widowControl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协议书附件：</w:t>
      </w:r>
    </w:p>
    <w:p>
      <w:pPr>
        <w:pageBreakBefore w:val="0"/>
        <w:widowControl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附件1：承包人承揽工程项目一览表</w:t>
      </w:r>
    </w:p>
    <w:p>
      <w:pPr>
        <w:pageBreakBefore w:val="0"/>
        <w:widowControl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专用合同条款附件：</w:t>
      </w:r>
    </w:p>
    <w:p>
      <w:pPr>
        <w:pageBreakBefore w:val="0"/>
        <w:widowControl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附件2：发包人供应材料设备一览表</w:t>
      </w:r>
    </w:p>
    <w:p>
      <w:pPr>
        <w:pageBreakBefore w:val="0"/>
        <w:widowControl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附件3：工程质量保修书</w:t>
      </w:r>
    </w:p>
    <w:p>
      <w:pPr>
        <w:pageBreakBefore w:val="0"/>
        <w:widowControl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附件4：主要建设工程文件目录</w:t>
      </w:r>
    </w:p>
    <w:p>
      <w:pPr>
        <w:pageBreakBefore w:val="0"/>
        <w:widowControl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附件5：承包人用于本工程施工的机械设备表</w:t>
      </w:r>
    </w:p>
    <w:p>
      <w:pPr>
        <w:pageBreakBefore w:val="0"/>
        <w:widowControl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附件6：承包人主要施工管理人员表</w:t>
      </w:r>
    </w:p>
    <w:p>
      <w:pPr>
        <w:pageBreakBefore w:val="0"/>
        <w:widowControl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附件7：分包人主要施工管理人员表</w:t>
      </w:r>
    </w:p>
    <w:p>
      <w:pPr>
        <w:pageBreakBefore w:val="0"/>
        <w:widowControl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附件8：履约担保格式</w:t>
      </w:r>
    </w:p>
    <w:p>
      <w:pPr>
        <w:pageBreakBefore w:val="0"/>
        <w:widowControl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附件9：预付款担保格式</w:t>
      </w:r>
    </w:p>
    <w:p>
      <w:pPr>
        <w:pageBreakBefore w:val="0"/>
        <w:widowControl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附件10：支付担保格式</w:t>
      </w:r>
    </w:p>
    <w:p>
      <w:pPr>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附件11：暂估价一览表</w:t>
      </w:r>
    </w:p>
    <w:p>
      <w:pPr>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p>
    <w:p>
      <w:pPr>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sz w:val="21"/>
          <w:szCs w:val="21"/>
          <w:highlight w:val="none"/>
        </w:rPr>
      </w:pPr>
    </w:p>
    <w:p>
      <w:pPr>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b/>
          <w:sz w:val="21"/>
          <w:szCs w:val="21"/>
          <w:highlight w:val="none"/>
        </w:rPr>
        <w:t>注：以上合同为初步格式合同，详细合同在甲乙双方签订合同时根据实际情况协商调整，但不得改变磋商文件、图纸、工程量清单、补充文件、投标文件中约定的实质性内容。</w:t>
      </w:r>
    </w:p>
    <w:p>
      <w:pPr>
        <w:pStyle w:val="2"/>
        <w:keepNext w:val="0"/>
        <w:keepLines w:val="0"/>
        <w:pageBreakBefore w:val="0"/>
        <w:widowControl w:val="0"/>
        <w:numPr>
          <w:ilvl w:val="0"/>
          <w:numId w:val="0"/>
        </w:numPr>
        <w:kinsoku/>
        <w:wordWrap/>
        <w:overflowPunct/>
        <w:topLinePunct w:val="0"/>
        <w:bidi w:val="0"/>
        <w:adjustRightInd w:val="0"/>
        <w:snapToGrid w:val="0"/>
        <w:spacing w:before="312" w:beforeLines="100" w:after="312" w:afterLines="100" w:line="400" w:lineRule="exact"/>
        <w:jc w:val="center"/>
        <w:textAlignment w:val="auto"/>
        <w:rPr>
          <w:rFonts w:hint="eastAsia" w:ascii="宋体" w:hAnsi="宋体" w:eastAsia="宋体" w:cs="宋体"/>
          <w:bCs w:val="0"/>
          <w:sz w:val="32"/>
          <w:szCs w:val="32"/>
          <w:highlight w:val="none"/>
        </w:rPr>
      </w:pPr>
      <w:r>
        <w:rPr>
          <w:rFonts w:hint="eastAsia" w:ascii="宋体" w:hAnsi="宋体" w:eastAsia="宋体" w:cs="宋体"/>
          <w:bCs w:val="0"/>
          <w:sz w:val="21"/>
          <w:szCs w:val="21"/>
          <w:highlight w:val="none"/>
        </w:rPr>
        <w:br w:type="page"/>
      </w:r>
      <w:bookmarkStart w:id="578" w:name="_Toc11002"/>
      <w:bookmarkStart w:id="579" w:name="_Hlk35002721"/>
      <w:bookmarkStart w:id="580" w:name="_Hlk35008992"/>
      <w:r>
        <w:rPr>
          <w:rFonts w:hint="eastAsia" w:ascii="宋体" w:hAnsi="宋体" w:eastAsia="宋体" w:cs="宋体"/>
          <w:bCs w:val="0"/>
          <w:sz w:val="32"/>
          <w:szCs w:val="32"/>
          <w:highlight w:val="none"/>
        </w:rPr>
        <w:t xml:space="preserve">第四章  </w:t>
      </w:r>
      <w:bookmarkEnd w:id="28"/>
      <w:bookmarkEnd w:id="578"/>
      <w:r>
        <w:rPr>
          <w:rFonts w:hint="eastAsia" w:ascii="宋体" w:hAnsi="宋体" w:eastAsia="宋体" w:cs="宋体"/>
          <w:bCs w:val="0"/>
          <w:sz w:val="32"/>
          <w:szCs w:val="32"/>
          <w:highlight w:val="none"/>
          <w:lang w:val="en-US"/>
        </w:rPr>
        <w:t>技术部分</w:t>
      </w:r>
      <w:r>
        <w:rPr>
          <w:rFonts w:hint="eastAsia" w:ascii="宋体" w:hAnsi="宋体" w:eastAsia="宋体" w:cs="宋体"/>
          <w:bCs w:val="0"/>
          <w:sz w:val="32"/>
          <w:szCs w:val="32"/>
          <w:highlight w:val="none"/>
          <w:lang w:val="en-US" w:eastAsia="zh-CN"/>
        </w:rPr>
        <w:t>标</w:t>
      </w:r>
      <w:r>
        <w:rPr>
          <w:rFonts w:hint="eastAsia" w:ascii="宋体" w:hAnsi="宋体" w:eastAsia="宋体" w:cs="宋体"/>
          <w:bCs w:val="0"/>
          <w:sz w:val="32"/>
          <w:szCs w:val="32"/>
          <w:highlight w:val="none"/>
          <w:lang w:val="en-US"/>
        </w:rPr>
        <w:t>准和要求</w:t>
      </w:r>
    </w:p>
    <w:bookmarkEnd w:id="579"/>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10" w:leftChars="0" w:firstLineChars="0"/>
        <w:jc w:val="left"/>
        <w:textAlignment w:val="auto"/>
        <w:rPr>
          <w:rFonts w:hint="eastAsia" w:ascii="宋体" w:hAnsi="宋体" w:eastAsia="宋体" w:cs="宋体"/>
          <w:b/>
          <w:szCs w:val="21"/>
          <w:highlight w:val="none"/>
        </w:rPr>
      </w:pPr>
      <w:r>
        <w:rPr>
          <w:rFonts w:hint="eastAsia" w:ascii="宋体" w:hAnsi="宋体" w:eastAsia="宋体" w:cs="宋体"/>
          <w:szCs w:val="21"/>
          <w:highlight w:val="none"/>
        </w:rPr>
        <w:t xml:space="preserve">  </w:t>
      </w:r>
      <w:r>
        <w:rPr>
          <w:rFonts w:hint="eastAsia" w:ascii="宋体" w:hAnsi="宋体" w:eastAsia="宋体" w:cs="宋体"/>
          <w:b/>
          <w:szCs w:val="21"/>
          <w:highlight w:val="none"/>
        </w:rPr>
        <w:t>项目建设内容</w:t>
      </w:r>
      <w:bookmarkStart w:id="581" w:name="OLE_LINK7"/>
      <w:r>
        <w:rPr>
          <w:rFonts w:hint="eastAsia" w:ascii="宋体" w:hAnsi="宋体" w:eastAsia="宋体" w:cs="宋体"/>
          <w:b/>
          <w:szCs w:val="21"/>
          <w:highlight w:val="none"/>
        </w:rPr>
        <w:t>及工程量清单</w:t>
      </w:r>
      <w:bookmarkEnd w:id="581"/>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承包方式：包工包料、包质量包安全（综合包干），本项目不得分包；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因施工、运输造成的道路和环境污染而产生的处罚、协调均由成交供应商承担；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在施工过程中施工人员受到伤害或对他人造成的人身伤害，责任及相关费用均由成交供应商承担；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施工期间由施工造成对原有建筑设施损坏及污染的，需在交工前修复完好，否则将不予验收；</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施工中的用水、用电由业主就近提供接口,严禁私拉乱扯电线和水管。</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供应商可以自行对现场勘查，并充分考虑可能产生的费用；</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成交供应商必须保证施工安全，并对施工安全负总责，施工现场拉设防护立网，设立警告牌、环保设施等。</w:t>
      </w:r>
    </w:p>
    <w:p>
      <w:pPr>
        <w:ind w:firstLine="210" w:firstLineChars="100"/>
        <w:rPr>
          <w:rFonts w:hint="eastAsia" w:ascii="宋体" w:hAnsi="宋体" w:eastAsia="宋体" w:cs="宋体"/>
          <w:bCs/>
          <w:szCs w:val="21"/>
          <w:highlight w:val="none"/>
        </w:rPr>
      </w:pPr>
      <w:r>
        <w:rPr>
          <w:rFonts w:hint="eastAsia" w:ascii="宋体" w:hAnsi="宋体" w:cs="宋体"/>
          <w:bCs/>
          <w:szCs w:val="21"/>
          <w:highlight w:val="none"/>
          <w:lang w:val="en-US" w:eastAsia="zh-CN"/>
        </w:rPr>
        <w:t>8.</w:t>
      </w:r>
      <w:r>
        <w:rPr>
          <w:rFonts w:hint="eastAsia" w:ascii="宋体" w:hAnsi="宋体" w:eastAsia="宋体" w:cs="宋体"/>
          <w:bCs/>
          <w:szCs w:val="21"/>
          <w:highlight w:val="none"/>
        </w:rPr>
        <w:t>工程质量：合格</w:t>
      </w:r>
      <w:r>
        <w:rPr>
          <w:rFonts w:hint="eastAsia" w:ascii="宋体" w:hAnsi="宋体" w:cs="宋体"/>
          <w:bCs/>
          <w:szCs w:val="21"/>
          <w:highlight w:val="none"/>
          <w:lang w:eastAsia="zh-CN"/>
        </w:rPr>
        <w:t>，</w:t>
      </w:r>
      <w:r>
        <w:rPr>
          <w:rFonts w:hint="eastAsia" w:ascii="宋体" w:hAnsi="宋体" w:cs="宋体"/>
          <w:snapToGrid w:val="0"/>
          <w:szCs w:val="21"/>
          <w:highlight w:val="none"/>
          <w:lang w:eastAsia="zh-CN"/>
        </w:rPr>
        <w:t>达到</w:t>
      </w:r>
      <w:r>
        <w:rPr>
          <w:rFonts w:hint="eastAsia" w:ascii="宋体" w:hAnsi="宋体" w:cs="宋体"/>
          <w:snapToGrid w:val="0"/>
          <w:szCs w:val="21"/>
          <w:highlight w:val="none"/>
          <w:lang w:val="en-US" w:eastAsia="zh-CN"/>
        </w:rPr>
        <w:t>2018年新国标的施工验收规范。</w:t>
      </w:r>
    </w:p>
    <w:p>
      <w:pPr>
        <w:keepNext w:val="0"/>
        <w:keepLines w:val="0"/>
        <w:pageBreakBefore w:val="0"/>
        <w:widowControl w:val="0"/>
        <w:numPr>
          <w:ilvl w:val="0"/>
          <w:numId w:val="7"/>
        </w:numPr>
        <w:tabs>
          <w:tab w:val="left" w:pos="3581"/>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本工程项目的材料、设备、施工必须达到国家现行规范及标准规定的要求。</w:t>
      </w:r>
    </w:p>
    <w:p>
      <w:pPr>
        <w:keepNext w:val="0"/>
        <w:keepLines w:val="0"/>
        <w:pageBreakBefore w:val="0"/>
        <w:widowControl w:val="0"/>
        <w:numPr>
          <w:ilvl w:val="0"/>
          <w:numId w:val="7"/>
        </w:numPr>
        <w:tabs>
          <w:tab w:val="left" w:pos="3581"/>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由采购人组织相关人员进行竣工验收。</w:t>
      </w:r>
    </w:p>
    <w:p>
      <w:pPr>
        <w:keepNext w:val="0"/>
        <w:keepLines w:val="0"/>
        <w:pageBreakBefore w:val="0"/>
        <w:widowControl w:val="0"/>
        <w:numPr>
          <w:ilvl w:val="0"/>
          <w:numId w:val="7"/>
        </w:numPr>
        <w:tabs>
          <w:tab w:val="left" w:pos="3581"/>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质保期</w:t>
      </w:r>
      <w:r>
        <w:rPr>
          <w:rFonts w:hint="eastAsia" w:ascii="宋体" w:hAnsi="宋体" w:eastAsia="宋体" w:cs="宋体"/>
          <w:bCs/>
          <w:szCs w:val="21"/>
          <w:highlight w:val="none"/>
          <w:lang w:val="en-US" w:eastAsia="zh-CN"/>
        </w:rPr>
        <w:t>一</w:t>
      </w:r>
      <w:r>
        <w:rPr>
          <w:rFonts w:hint="eastAsia" w:ascii="宋体" w:hAnsi="宋体" w:eastAsia="宋体" w:cs="宋体"/>
          <w:bCs/>
          <w:szCs w:val="21"/>
          <w:highlight w:val="none"/>
        </w:rPr>
        <w:t>年。</w:t>
      </w:r>
    </w:p>
    <w:p>
      <w:pPr>
        <w:keepNext w:val="0"/>
        <w:keepLines w:val="0"/>
        <w:pageBreakBefore w:val="0"/>
        <w:widowControl w:val="0"/>
        <w:numPr>
          <w:ilvl w:val="0"/>
          <w:numId w:val="7"/>
        </w:numPr>
        <w:tabs>
          <w:tab w:val="left" w:pos="3581"/>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本工程技术要求详见设计图纸和设计说明书。依据设计施工图纸和设计说明书的要求，本工程项目的材料、设备、施工必须达到国家现行规范及标准规定的要求。按国家及鹤壁市相关设计、施工验收规范及标准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210" w:leftChars="0"/>
        <w:jc w:val="left"/>
        <w:textAlignment w:val="auto"/>
        <w:rPr>
          <w:rFonts w:hint="eastAsia" w:ascii="宋体" w:hAnsi="宋体" w:eastAsia="宋体" w:cs="宋体"/>
          <w:b/>
          <w:szCs w:val="21"/>
          <w:highlight w:val="none"/>
          <w:lang w:eastAsia="zh-CN"/>
        </w:rPr>
      </w:pPr>
      <w:r>
        <w:rPr>
          <w:rFonts w:hint="eastAsia" w:ascii="宋体" w:hAnsi="宋体" w:eastAsia="宋体" w:cs="宋体"/>
          <w:b/>
          <w:szCs w:val="21"/>
          <w:highlight w:val="none"/>
          <w:lang w:val="en-US" w:eastAsia="zh-CN"/>
        </w:rPr>
        <w:t>13、</w:t>
      </w:r>
      <w:r>
        <w:rPr>
          <w:rFonts w:hint="eastAsia" w:ascii="宋体" w:hAnsi="宋体" w:eastAsia="宋体" w:cs="宋体"/>
          <w:b/>
          <w:szCs w:val="21"/>
          <w:highlight w:val="none"/>
        </w:rPr>
        <w:t>采购人提供的工程量清单及图纸</w:t>
      </w:r>
      <w:r>
        <w:rPr>
          <w:rFonts w:hint="eastAsia" w:ascii="宋体" w:hAnsi="宋体" w:eastAsia="宋体" w:cs="宋体"/>
          <w:b/>
          <w:szCs w:val="21"/>
          <w:highlight w:val="none"/>
          <w:lang w:eastAsia="zh-CN"/>
        </w:rPr>
        <w:t>（</w:t>
      </w:r>
      <w:r>
        <w:rPr>
          <w:rFonts w:hint="eastAsia" w:ascii="宋体" w:hAnsi="宋体" w:eastAsia="宋体" w:cs="宋体"/>
          <w:b/>
          <w:szCs w:val="21"/>
          <w:highlight w:val="none"/>
          <w:lang w:val="en-US" w:eastAsia="zh-CN"/>
        </w:rPr>
        <w:t>如有</w:t>
      </w:r>
      <w:r>
        <w:rPr>
          <w:rFonts w:hint="eastAsia" w:ascii="宋体" w:hAnsi="宋体" w:eastAsia="宋体" w:cs="宋体"/>
          <w:b/>
          <w:szCs w:val="21"/>
          <w:highlight w:val="none"/>
          <w:lang w:eastAsia="zh-CN"/>
        </w:rPr>
        <w:t>）（</w:t>
      </w:r>
      <w:r>
        <w:rPr>
          <w:rFonts w:hint="eastAsia" w:ascii="宋体" w:hAnsi="宋体" w:eastAsia="宋体" w:cs="宋体"/>
          <w:b/>
          <w:szCs w:val="21"/>
          <w:highlight w:val="none"/>
          <w:lang w:val="en-US" w:eastAsia="zh-CN"/>
        </w:rPr>
        <w:t>鹤壁市公共资源交易服务平台自行下载</w:t>
      </w:r>
      <w:r>
        <w:rPr>
          <w:rFonts w:hint="eastAsia" w:ascii="宋体" w:hAnsi="宋体" w:eastAsia="宋体" w:cs="宋体"/>
          <w:b/>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13.1工程量清单说明</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13.1.1本工程量清单是根据竞争性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13.1.2 本工程量清单仅是投标报价的共同基础，实际工程计量和工程价款的支付应遵循合同条款的约定等有关规定。</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13.1.3 补充子目工程量计算规则及子目工作内容说明。</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13.2 投标报价说明</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13.2.1 工程量清单中的每一子目须填入单价或价格，且只允许有一个报价。</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13.2.2 工程量清单成交价的单价或金额，应包括所需的人工费、材料和施工机具使用费和企业管理费、利润以及一定范围内的风险费用等。</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
          <w:szCs w:val="21"/>
          <w:highlight w:val="none"/>
        </w:rPr>
      </w:pPr>
      <w:r>
        <w:rPr>
          <w:rFonts w:hint="eastAsia" w:ascii="宋体" w:hAnsi="宋体" w:eastAsia="宋体" w:cs="宋体"/>
          <w:bCs/>
          <w:szCs w:val="21"/>
          <w:highlight w:val="none"/>
        </w:rPr>
        <w:t>13.2.3 工程量清单中供应商没有填入单价或价格的子目，其费用视为已分摊在工程量清单中其他相关子目的单价或价格之中。</w:t>
      </w:r>
    </w:p>
    <w:p>
      <w:pPr>
        <w:adjustRightInd w:val="0"/>
        <w:snapToGrid w:val="0"/>
        <w:spacing w:line="480" w:lineRule="atLeast"/>
        <w:jc w:val="center"/>
        <w:rPr>
          <w:rStyle w:val="40"/>
          <w:rFonts w:hint="eastAsia" w:ascii="宋体" w:hAnsi="宋体" w:eastAsia="宋体" w:cs="宋体"/>
          <w:color w:val="auto"/>
          <w:spacing w:val="0"/>
          <w:kern w:val="21"/>
          <w:sz w:val="28"/>
          <w:szCs w:val="28"/>
        </w:rPr>
      </w:pPr>
    </w:p>
    <w:p>
      <w:pPr>
        <w:adjustRightInd w:val="0"/>
        <w:snapToGrid w:val="0"/>
        <w:spacing w:line="480" w:lineRule="atLeast"/>
        <w:jc w:val="center"/>
        <w:rPr>
          <w:rStyle w:val="40"/>
          <w:rFonts w:hint="eastAsia" w:ascii="宋体" w:hAnsi="宋体" w:eastAsia="宋体" w:cs="宋体"/>
          <w:color w:val="auto"/>
          <w:spacing w:val="0"/>
          <w:kern w:val="21"/>
          <w:sz w:val="28"/>
          <w:szCs w:val="28"/>
        </w:rPr>
      </w:pPr>
    </w:p>
    <w:p>
      <w:pPr>
        <w:adjustRightInd w:val="0"/>
        <w:snapToGrid w:val="0"/>
        <w:spacing w:line="480" w:lineRule="atLeast"/>
        <w:jc w:val="center"/>
        <w:rPr>
          <w:rStyle w:val="40"/>
          <w:rFonts w:hint="eastAsia" w:ascii="宋体" w:hAnsi="宋体" w:eastAsia="宋体" w:cs="宋体"/>
          <w:color w:val="auto"/>
          <w:spacing w:val="0"/>
          <w:kern w:val="21"/>
          <w:sz w:val="28"/>
          <w:szCs w:val="28"/>
        </w:rPr>
      </w:pPr>
    </w:p>
    <w:p>
      <w:pPr>
        <w:adjustRightInd w:val="0"/>
        <w:snapToGrid w:val="0"/>
        <w:spacing w:line="480" w:lineRule="atLeast"/>
        <w:jc w:val="center"/>
        <w:rPr>
          <w:rStyle w:val="40"/>
          <w:rFonts w:hint="eastAsia" w:ascii="宋体" w:hAnsi="宋体" w:eastAsia="宋体" w:cs="宋体"/>
          <w:color w:val="auto"/>
          <w:spacing w:val="0"/>
          <w:kern w:val="21"/>
          <w:sz w:val="28"/>
          <w:szCs w:val="28"/>
        </w:rPr>
      </w:pPr>
    </w:p>
    <w:p>
      <w:pPr>
        <w:keepNext w:val="0"/>
        <w:keepLines w:val="0"/>
        <w:pageBreakBefore w:val="0"/>
        <w:kinsoku/>
        <w:wordWrap/>
        <w:overflowPunct/>
        <w:topLinePunct w:val="0"/>
        <w:autoSpaceDE/>
        <w:autoSpaceDN/>
        <w:bidi w:val="0"/>
        <w:snapToGrid/>
        <w:spacing w:before="0" w:after="0" w:line="400" w:lineRule="atLeast"/>
        <w:ind w:left="0" w:firstLine="0"/>
        <w:jc w:val="left"/>
        <w:textAlignment w:val="auto"/>
        <w:rPr>
          <w:rFonts w:hint="eastAsia" w:ascii="宋体" w:hAnsi="宋体" w:eastAsia="宋体" w:cs="宋体"/>
          <w:w w:val="100"/>
          <w:sz w:val="24"/>
          <w:szCs w:val="24"/>
        </w:rPr>
      </w:pPr>
      <w:r>
        <w:rPr>
          <w:rFonts w:hint="eastAsia" w:ascii="宋体" w:hAnsi="宋体" w:cs="宋体"/>
          <w:b/>
          <w:bCs w:val="0"/>
          <w:w w:val="100"/>
          <w:sz w:val="24"/>
          <w:szCs w:val="24"/>
          <w:lang w:eastAsia="zh-CN"/>
        </w:rPr>
        <w:t>二</w:t>
      </w:r>
      <w:r>
        <w:rPr>
          <w:rFonts w:hint="eastAsia" w:ascii="宋体" w:hAnsi="宋体" w:eastAsia="宋体" w:cs="宋体"/>
          <w:b/>
          <w:bCs w:val="0"/>
          <w:w w:val="100"/>
          <w:sz w:val="24"/>
          <w:szCs w:val="24"/>
          <w:lang w:eastAsia="zh-CN"/>
        </w:rPr>
        <w:t>、足球场</w:t>
      </w:r>
      <w:r>
        <w:rPr>
          <w:rFonts w:hint="eastAsia" w:ascii="宋体" w:hAnsi="宋体" w:eastAsia="宋体" w:cs="宋体"/>
          <w:b/>
          <w:bCs w:val="0"/>
          <w:w w:val="100"/>
          <w:sz w:val="24"/>
          <w:szCs w:val="24"/>
        </w:rPr>
        <w:t>人造草坪技术标准要求</w:t>
      </w:r>
      <w:r>
        <w:rPr>
          <w:rFonts w:hint="eastAsia" w:ascii="宋体" w:hAnsi="宋体" w:eastAsia="宋体" w:cs="宋体"/>
          <w:w w:val="100"/>
          <w:sz w:val="24"/>
          <w:szCs w:val="24"/>
        </w:rPr>
        <w:t>（填充型）</w:t>
      </w:r>
    </w:p>
    <w:tbl>
      <w:tblPr>
        <w:tblStyle w:val="17"/>
        <w:tblpPr w:leftFromText="180" w:rightFromText="180" w:vertAnchor="text" w:horzAnchor="page" w:tblpX="1532" w:tblpY="6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簇绒方式</w:t>
            </w:r>
          </w:p>
        </w:tc>
        <w:tc>
          <w:tcPr>
            <w:tcW w:w="6374"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lang w:eastAsia="zh-CN"/>
              </w:rPr>
              <w:t>簇绒</w:t>
            </w:r>
            <w:r>
              <w:rPr>
                <w:rFonts w:hint="eastAsia" w:ascii="宋体" w:hAnsi="宋体" w:eastAsia="宋体" w:cs="宋体"/>
                <w:w w:val="100"/>
                <w:sz w:val="21"/>
                <w:szCs w:val="21"/>
              </w:rPr>
              <w:t>一字直线走针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草丝高度</w:t>
            </w:r>
          </w:p>
        </w:tc>
        <w:tc>
          <w:tcPr>
            <w:tcW w:w="6374"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50±</w:t>
            </w:r>
            <w:r>
              <w:rPr>
                <w:rFonts w:hint="eastAsia" w:ascii="宋体" w:hAnsi="宋体" w:eastAsia="宋体" w:cs="宋体"/>
                <w:w w:val="100"/>
                <w:sz w:val="21"/>
                <w:szCs w:val="21"/>
                <w:lang w:val="en-US" w:eastAsia="zh-CN"/>
              </w:rPr>
              <w:t>1</w:t>
            </w:r>
            <w:r>
              <w:rPr>
                <w:rFonts w:hint="eastAsia" w:ascii="宋体" w:hAnsi="宋体" w:eastAsia="宋体" w:cs="宋体"/>
                <w:w w:val="100"/>
                <w:sz w:val="21"/>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草坪幅宽</w:t>
            </w:r>
          </w:p>
        </w:tc>
        <w:tc>
          <w:tcPr>
            <w:tcW w:w="6374"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织针行距</w:t>
            </w:r>
          </w:p>
        </w:tc>
        <w:tc>
          <w:tcPr>
            <w:tcW w:w="6374"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5/8英寸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草丝重量</w:t>
            </w:r>
          </w:p>
        </w:tc>
        <w:tc>
          <w:tcPr>
            <w:tcW w:w="6374"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lang w:eastAsia="zh-CN"/>
              </w:rPr>
              <w:t>挤出型菱形草丝</w:t>
            </w:r>
            <w:r>
              <w:rPr>
                <w:rFonts w:hint="eastAsia" w:ascii="宋体" w:hAnsi="宋体" w:eastAsia="宋体" w:cs="宋体"/>
                <w:w w:val="100"/>
                <w:sz w:val="21"/>
                <w:szCs w:val="21"/>
              </w:rPr>
              <w:t>1200g/㎡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草丝材质</w:t>
            </w:r>
          </w:p>
        </w:tc>
        <w:tc>
          <w:tcPr>
            <w:tcW w:w="6374"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b w:val="0"/>
                <w:w w:val="100"/>
                <w:sz w:val="21"/>
                <w:szCs w:val="21"/>
              </w:rPr>
              <w:t>进口PE原材料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回弹纱材质</w:t>
            </w:r>
          </w:p>
        </w:tc>
        <w:tc>
          <w:tcPr>
            <w:tcW w:w="6374"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优质PP纱线材料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草丝形状</w:t>
            </w:r>
          </w:p>
        </w:tc>
        <w:tc>
          <w:tcPr>
            <w:tcW w:w="6374"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b w:val="0"/>
                <w:w w:val="100"/>
                <w:sz w:val="21"/>
                <w:szCs w:val="21"/>
              </w:rPr>
              <w:t>U形夹筋回弹纱单丝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草丝宽度</w:t>
            </w:r>
          </w:p>
        </w:tc>
        <w:tc>
          <w:tcPr>
            <w:tcW w:w="6374"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1.9±0.1mm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草丝厚度</w:t>
            </w:r>
          </w:p>
        </w:tc>
        <w:tc>
          <w:tcPr>
            <w:tcW w:w="6374"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2</w:t>
            </w:r>
            <w:r>
              <w:rPr>
                <w:rFonts w:hint="eastAsia" w:ascii="宋体" w:hAnsi="宋体" w:eastAsia="宋体" w:cs="宋体"/>
                <w:w w:val="100"/>
                <w:sz w:val="21"/>
                <w:szCs w:val="21"/>
                <w:lang w:val="en-US" w:eastAsia="zh-CN"/>
              </w:rPr>
              <w:t>7</w:t>
            </w:r>
            <w:r>
              <w:rPr>
                <w:rFonts w:hint="eastAsia" w:ascii="宋体" w:hAnsi="宋体" w:eastAsia="宋体" w:cs="宋体"/>
                <w:w w:val="100"/>
                <w:sz w:val="21"/>
                <w:szCs w:val="21"/>
              </w:rPr>
              <w:t>0±20μm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织针密度</w:t>
            </w:r>
          </w:p>
        </w:tc>
        <w:tc>
          <w:tcPr>
            <w:tcW w:w="6374"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10500针/㎡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底布材质</w:t>
            </w:r>
          </w:p>
        </w:tc>
        <w:tc>
          <w:tcPr>
            <w:tcW w:w="6374" w:type="dxa"/>
            <w:vAlign w:val="top"/>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cs="宋体"/>
                <w:w w:val="100"/>
                <w:sz w:val="21"/>
                <w:szCs w:val="21"/>
                <w:lang w:eastAsia="zh-CN"/>
              </w:rPr>
              <w:t>绿色环保抗紫外线编织布</w:t>
            </w:r>
            <w:r>
              <w:rPr>
                <w:rFonts w:hint="eastAsia" w:ascii="宋体" w:hAnsi="宋体" w:eastAsia="宋体" w:cs="宋体"/>
                <w:w w:val="100"/>
                <w:sz w:val="21"/>
                <w:szCs w:val="21"/>
              </w:rPr>
              <w:t>+PET</w:t>
            </w:r>
            <w:r>
              <w:rPr>
                <w:rFonts w:hint="eastAsia" w:ascii="宋体" w:hAnsi="宋体" w:cs="宋体"/>
                <w:w w:val="100"/>
                <w:sz w:val="21"/>
                <w:szCs w:val="21"/>
                <w:lang w:eastAsia="zh-CN"/>
              </w:rPr>
              <w:t>无纺布</w:t>
            </w:r>
            <w:r>
              <w:rPr>
                <w:rFonts w:hint="eastAsia" w:ascii="宋体" w:hAnsi="宋体" w:eastAsia="宋体" w:cs="宋体"/>
                <w:w w:val="100"/>
                <w:sz w:val="21"/>
                <w:szCs w:val="21"/>
              </w:rPr>
              <w:t>+网格布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背胶材质</w:t>
            </w:r>
          </w:p>
        </w:tc>
        <w:tc>
          <w:tcPr>
            <w:tcW w:w="6374" w:type="dxa"/>
            <w:vAlign w:val="top"/>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环保</w:t>
            </w:r>
            <w:r>
              <w:rPr>
                <w:rFonts w:hint="eastAsia" w:ascii="宋体" w:hAnsi="宋体" w:eastAsia="宋体" w:cs="宋体"/>
                <w:w w:val="100"/>
                <w:sz w:val="21"/>
                <w:szCs w:val="21"/>
                <w:lang w:eastAsia="zh-CN"/>
              </w:rPr>
              <w:t>黑色陶氏丁背胶</w:t>
            </w:r>
            <w:r>
              <w:rPr>
                <w:rFonts w:hint="eastAsia" w:ascii="宋体" w:hAnsi="宋体" w:eastAsia="宋体" w:cs="宋体"/>
                <w:w w:val="1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bottom"/>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产品标准</w:t>
            </w:r>
          </w:p>
        </w:tc>
        <w:tc>
          <w:tcPr>
            <w:tcW w:w="6374" w:type="dxa"/>
            <w:vAlign w:val="bottom"/>
          </w:tcPr>
          <w:p>
            <w:pPr>
              <w:keepNext w:val="0"/>
              <w:keepLines w:val="0"/>
              <w:pageBreakBefore w:val="0"/>
              <w:widowControl/>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GB36246-2018、GB/20394-2019全项标准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气味等级</w:t>
            </w:r>
          </w:p>
        </w:tc>
        <w:tc>
          <w:tcPr>
            <w:tcW w:w="6374"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气味等级数值≤2.0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环保标准</w:t>
            </w:r>
          </w:p>
        </w:tc>
        <w:tc>
          <w:tcPr>
            <w:tcW w:w="6374"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中国环境II型认证产品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国体标准</w:t>
            </w:r>
          </w:p>
        </w:tc>
        <w:tc>
          <w:tcPr>
            <w:tcW w:w="6374"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NSCC国体GB36246-2018、GB/20394-2019标准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弹性颗粒</w:t>
            </w:r>
          </w:p>
        </w:tc>
        <w:tc>
          <w:tcPr>
            <w:tcW w:w="6374"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TPE或EPDM材质、绿色、粒径1-4mm,填充量4-6KG/㎡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石英砂</w:t>
            </w:r>
          </w:p>
        </w:tc>
        <w:tc>
          <w:tcPr>
            <w:tcW w:w="6374" w:type="dxa"/>
            <w:vAlign w:val="center"/>
          </w:tcPr>
          <w:p>
            <w:pPr>
              <w:keepNext w:val="0"/>
              <w:keepLines w:val="0"/>
              <w:pageBreakBefore w:val="0"/>
              <w:kinsoku/>
              <w:wordWrap/>
              <w:overflowPunct/>
              <w:topLinePunct w:val="0"/>
              <w:autoSpaceDE/>
              <w:autoSpaceDN/>
              <w:bidi w:val="0"/>
              <w:snapToGrid/>
              <w:spacing w:before="0" w:after="0" w:line="400" w:lineRule="atLeast"/>
              <w:ind w:left="0" w:leftChars="0" w:firstLine="0" w:firstLineChars="0"/>
              <w:jc w:val="center"/>
              <w:textAlignment w:val="auto"/>
              <w:rPr>
                <w:rFonts w:hint="eastAsia" w:ascii="宋体" w:hAnsi="宋体" w:eastAsia="宋体" w:cs="宋体"/>
                <w:b/>
                <w:bCs w:val="0"/>
                <w:w w:val="100"/>
                <w:sz w:val="21"/>
                <w:szCs w:val="21"/>
                <w:vertAlign w:val="baseline"/>
                <w:lang w:val="en-US" w:eastAsia="zh-CN"/>
              </w:rPr>
            </w:pPr>
            <w:r>
              <w:rPr>
                <w:rFonts w:hint="eastAsia" w:ascii="宋体" w:hAnsi="宋体" w:eastAsia="宋体" w:cs="宋体"/>
                <w:w w:val="100"/>
                <w:sz w:val="21"/>
                <w:szCs w:val="21"/>
              </w:rPr>
              <w:t>粒径40-60目、填充量30KG/㎡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top"/>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w w:val="100"/>
                <w:sz w:val="21"/>
                <w:szCs w:val="21"/>
              </w:rPr>
            </w:pPr>
            <w:r>
              <w:rPr>
                <w:rFonts w:hint="eastAsia" w:ascii="宋体" w:hAnsi="宋体" w:eastAsia="宋体" w:cs="宋体"/>
                <w:color w:val="000000"/>
                <w:sz w:val="21"/>
                <w:szCs w:val="21"/>
                <w:lang w:val="zh-TW" w:eastAsia="zh-TW"/>
              </w:rPr>
              <w:t>草簇束缚力</w:t>
            </w:r>
          </w:p>
        </w:tc>
        <w:tc>
          <w:tcPr>
            <w:tcW w:w="6374" w:type="dxa"/>
            <w:vAlign w:val="top"/>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w w:val="100"/>
                <w:sz w:val="21"/>
                <w:szCs w:val="21"/>
              </w:rPr>
            </w:pPr>
            <w:r>
              <w:rPr>
                <w:rFonts w:hint="eastAsia" w:ascii="宋体" w:hAnsi="宋体" w:eastAsia="宋体" w:cs="宋体"/>
                <w:color w:val="000000"/>
                <w:sz w:val="21"/>
                <w:szCs w:val="21"/>
                <w:lang w:val="zh-TW" w:eastAsia="zh-TW"/>
              </w:rPr>
              <w:t>≥45N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top"/>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color w:val="000000"/>
                <w:sz w:val="21"/>
                <w:szCs w:val="21"/>
                <w:lang w:val="zh-TW" w:eastAsia="zh-TW"/>
              </w:rPr>
            </w:pPr>
            <w:r>
              <w:rPr>
                <w:rFonts w:hint="eastAsia" w:ascii="宋体" w:hAnsi="宋体" w:eastAsia="宋体" w:cs="宋体"/>
                <w:color w:val="000000"/>
                <w:sz w:val="21"/>
                <w:szCs w:val="21"/>
                <w:lang w:val="zh-TW" w:eastAsia="zh-TW"/>
              </w:rPr>
              <w:t>透水孔</w:t>
            </w:r>
          </w:p>
        </w:tc>
        <w:tc>
          <w:tcPr>
            <w:tcW w:w="6374" w:type="dxa"/>
            <w:vAlign w:val="top"/>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color w:val="000000"/>
                <w:sz w:val="21"/>
                <w:szCs w:val="21"/>
                <w:lang w:val="zh-TW" w:eastAsia="zh-TW"/>
              </w:rPr>
            </w:pPr>
            <w:r>
              <w:rPr>
                <w:rFonts w:hint="eastAsia" w:ascii="宋体" w:hAnsi="宋体" w:eastAsia="宋体" w:cs="宋体"/>
                <w:color w:val="000000"/>
                <w:sz w:val="21"/>
                <w:szCs w:val="21"/>
                <w:lang w:val="zh-TW" w:eastAsia="zh-TW"/>
              </w:rPr>
              <w:t>80-100个/ m2（孔径4mm）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vAlign w:val="top"/>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color w:val="000000"/>
                <w:sz w:val="21"/>
                <w:szCs w:val="21"/>
                <w:lang w:val="zh-TW" w:eastAsia="zh-TW"/>
              </w:rPr>
            </w:pPr>
            <w:r>
              <w:rPr>
                <w:rFonts w:hint="eastAsia" w:ascii="宋体" w:hAnsi="宋体" w:eastAsia="宋体" w:cs="宋体"/>
                <w:color w:val="000000"/>
                <w:sz w:val="21"/>
                <w:szCs w:val="21"/>
                <w:lang w:val="zh-TW" w:eastAsia="zh-TW"/>
              </w:rPr>
              <w:t>渗水性</w:t>
            </w:r>
          </w:p>
        </w:tc>
        <w:tc>
          <w:tcPr>
            <w:tcW w:w="6374" w:type="dxa"/>
            <w:vAlign w:val="top"/>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color w:val="000000"/>
                <w:sz w:val="21"/>
                <w:szCs w:val="21"/>
                <w:lang w:val="zh-TW" w:eastAsia="zh-TW"/>
              </w:rPr>
            </w:pPr>
            <w:r>
              <w:rPr>
                <w:rFonts w:hint="eastAsia" w:ascii="宋体" w:hAnsi="宋体" w:eastAsia="宋体" w:cs="宋体"/>
                <w:color w:val="000000"/>
                <w:sz w:val="21"/>
                <w:szCs w:val="21"/>
                <w:lang w:val="zh-TW" w:eastAsia="zh-TW"/>
              </w:rPr>
              <w:t>≥60 L/min/ m2</w:t>
            </w:r>
          </w:p>
        </w:tc>
      </w:tr>
    </w:tbl>
    <w:p>
      <w:pPr>
        <w:keepNext w:val="0"/>
        <w:keepLines w:val="0"/>
        <w:pageBreakBefore w:val="0"/>
        <w:kinsoku/>
        <w:wordWrap/>
        <w:overflowPunct/>
        <w:topLinePunct w:val="0"/>
        <w:autoSpaceDE/>
        <w:autoSpaceDN/>
        <w:bidi w:val="0"/>
        <w:snapToGrid/>
        <w:spacing w:before="0" w:after="0" w:line="400" w:lineRule="atLeast"/>
        <w:ind w:left="0" w:right="-569" w:rightChars="-271" w:firstLine="0"/>
        <w:jc w:val="both"/>
        <w:textAlignment w:val="auto"/>
        <w:rPr>
          <w:rFonts w:hint="eastAsia" w:ascii="宋体" w:hAnsi="宋体" w:eastAsia="宋体" w:cs="宋体"/>
          <w:b/>
          <w:w w:val="100"/>
          <w:sz w:val="24"/>
          <w:szCs w:val="24"/>
        </w:rPr>
      </w:pPr>
      <w:r>
        <w:rPr>
          <w:rFonts w:hint="eastAsia" w:ascii="宋体" w:hAnsi="宋体" w:eastAsia="宋体" w:cs="宋体"/>
          <w:w w:val="100"/>
          <w:sz w:val="24"/>
          <w:szCs w:val="24"/>
          <w:lang w:val="en-US" w:eastAsia="zh-CN"/>
        </w:rPr>
        <w:t>1.</w:t>
      </w:r>
      <w:r>
        <w:rPr>
          <w:rFonts w:hint="eastAsia" w:ascii="宋体" w:hAnsi="宋体" w:eastAsia="宋体" w:cs="宋体"/>
          <w:b/>
          <w:w w:val="100"/>
          <w:sz w:val="24"/>
          <w:szCs w:val="24"/>
          <w:shd w:val="clear" w:color="000000" w:fill="FFFFFF"/>
        </w:rPr>
        <w:t>产  品  技  术  标  准</w:t>
      </w: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val="0"/>
          <w:w w:val="100"/>
          <w:sz w:val="24"/>
          <w:szCs w:val="24"/>
          <w:lang w:val="en-US" w:eastAsia="zh-CN"/>
        </w:rPr>
      </w:pPr>
    </w:p>
    <w:p>
      <w:pPr>
        <w:keepNext w:val="0"/>
        <w:keepLines w:val="0"/>
        <w:pageBreakBefore w:val="0"/>
        <w:numPr>
          <w:ilvl w:val="0"/>
          <w:numId w:val="0"/>
        </w:numPr>
        <w:kinsoku/>
        <w:wordWrap/>
        <w:overflowPunct/>
        <w:topLinePunct w:val="0"/>
        <w:autoSpaceDE/>
        <w:autoSpaceDN/>
        <w:bidi w:val="0"/>
        <w:snapToGrid/>
        <w:spacing w:before="0" w:after="0" w:line="400" w:lineRule="atLeast"/>
        <w:ind w:leftChars="0"/>
        <w:jc w:val="both"/>
        <w:textAlignment w:val="auto"/>
        <w:rPr>
          <w:rFonts w:hint="eastAsia" w:ascii="宋体" w:hAnsi="宋体" w:eastAsia="宋体" w:cs="宋体"/>
          <w:b/>
          <w:w w:val="100"/>
          <w:sz w:val="24"/>
          <w:szCs w:val="24"/>
        </w:rPr>
      </w:pPr>
      <w:r>
        <w:rPr>
          <w:rFonts w:hint="eastAsia" w:ascii="宋体" w:hAnsi="宋体" w:cs="宋体"/>
          <w:b/>
          <w:w w:val="100"/>
          <w:sz w:val="24"/>
          <w:szCs w:val="24"/>
          <w:lang w:eastAsia="zh-CN"/>
        </w:rPr>
        <w:t>三、</w:t>
      </w:r>
      <w:r>
        <w:rPr>
          <w:rFonts w:hint="eastAsia" w:ascii="宋体" w:hAnsi="宋体" w:eastAsia="宋体" w:cs="宋体"/>
          <w:b/>
          <w:w w:val="100"/>
          <w:sz w:val="24"/>
          <w:szCs w:val="24"/>
          <w:lang w:eastAsia="zh-CN"/>
        </w:rPr>
        <w:t>透气型塑胶跑道面层</w:t>
      </w:r>
      <w:r>
        <w:rPr>
          <w:rFonts w:hint="eastAsia" w:ascii="宋体" w:hAnsi="宋体" w:eastAsia="宋体" w:cs="宋体"/>
          <w:b/>
          <w:w w:val="100"/>
          <w:sz w:val="24"/>
          <w:szCs w:val="24"/>
        </w:rPr>
        <w:t>技术标准要求</w:t>
      </w:r>
    </w:p>
    <w:p>
      <w:pPr>
        <w:keepNext w:val="0"/>
        <w:keepLines w:val="0"/>
        <w:pageBreakBefore w:val="0"/>
        <w:widowControl/>
        <w:suppressLineNumbers w:val="0"/>
        <w:kinsoku/>
        <w:wordWrap/>
        <w:overflowPunct/>
        <w:topLinePunct w:val="0"/>
        <w:autoSpaceDE/>
        <w:autoSpaceDN/>
        <w:bidi w:val="0"/>
        <w:spacing w:line="400" w:lineRule="atLeas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b/>
          <w:bCs/>
          <w:color w:val="000000"/>
          <w:kern w:val="0"/>
          <w:sz w:val="24"/>
          <w:szCs w:val="24"/>
          <w:lang w:val="en-US" w:eastAsia="zh-CN" w:bidi="ar"/>
        </w:rPr>
        <w:t xml:space="preserve">整体要求 </w:t>
      </w:r>
    </w:p>
    <w:p>
      <w:pPr>
        <w:keepNext w:val="0"/>
        <w:keepLines w:val="0"/>
        <w:pageBreakBefore w:val="0"/>
        <w:widowControl/>
        <w:suppressLineNumbers w:val="0"/>
        <w:kinsoku/>
        <w:wordWrap/>
        <w:overflowPunct/>
        <w:topLinePunct w:val="0"/>
        <w:autoSpaceDE/>
        <w:autoSpaceDN/>
        <w:bidi w:val="0"/>
        <w:spacing w:line="400" w:lineRule="atLeas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1.1 外观：无裂痕或分层现象；防滑层与底胶层粘合牢固、无凹凸现象；表面色泽均匀、耐久。 </w:t>
      </w:r>
    </w:p>
    <w:p>
      <w:pPr>
        <w:keepNext w:val="0"/>
        <w:keepLines w:val="0"/>
        <w:pageBreakBefore w:val="0"/>
        <w:widowControl/>
        <w:suppressLineNumbers w:val="0"/>
        <w:kinsoku/>
        <w:wordWrap/>
        <w:overflowPunct/>
        <w:topLinePunct w:val="0"/>
        <w:autoSpaceDE/>
        <w:autoSpaceDN/>
        <w:bidi w:val="0"/>
        <w:spacing w:line="400" w:lineRule="atLeas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 标志线：标志线应清晰、不反光，无明显虚边，与面层粘合牢固。各标志线位置距终点线间的距离长度不允许出现负差，其正差应小于1/1000。符合国际田径协会联合会场地设施标准相关规定。 </w:t>
      </w:r>
    </w:p>
    <w:p>
      <w:pPr>
        <w:keepNext w:val="0"/>
        <w:keepLines w:val="0"/>
        <w:pageBreakBefore w:val="0"/>
        <w:widowControl/>
        <w:suppressLineNumbers w:val="0"/>
        <w:kinsoku/>
        <w:wordWrap/>
        <w:overflowPunct/>
        <w:topLinePunct w:val="0"/>
        <w:autoSpaceDE/>
        <w:autoSpaceDN/>
        <w:bidi w:val="0"/>
        <w:spacing w:line="400" w:lineRule="atLeas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 平整度合格率：任何位置3米塔尺3mm水平误差以下，塑胶跑道平整度合格率不小于85%。 </w:t>
      </w:r>
    </w:p>
    <w:p>
      <w:pPr>
        <w:keepNext w:val="0"/>
        <w:keepLines w:val="0"/>
        <w:pageBreakBefore w:val="0"/>
        <w:widowControl/>
        <w:suppressLineNumbers w:val="0"/>
        <w:kinsoku/>
        <w:wordWrap/>
        <w:overflowPunct/>
        <w:topLinePunct w:val="0"/>
        <w:autoSpaceDE/>
        <w:autoSpaceDN/>
        <w:bidi w:val="0"/>
        <w:spacing w:line="400" w:lineRule="atLeas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1.4 厚度：≥13mm</w:t>
      </w:r>
      <w:r>
        <w:rPr>
          <w:rFonts w:hint="eastAsia" w:ascii="宋体" w:hAnsi="宋体" w:cs="宋体"/>
          <w:color w:val="000000"/>
          <w:kern w:val="0"/>
          <w:sz w:val="24"/>
          <w:szCs w:val="24"/>
          <w:lang w:val="en-US" w:eastAsia="zh-CN" w:bidi="ar"/>
        </w:rPr>
        <w:t>厚透气性（环保红颗粒），面层喷涂厚度不小于3mm,质量须达到2018年新国标的施工验收规范。</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spacing w:line="400" w:lineRule="atLeas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1.5 坡度：塑胶跑道的横向坡度不大于8:1000，纵向坡度不大于1:1000。 </w:t>
      </w:r>
    </w:p>
    <w:p>
      <w:pPr>
        <w:keepNext w:val="0"/>
        <w:keepLines w:val="0"/>
        <w:pageBreakBefore w:val="0"/>
        <w:widowControl/>
        <w:suppressLineNumbers w:val="0"/>
        <w:kinsoku/>
        <w:wordWrap/>
        <w:overflowPunct/>
        <w:topLinePunct w:val="0"/>
        <w:autoSpaceDE/>
        <w:autoSpaceDN/>
        <w:bidi w:val="0"/>
        <w:spacing w:line="400" w:lineRule="atLeas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1.6 田径赛场地各项助跑道（区）长度、坡度落地区范围、落地区厚度、圆心角等项 技术指标必须符合规则要求与体育工艺设计要求。 </w:t>
      </w:r>
    </w:p>
    <w:p>
      <w:pPr>
        <w:keepNext w:val="0"/>
        <w:keepLines w:val="0"/>
        <w:pageBreakBefore w:val="0"/>
        <w:kinsoku/>
        <w:wordWrap/>
        <w:overflowPunct/>
        <w:topLinePunct w:val="0"/>
        <w:autoSpaceDE/>
        <w:autoSpaceDN/>
        <w:bidi w:val="0"/>
        <w:spacing w:line="400" w:lineRule="atLeast"/>
        <w:rPr>
          <w:rFonts w:hint="eastAsia" w:ascii="宋体" w:hAnsi="宋体" w:eastAsia="宋体" w:cs="宋体"/>
          <w:b/>
          <w:bCs/>
          <w:color w:val="auto"/>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b/>
          <w:bCs/>
          <w:color w:val="auto"/>
          <w:sz w:val="24"/>
          <w:szCs w:val="24"/>
          <w:lang w:eastAsia="zh-CN"/>
        </w:rPr>
        <w:t>塑胶环保性能：</w:t>
      </w:r>
    </w:p>
    <w:p>
      <w:pPr>
        <w:keepNext w:val="0"/>
        <w:keepLines w:val="0"/>
        <w:pageBreakBefore w:val="0"/>
        <w:kinsoku/>
        <w:wordWrap/>
        <w:overflowPunct/>
        <w:topLinePunct w:val="0"/>
        <w:autoSpaceDE/>
        <w:autoSpaceDN/>
        <w:bidi w:val="0"/>
        <w:spacing w:line="400" w:lineRule="atLeast"/>
        <w:ind w:firstLine="482" w:firstLineChars="200"/>
        <w:rPr>
          <w:rFonts w:hint="eastAsia" w:ascii="宋体" w:hAnsi="宋体" w:eastAsia="宋体" w:cs="宋体"/>
          <w:sz w:val="24"/>
          <w:szCs w:val="24"/>
        </w:rPr>
      </w:pPr>
      <w:r>
        <w:rPr>
          <w:rFonts w:hint="eastAsia" w:ascii="宋体" w:hAnsi="宋体" w:eastAsia="宋体" w:cs="宋体"/>
          <w:b/>
          <w:bCs/>
          <w:color w:val="auto"/>
          <w:sz w:val="24"/>
          <w:szCs w:val="24"/>
          <w:lang w:eastAsia="zh-CN"/>
        </w:rPr>
        <w:t>为确保塑胶面层质量，保护学生的身心健康，塑胶面层不得有明显的臭味、异味，面层有害物质限量符合以下指标（</w:t>
      </w:r>
      <w:r>
        <w:rPr>
          <w:rFonts w:hint="eastAsia" w:ascii="宋体" w:hAnsi="宋体" w:eastAsia="宋体" w:cs="宋体"/>
          <w:b/>
          <w:bCs/>
          <w:color w:val="auto"/>
          <w:sz w:val="24"/>
          <w:szCs w:val="24"/>
          <w:lang w:val="en-US" w:eastAsia="zh-CN"/>
        </w:rPr>
        <w:t>GB36246-2018</w:t>
      </w:r>
      <w:r>
        <w:rPr>
          <w:rFonts w:hint="eastAsia" w:ascii="宋体" w:hAnsi="宋体" w:eastAsia="宋体" w:cs="宋体"/>
          <w:b/>
          <w:bCs/>
          <w:color w:val="auto"/>
          <w:sz w:val="24"/>
          <w:szCs w:val="24"/>
          <w:lang w:eastAsia="zh-CN"/>
        </w:rPr>
        <w:t>）:</w:t>
      </w:r>
    </w:p>
    <w:tbl>
      <w:tblPr>
        <w:tblStyle w:val="16"/>
        <w:tblW w:w="9296" w:type="dxa"/>
        <w:tblInd w:w="0" w:type="dxa"/>
        <w:tblLayout w:type="autofit"/>
        <w:tblCellMar>
          <w:top w:w="0" w:type="dxa"/>
          <w:left w:w="0" w:type="dxa"/>
          <w:bottom w:w="0" w:type="dxa"/>
          <w:right w:w="0" w:type="dxa"/>
        </w:tblCellMar>
      </w:tblPr>
      <w:tblGrid>
        <w:gridCol w:w="1080"/>
        <w:gridCol w:w="7116"/>
        <w:gridCol w:w="1100"/>
      </w:tblGrid>
      <w:tr>
        <w:tblPrEx>
          <w:tblCellMar>
            <w:top w:w="0" w:type="dxa"/>
            <w:left w:w="0" w:type="dxa"/>
            <w:bottom w:w="0" w:type="dxa"/>
            <w:right w:w="0" w:type="dxa"/>
          </w:tblCellMar>
        </w:tblPrEx>
        <w:trPr>
          <w:trHeight w:val="380" w:hRule="atLeast"/>
        </w:trPr>
        <w:tc>
          <w:tcPr>
            <w:tcW w:w="81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r>
      <w:tr>
        <w:tblPrEx>
          <w:tblCellMar>
            <w:top w:w="0" w:type="dxa"/>
            <w:left w:w="0" w:type="dxa"/>
            <w:bottom w:w="0" w:type="dxa"/>
            <w:right w:w="0" w:type="dxa"/>
          </w:tblCellMar>
        </w:tblPrEx>
        <w:trPr>
          <w:trHeight w:val="38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有害物质</w:t>
            </w:r>
          </w:p>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含量</w:t>
            </w: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 种邻苯二甲酸酯类化合物（DBP、BBP、DEHP）总和a /（g/kg）</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 种邻苯二甲酸酯类化合物（DNOP、DINP、DIDP）总和a /（g/kg）</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 种多环芳烃总和b /（mg/kg）</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≤20c</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苯并[a]芘/（mg/kg）</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短链氯化石蜡（C 10 -C 13 ）/（g/kg）</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4,4'-二氨基-3,3'-二氯二苯甲烷（MOCA）/（g/kg）</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游离甲苯二异氰酸酯（TDI）和游离六亚甲基二异氰酸酯（HDI）总和/（g/kg）</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游离二苯基甲烷二异氰酸酯（MDI）/（g/kg）</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可溶性铅/（mg/kg）</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可溶性镉/（mg/kg）</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可溶性铬/（mg/kg）</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可溶性汞/（mg/kg）</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8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有害物质</w:t>
            </w:r>
          </w:p>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释放量</w:t>
            </w: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总挥发性有机化合物（TVOC）/（mg/（m2 •h））</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甲醛/（mg/（m2 •h））</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苯/（mg/（m2 •h））</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甲苯、二甲苯和乙苯总和/（mg/（m2 •h））</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i w:val="0"/>
                <w:color w:val="000000"/>
                <w:sz w:val="24"/>
                <w:szCs w:val="24"/>
                <w:u w:val="none"/>
              </w:rPr>
            </w:pP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二硫化碳/（mg/（m2 •h））</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r>
      <w:tr>
        <w:tblPrEx>
          <w:tblCellMar>
            <w:top w:w="0" w:type="dxa"/>
            <w:left w:w="0" w:type="dxa"/>
            <w:bottom w:w="0" w:type="dxa"/>
            <w:right w:w="0"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气味</w:t>
            </w:r>
          </w:p>
        </w:tc>
        <w:tc>
          <w:tcPr>
            <w:tcW w:w="7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气味等级/级</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1020" w:hRule="atLeast"/>
        </w:trPr>
        <w:tc>
          <w:tcPr>
            <w:tcW w:w="92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atLeas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a 邻苯二甲酸酯类化合物的具体名称见附录 A。</w:t>
            </w:r>
          </w:p>
          <w:p>
            <w:pPr>
              <w:keepNext w:val="0"/>
              <w:keepLines w:val="0"/>
              <w:pageBreakBefore w:val="0"/>
              <w:widowControl/>
              <w:suppressLineNumbers w:val="0"/>
              <w:kinsoku/>
              <w:wordWrap/>
              <w:overflowPunct/>
              <w:topLinePunct w:val="0"/>
              <w:autoSpaceDE/>
              <w:autoSpaceDN/>
              <w:bidi w:val="0"/>
              <w:spacing w:line="400" w:lineRule="atLeas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b 18 种多环芳烃的具体名称见附录 B。</w:t>
            </w:r>
          </w:p>
          <w:p>
            <w:pPr>
              <w:keepNext w:val="0"/>
              <w:keepLines w:val="0"/>
              <w:pageBreakBefore w:val="0"/>
              <w:widowControl/>
              <w:suppressLineNumbers w:val="0"/>
              <w:kinsoku/>
              <w:wordWrap/>
              <w:overflowPunct/>
              <w:topLinePunct w:val="0"/>
              <w:autoSpaceDE/>
              <w:autoSpaceDN/>
              <w:bidi w:val="0"/>
              <w:spacing w:line="400" w:lineRule="atLeas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 取距合成材料面层上表面 5 mm 以内的部分进行测试。</w:t>
            </w:r>
          </w:p>
        </w:tc>
      </w:tr>
    </w:tbl>
    <w:p>
      <w:pPr>
        <w:keepNext w:val="0"/>
        <w:keepLines w:val="0"/>
        <w:pageBreakBefore w:val="0"/>
        <w:kinsoku/>
        <w:wordWrap/>
        <w:overflowPunct/>
        <w:topLinePunct w:val="0"/>
        <w:autoSpaceDE/>
        <w:autoSpaceDN/>
        <w:bidi w:val="0"/>
        <w:spacing w:line="400" w:lineRule="atLeas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color w:val="auto"/>
          <w:sz w:val="24"/>
          <w:szCs w:val="24"/>
          <w:lang w:eastAsia="zh-CN"/>
        </w:rPr>
        <w:t>塑胶运动物理性能及</w:t>
      </w:r>
      <w:r>
        <w:rPr>
          <w:rFonts w:hint="eastAsia" w:ascii="宋体" w:hAnsi="宋体" w:eastAsia="宋体" w:cs="宋体"/>
          <w:color w:val="auto"/>
          <w:sz w:val="24"/>
          <w:szCs w:val="24"/>
          <w:lang w:val="en-US" w:eastAsia="zh-CN"/>
        </w:rPr>
        <w:t>抗老化耐用性能</w:t>
      </w:r>
      <w:r>
        <w:rPr>
          <w:rFonts w:hint="eastAsia" w:ascii="宋体" w:hAnsi="宋体" w:eastAsia="宋体" w:cs="宋体"/>
          <w:color w:val="auto"/>
          <w:sz w:val="24"/>
          <w:szCs w:val="24"/>
          <w:lang w:eastAsia="zh-CN"/>
        </w:rPr>
        <w:t>：为适应学生或运动者的运动需求，在运动中减少伤害，</w:t>
      </w:r>
      <w:bookmarkStart w:id="582" w:name="OLE_LINK3"/>
      <w:r>
        <w:rPr>
          <w:rFonts w:hint="eastAsia" w:ascii="宋体" w:hAnsi="宋体" w:eastAsia="宋体" w:cs="宋体"/>
          <w:color w:val="auto"/>
          <w:sz w:val="24"/>
          <w:szCs w:val="24"/>
          <w:lang w:eastAsia="zh-CN"/>
        </w:rPr>
        <w:t>塑胶跑道</w:t>
      </w:r>
      <w:bookmarkEnd w:id="582"/>
      <w:r>
        <w:rPr>
          <w:rFonts w:hint="eastAsia" w:ascii="宋体" w:hAnsi="宋体" w:eastAsia="宋体" w:cs="宋体"/>
          <w:color w:val="auto"/>
          <w:sz w:val="24"/>
          <w:szCs w:val="24"/>
          <w:lang w:eastAsia="zh-CN"/>
        </w:rPr>
        <w:t>材料符合以下指标（</w:t>
      </w:r>
      <w:r>
        <w:rPr>
          <w:rFonts w:hint="eastAsia" w:ascii="宋体" w:hAnsi="宋体" w:eastAsia="宋体" w:cs="宋体"/>
          <w:color w:val="auto"/>
          <w:sz w:val="24"/>
          <w:szCs w:val="24"/>
          <w:lang w:val="en-US" w:eastAsia="zh-CN"/>
        </w:rPr>
        <w:t>GB36246-2018</w:t>
      </w:r>
      <w:r>
        <w:rPr>
          <w:rFonts w:hint="eastAsia" w:ascii="宋体" w:hAnsi="宋体" w:eastAsia="宋体" w:cs="宋体"/>
          <w:color w:val="auto"/>
          <w:sz w:val="24"/>
          <w:szCs w:val="24"/>
          <w:lang w:eastAsia="zh-CN"/>
        </w:rPr>
        <w:t>）：</w:t>
      </w:r>
      <w:r>
        <w:rPr>
          <w:rFonts w:hint="eastAsia" w:ascii="宋体" w:hAnsi="宋体" w:eastAsia="宋体" w:cs="宋体"/>
          <w:sz w:val="24"/>
          <w:szCs w:val="24"/>
        </w:rPr>
        <w:t xml:space="preserve">   </w:t>
      </w:r>
    </w:p>
    <w:tbl>
      <w:tblPr>
        <w:tblStyle w:val="16"/>
        <w:tblpPr w:leftFromText="180" w:rightFromText="180" w:vertAnchor="text" w:horzAnchor="page" w:tblpX="1927" w:tblpY="2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8"/>
        <w:gridCol w:w="2456"/>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4" w:type="dxa"/>
            <w:gridSpan w:val="2"/>
            <w:noWrap w:val="0"/>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sz w:val="24"/>
                <w:szCs w:val="24"/>
              </w:rPr>
            </w:pPr>
            <w:r>
              <w:rPr>
                <w:rFonts w:hint="eastAsia" w:ascii="宋体" w:hAnsi="宋体" w:eastAsia="宋体" w:cs="宋体"/>
                <w:sz w:val="24"/>
                <w:szCs w:val="24"/>
              </w:rPr>
              <w:t>检测项目</w:t>
            </w:r>
          </w:p>
        </w:tc>
        <w:tc>
          <w:tcPr>
            <w:tcW w:w="2279" w:type="dxa"/>
            <w:noWrap w:val="0"/>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sz w:val="24"/>
                <w:szCs w:val="24"/>
              </w:rPr>
            </w:pPr>
            <w:r>
              <w:rPr>
                <w:rFonts w:hint="eastAsia" w:ascii="宋体" w:hAnsi="宋体" w:eastAsia="宋体" w:cs="宋体"/>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冲击吸收/%</w:t>
            </w:r>
          </w:p>
        </w:tc>
        <w:tc>
          <w:tcPr>
            <w:tcW w:w="2279" w:type="dxa"/>
            <w:noWrap w:val="0"/>
            <w:vAlign w:val="top"/>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垂直变形/mm</w:t>
            </w:r>
          </w:p>
        </w:tc>
        <w:tc>
          <w:tcPr>
            <w:tcW w:w="2279" w:type="dxa"/>
            <w:noWrap w:val="0"/>
            <w:vAlign w:val="top"/>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0.6～</w:t>
            </w:r>
            <w:r>
              <w:rPr>
                <w:rFonts w:hint="eastAsia" w:ascii="宋体" w:hAnsi="宋体" w:eastAsia="宋体" w:cs="宋体"/>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抗滑值（BPN,20℃）</w:t>
            </w:r>
          </w:p>
        </w:tc>
        <w:tc>
          <w:tcPr>
            <w:tcW w:w="2279" w:type="dxa"/>
            <w:noWrap w:val="0"/>
            <w:vAlign w:val="top"/>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≥47</w:t>
            </w:r>
            <w:r>
              <w:rPr>
                <w:rFonts w:hint="eastAsia" w:ascii="宋体" w:hAnsi="宋体" w:eastAsia="宋体" w:cs="宋体"/>
                <w:color w:val="auto"/>
                <w:sz w:val="24"/>
                <w:szCs w:val="24"/>
                <w:lang w:val="en-US" w:eastAsia="zh-CN"/>
              </w:rPr>
              <w:t>(湿测)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拉伸强度/MPa</w:t>
            </w:r>
          </w:p>
        </w:tc>
        <w:tc>
          <w:tcPr>
            <w:tcW w:w="2279" w:type="dxa"/>
            <w:noWrap w:val="0"/>
            <w:vAlign w:val="top"/>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拉断伸长率/%</w:t>
            </w:r>
          </w:p>
        </w:tc>
        <w:tc>
          <w:tcPr>
            <w:tcW w:w="2279" w:type="dxa"/>
            <w:noWrap w:val="0"/>
            <w:vAlign w:val="top"/>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阻燃性/级</w:t>
            </w:r>
          </w:p>
        </w:tc>
        <w:tc>
          <w:tcPr>
            <w:tcW w:w="2279" w:type="dxa"/>
            <w:noWrap w:val="0"/>
            <w:vAlign w:val="top"/>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vMerge w:val="restart"/>
            <w:noWrap w:val="0"/>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sz w:val="24"/>
                <w:szCs w:val="24"/>
              </w:rPr>
            </w:pPr>
            <w:r>
              <w:rPr>
                <w:rFonts w:hint="eastAsia" w:ascii="宋体" w:hAnsi="宋体" w:eastAsia="宋体" w:cs="宋体"/>
                <w:sz w:val="24"/>
                <w:szCs w:val="24"/>
              </w:rPr>
              <w:t>加速老化（500h）后的拉伸性能</w:t>
            </w:r>
          </w:p>
        </w:tc>
        <w:tc>
          <w:tcPr>
            <w:tcW w:w="2456" w:type="dxa"/>
            <w:noWrap w:val="0"/>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sz w:val="24"/>
                <w:szCs w:val="24"/>
              </w:rPr>
            </w:pPr>
            <w:r>
              <w:rPr>
                <w:rFonts w:hint="eastAsia" w:ascii="宋体" w:hAnsi="宋体" w:eastAsia="宋体" w:cs="宋体"/>
                <w:sz w:val="24"/>
                <w:szCs w:val="24"/>
              </w:rPr>
              <w:t>拉伸强度MPa</w:t>
            </w:r>
          </w:p>
        </w:tc>
        <w:tc>
          <w:tcPr>
            <w:tcW w:w="2279" w:type="dxa"/>
            <w:noWrap w:val="0"/>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sz w:val="24"/>
                <w:szCs w:val="24"/>
              </w:rPr>
            </w:pPr>
            <w:r>
              <w:rPr>
                <w:rFonts w:hint="eastAsia" w:ascii="宋体" w:hAnsi="宋体" w:eastAsia="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vMerge w:val="continue"/>
            <w:noWrap w:val="0"/>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sz w:val="24"/>
                <w:szCs w:val="24"/>
              </w:rPr>
            </w:pPr>
          </w:p>
        </w:tc>
        <w:tc>
          <w:tcPr>
            <w:tcW w:w="2456" w:type="dxa"/>
            <w:noWrap w:val="0"/>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sz w:val="24"/>
                <w:szCs w:val="24"/>
              </w:rPr>
            </w:pPr>
            <w:r>
              <w:rPr>
                <w:rFonts w:hint="eastAsia" w:ascii="宋体" w:hAnsi="宋体" w:eastAsia="宋体" w:cs="宋体"/>
                <w:sz w:val="24"/>
                <w:szCs w:val="24"/>
              </w:rPr>
              <w:t>拉断伸长率/%</w:t>
            </w:r>
          </w:p>
        </w:tc>
        <w:tc>
          <w:tcPr>
            <w:tcW w:w="2279" w:type="dxa"/>
            <w:noWrap w:val="0"/>
            <w:vAlign w:val="center"/>
          </w:tcPr>
          <w:p>
            <w:pPr>
              <w:keepNext w:val="0"/>
              <w:keepLines w:val="0"/>
              <w:pageBreakBefore w:val="0"/>
              <w:kinsoku/>
              <w:wordWrap/>
              <w:overflowPunct/>
              <w:topLinePunct w:val="0"/>
              <w:autoSpaceDE/>
              <w:autoSpaceDN/>
              <w:bidi w:val="0"/>
              <w:spacing w:line="400" w:lineRule="atLeast"/>
              <w:jc w:val="center"/>
              <w:rPr>
                <w:rFonts w:hint="eastAsia" w:ascii="宋体" w:hAnsi="宋体" w:eastAsia="宋体" w:cs="宋体"/>
                <w:sz w:val="24"/>
                <w:szCs w:val="24"/>
              </w:rPr>
            </w:pPr>
            <w:r>
              <w:rPr>
                <w:rFonts w:hint="eastAsia" w:ascii="宋体" w:hAnsi="宋体" w:eastAsia="宋体" w:cs="宋体"/>
                <w:sz w:val="24"/>
                <w:szCs w:val="24"/>
              </w:rPr>
              <w:t>≥40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atLeast"/>
        <w:ind w:right="0" w:rightChars="0" w:firstLine="240" w:firstLineChars="100"/>
        <w:jc w:val="both"/>
        <w:textAlignment w:val="auto"/>
        <w:outlineLvl w:val="9"/>
        <w:rPr>
          <w:rFonts w:hint="eastAsia" w:ascii="宋体" w:hAnsi="宋体" w:eastAsia="宋体" w:cs="宋体"/>
          <w:b w:val="0"/>
          <w:bCs w:val="0"/>
          <w:color w:val="auto"/>
          <w:sz w:val="24"/>
          <w:szCs w:val="24"/>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atLeast"/>
        <w:ind w:right="0" w:rightChars="0" w:firstLine="240" w:firstLineChars="100"/>
        <w:jc w:val="both"/>
        <w:textAlignment w:val="auto"/>
        <w:outlineLvl w:val="9"/>
        <w:rPr>
          <w:rFonts w:hint="eastAsia" w:ascii="宋体" w:hAnsi="宋体" w:eastAsia="宋体" w:cs="宋体"/>
          <w:b w:val="0"/>
          <w:bCs w:val="0"/>
          <w:color w:val="auto"/>
          <w:sz w:val="24"/>
          <w:szCs w:val="24"/>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atLeast"/>
        <w:ind w:right="0" w:rightChars="0" w:firstLine="240" w:firstLineChars="100"/>
        <w:jc w:val="both"/>
        <w:textAlignment w:val="auto"/>
        <w:outlineLvl w:val="9"/>
        <w:rPr>
          <w:rFonts w:hint="eastAsia" w:ascii="宋体" w:hAnsi="宋体" w:eastAsia="宋体" w:cs="宋体"/>
          <w:b w:val="0"/>
          <w:bCs w:val="0"/>
          <w:color w:val="auto"/>
          <w:sz w:val="24"/>
          <w:szCs w:val="24"/>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atLeast"/>
        <w:ind w:right="0" w:rightChars="0" w:firstLine="240" w:firstLineChars="100"/>
        <w:jc w:val="both"/>
        <w:textAlignment w:val="auto"/>
        <w:outlineLvl w:val="9"/>
        <w:rPr>
          <w:rFonts w:hint="eastAsia" w:ascii="宋体" w:hAnsi="宋体" w:eastAsia="宋体" w:cs="宋体"/>
          <w:b w:val="0"/>
          <w:bCs w:val="0"/>
          <w:color w:val="auto"/>
          <w:sz w:val="24"/>
          <w:szCs w:val="24"/>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atLeast"/>
        <w:ind w:right="0" w:rightChars="0" w:firstLine="240" w:firstLineChars="100"/>
        <w:jc w:val="both"/>
        <w:textAlignment w:val="auto"/>
        <w:outlineLvl w:val="9"/>
        <w:rPr>
          <w:rFonts w:hint="eastAsia" w:ascii="宋体" w:hAnsi="宋体" w:eastAsia="宋体" w:cs="宋体"/>
          <w:b w:val="0"/>
          <w:bCs w:val="0"/>
          <w:color w:val="auto"/>
          <w:sz w:val="24"/>
          <w:szCs w:val="24"/>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atLeast"/>
        <w:ind w:right="0" w:rightChars="0" w:firstLine="240" w:firstLineChars="100"/>
        <w:jc w:val="both"/>
        <w:textAlignment w:val="auto"/>
        <w:outlineLvl w:val="9"/>
        <w:rPr>
          <w:rFonts w:hint="eastAsia" w:ascii="宋体" w:hAnsi="宋体" w:eastAsia="宋体" w:cs="宋体"/>
          <w:b w:val="0"/>
          <w:bCs w:val="0"/>
          <w:color w:val="auto"/>
          <w:sz w:val="24"/>
          <w:szCs w:val="24"/>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atLeast"/>
        <w:ind w:right="0" w:rightChars="0" w:firstLine="240" w:firstLineChars="100"/>
        <w:jc w:val="both"/>
        <w:textAlignment w:val="auto"/>
        <w:outlineLvl w:val="9"/>
        <w:rPr>
          <w:rFonts w:hint="eastAsia" w:ascii="宋体" w:hAnsi="宋体" w:eastAsia="宋体" w:cs="宋体"/>
          <w:b w:val="0"/>
          <w:bCs w:val="0"/>
          <w:color w:val="auto"/>
          <w:sz w:val="24"/>
          <w:szCs w:val="24"/>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atLeast"/>
        <w:ind w:right="0" w:rightChars="0" w:firstLine="240" w:firstLineChars="100"/>
        <w:jc w:val="both"/>
        <w:textAlignment w:val="auto"/>
        <w:outlineLvl w:val="9"/>
        <w:rPr>
          <w:rFonts w:hint="eastAsia" w:ascii="宋体" w:hAnsi="宋体" w:eastAsia="宋体" w:cs="宋体"/>
          <w:b w:val="0"/>
          <w:bCs w:val="0"/>
          <w:color w:val="auto"/>
          <w:sz w:val="24"/>
          <w:szCs w:val="24"/>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atLeast"/>
        <w:ind w:right="0" w:rightChars="0" w:firstLine="240" w:firstLineChars="100"/>
        <w:jc w:val="both"/>
        <w:textAlignment w:val="auto"/>
        <w:outlineLvl w:val="9"/>
        <w:rPr>
          <w:rFonts w:hint="eastAsia" w:ascii="宋体" w:hAnsi="宋体" w:eastAsia="宋体" w:cs="宋体"/>
          <w:b w:val="0"/>
          <w:bCs w:val="0"/>
          <w:color w:val="auto"/>
          <w:sz w:val="24"/>
          <w:szCs w:val="24"/>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atLeast"/>
        <w:ind w:right="0" w:rightChars="0" w:firstLine="240" w:firstLineChars="100"/>
        <w:jc w:val="both"/>
        <w:textAlignment w:val="auto"/>
        <w:outlineLvl w:val="9"/>
        <w:rPr>
          <w:rFonts w:hint="eastAsia" w:ascii="宋体" w:hAnsi="宋体" w:eastAsia="宋体" w:cs="宋体"/>
          <w:b w:val="0"/>
          <w:bCs w:val="0"/>
          <w:color w:val="auto"/>
          <w:sz w:val="24"/>
          <w:szCs w:val="24"/>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atLeast"/>
        <w:ind w:right="0" w:rightChars="0" w:firstLine="240" w:firstLineChars="100"/>
        <w:jc w:val="both"/>
        <w:textAlignment w:val="auto"/>
        <w:outlineLvl w:val="9"/>
        <w:rPr>
          <w:rFonts w:hint="eastAsia" w:ascii="宋体" w:hAnsi="宋体" w:eastAsia="宋体" w:cs="宋体"/>
          <w:b w:val="0"/>
          <w:bCs w:val="0"/>
          <w:color w:val="auto"/>
          <w:sz w:val="24"/>
          <w:szCs w:val="24"/>
          <w:shd w:val="clear" w:color="auto" w:fill="auto"/>
          <w:lang w:val="en-US" w:eastAsia="zh-CN"/>
        </w:rPr>
      </w:pPr>
    </w:p>
    <w:p>
      <w:pPr>
        <w:adjustRightInd w:val="0"/>
        <w:snapToGrid w:val="0"/>
        <w:spacing w:line="520" w:lineRule="atLeast"/>
        <w:jc w:val="center"/>
        <w:outlineLvl w:val="0"/>
        <w:rPr>
          <w:rFonts w:hint="eastAsia" w:ascii="宋体" w:hAnsi="宋体" w:eastAsia="宋体" w:cs="宋体"/>
          <w:b/>
          <w:kern w:val="1"/>
          <w:sz w:val="32"/>
          <w:szCs w:val="32"/>
          <w:highlight w:val="none"/>
          <w:lang w:val="zh-CN"/>
        </w:rPr>
      </w:pPr>
      <w:r>
        <w:rPr>
          <w:rFonts w:hint="eastAsia" w:ascii="宋体" w:hAnsi="宋体" w:eastAsia="宋体" w:cs="宋体"/>
          <w:bCs/>
          <w:szCs w:val="21"/>
          <w:highlight w:val="none"/>
        </w:rPr>
        <w:br w:type="page"/>
      </w:r>
      <w:bookmarkEnd w:id="580"/>
      <w:bookmarkStart w:id="583" w:name="_Toc25203"/>
      <w:r>
        <w:rPr>
          <w:rFonts w:hint="eastAsia" w:ascii="宋体" w:hAnsi="宋体" w:eastAsia="宋体" w:cs="宋体"/>
          <w:b/>
          <w:sz w:val="32"/>
          <w:szCs w:val="32"/>
          <w:highlight w:val="none"/>
        </w:rPr>
        <w:t>第五章</w:t>
      </w:r>
      <w:r>
        <w:rPr>
          <w:rFonts w:hint="eastAsia" w:ascii="宋体" w:hAnsi="宋体" w:eastAsia="宋体" w:cs="宋体"/>
          <w:b/>
          <w:kern w:val="1"/>
          <w:sz w:val="32"/>
          <w:szCs w:val="32"/>
          <w:highlight w:val="none"/>
        </w:rPr>
        <w:t xml:space="preserve">  响应文件格式</w:t>
      </w:r>
      <w:bookmarkEnd w:id="26"/>
      <w:bookmarkEnd w:id="583"/>
    </w:p>
    <w:p>
      <w:pPr>
        <w:pStyle w:val="6"/>
        <w:ind w:firstLine="210"/>
        <w:rPr>
          <w:rFonts w:hint="eastAsia" w:ascii="宋体" w:hAnsi="宋体" w:eastAsia="宋体" w:cs="宋体"/>
          <w:highlight w:val="none"/>
          <w:lang w:val="zh-CN"/>
        </w:rPr>
      </w:pPr>
    </w:p>
    <w:p>
      <w:pPr>
        <w:pStyle w:val="7"/>
        <w:rPr>
          <w:rFonts w:hint="eastAsia" w:ascii="宋体" w:hAnsi="宋体" w:eastAsia="宋体" w:cs="宋体"/>
          <w:highlight w:val="none"/>
          <w:lang w:val="zh-CN"/>
        </w:rPr>
      </w:pPr>
    </w:p>
    <w:p>
      <w:pPr>
        <w:adjustRightInd w:val="0"/>
        <w:snapToGrid w:val="0"/>
        <w:spacing w:line="520" w:lineRule="atLeast"/>
        <w:jc w:val="center"/>
        <w:rPr>
          <w:rFonts w:hint="eastAsia" w:ascii="宋体" w:hAnsi="宋体" w:eastAsia="宋体" w:cs="宋体"/>
          <w:b/>
          <w:bCs/>
          <w:sz w:val="48"/>
          <w:highlight w:val="none"/>
          <w:u w:val="single"/>
        </w:rPr>
      </w:pPr>
      <w:r>
        <w:rPr>
          <w:rFonts w:hint="eastAsia" w:ascii="宋体" w:hAnsi="宋体" w:eastAsia="宋体" w:cs="宋体"/>
          <w:b/>
          <w:bCs/>
          <w:sz w:val="48"/>
          <w:highlight w:val="none"/>
          <w:u w:val="single"/>
        </w:rPr>
        <w:t xml:space="preserve">                 （项目名称）</w:t>
      </w:r>
    </w:p>
    <w:p>
      <w:pPr>
        <w:adjustRightInd w:val="0"/>
        <w:snapToGrid w:val="0"/>
        <w:spacing w:line="520" w:lineRule="atLeast"/>
        <w:jc w:val="center"/>
        <w:rPr>
          <w:rFonts w:hint="eastAsia" w:ascii="宋体" w:hAnsi="宋体" w:eastAsia="宋体" w:cs="宋体"/>
          <w:b/>
          <w:bCs/>
          <w:sz w:val="48"/>
          <w:highlight w:val="none"/>
        </w:rPr>
      </w:pPr>
    </w:p>
    <w:p>
      <w:pPr>
        <w:adjustRightInd w:val="0"/>
        <w:snapToGrid w:val="0"/>
        <w:spacing w:line="520" w:lineRule="atLeast"/>
        <w:jc w:val="center"/>
        <w:rPr>
          <w:rFonts w:hint="eastAsia" w:ascii="宋体" w:hAnsi="宋体" w:eastAsia="宋体" w:cs="宋体"/>
          <w:b/>
          <w:bCs/>
          <w:sz w:val="48"/>
          <w:highlight w:val="none"/>
        </w:rPr>
      </w:pPr>
    </w:p>
    <w:p>
      <w:pPr>
        <w:adjustRightInd w:val="0"/>
        <w:snapToGrid w:val="0"/>
        <w:spacing w:line="520" w:lineRule="atLeast"/>
        <w:rPr>
          <w:rFonts w:hint="eastAsia" w:ascii="宋体" w:hAnsi="宋体" w:eastAsia="宋体" w:cs="宋体"/>
          <w:b/>
          <w:sz w:val="48"/>
          <w:highlight w:val="none"/>
        </w:rPr>
      </w:pPr>
    </w:p>
    <w:p>
      <w:pPr>
        <w:adjustRightInd w:val="0"/>
        <w:snapToGrid w:val="0"/>
        <w:spacing w:line="520" w:lineRule="atLeast"/>
        <w:jc w:val="center"/>
        <w:rPr>
          <w:rFonts w:hint="eastAsia" w:ascii="宋体" w:hAnsi="宋体" w:eastAsia="宋体" w:cs="宋体"/>
          <w:b/>
          <w:sz w:val="48"/>
          <w:highlight w:val="none"/>
        </w:rPr>
      </w:pPr>
    </w:p>
    <w:p>
      <w:pPr>
        <w:adjustRightInd w:val="0"/>
        <w:snapToGrid w:val="0"/>
        <w:spacing w:line="520" w:lineRule="atLeast"/>
        <w:jc w:val="center"/>
        <w:rPr>
          <w:rFonts w:hint="eastAsia" w:ascii="宋体" w:hAnsi="宋体" w:eastAsia="宋体" w:cs="宋体"/>
          <w:b/>
          <w:sz w:val="48"/>
          <w:highlight w:val="none"/>
        </w:rPr>
      </w:pPr>
    </w:p>
    <w:p>
      <w:pPr>
        <w:adjustRightInd w:val="0"/>
        <w:snapToGrid w:val="0"/>
        <w:spacing w:line="360" w:lineRule="auto"/>
        <w:jc w:val="center"/>
        <w:rPr>
          <w:rFonts w:hint="eastAsia" w:ascii="宋体" w:hAnsi="宋体" w:eastAsia="宋体" w:cs="宋体"/>
          <w:b/>
          <w:kern w:val="1"/>
          <w:sz w:val="52"/>
          <w:szCs w:val="52"/>
          <w:highlight w:val="none"/>
          <w:lang w:val="zh-CN"/>
        </w:rPr>
      </w:pPr>
      <w:r>
        <w:rPr>
          <w:rFonts w:hint="eastAsia" w:ascii="宋体" w:hAnsi="宋体" w:eastAsia="宋体" w:cs="宋体"/>
          <w:b/>
          <w:kern w:val="1"/>
          <w:sz w:val="52"/>
          <w:szCs w:val="52"/>
          <w:highlight w:val="none"/>
        </w:rPr>
        <w:t>响应文件</w:t>
      </w:r>
    </w:p>
    <w:p>
      <w:pPr>
        <w:adjustRightInd w:val="0"/>
        <w:snapToGrid w:val="0"/>
        <w:spacing w:line="520" w:lineRule="atLeast"/>
        <w:jc w:val="center"/>
        <w:rPr>
          <w:rFonts w:hint="eastAsia" w:ascii="宋体" w:hAnsi="宋体" w:eastAsia="宋体" w:cs="宋体"/>
          <w:b/>
          <w:bCs/>
          <w:sz w:val="28"/>
          <w:highlight w:val="none"/>
        </w:rPr>
      </w:pPr>
      <w:r>
        <w:rPr>
          <w:rFonts w:hint="eastAsia" w:ascii="宋体" w:hAnsi="宋体" w:eastAsia="宋体" w:cs="宋体"/>
          <w:b/>
          <w:bCs/>
          <w:sz w:val="28"/>
          <w:highlight w:val="none"/>
        </w:rPr>
        <w:t xml:space="preserve">采购编号： </w:t>
      </w:r>
    </w:p>
    <w:p>
      <w:pPr>
        <w:adjustRightInd w:val="0"/>
        <w:snapToGrid w:val="0"/>
        <w:spacing w:line="520" w:lineRule="atLeast"/>
        <w:jc w:val="center"/>
        <w:rPr>
          <w:rFonts w:hint="eastAsia" w:ascii="宋体" w:hAnsi="宋体" w:eastAsia="宋体" w:cs="宋体"/>
          <w:b/>
          <w:bCs/>
          <w:sz w:val="28"/>
          <w:highlight w:val="none"/>
        </w:rPr>
      </w:pPr>
    </w:p>
    <w:p>
      <w:pPr>
        <w:adjustRightInd w:val="0"/>
        <w:snapToGrid w:val="0"/>
        <w:spacing w:line="520" w:lineRule="atLeast"/>
        <w:jc w:val="center"/>
        <w:rPr>
          <w:rFonts w:hint="eastAsia" w:ascii="宋体" w:hAnsi="宋体" w:eastAsia="宋体" w:cs="宋体"/>
          <w:b/>
          <w:bCs/>
          <w:sz w:val="28"/>
          <w:highlight w:val="none"/>
        </w:rPr>
      </w:pPr>
    </w:p>
    <w:p>
      <w:pPr>
        <w:adjustRightInd w:val="0"/>
        <w:snapToGrid w:val="0"/>
        <w:spacing w:line="520" w:lineRule="atLeast"/>
        <w:jc w:val="center"/>
        <w:rPr>
          <w:rFonts w:hint="eastAsia" w:ascii="宋体" w:hAnsi="宋体" w:eastAsia="宋体" w:cs="宋体"/>
          <w:b/>
          <w:bCs/>
          <w:sz w:val="28"/>
          <w:highlight w:val="none"/>
        </w:rPr>
      </w:pPr>
    </w:p>
    <w:p>
      <w:pPr>
        <w:adjustRightInd w:val="0"/>
        <w:snapToGrid w:val="0"/>
        <w:spacing w:line="520" w:lineRule="atLeast"/>
        <w:jc w:val="center"/>
        <w:rPr>
          <w:rFonts w:hint="eastAsia" w:ascii="宋体" w:hAnsi="宋体" w:eastAsia="宋体" w:cs="宋体"/>
          <w:sz w:val="28"/>
          <w:highlight w:val="none"/>
        </w:rPr>
      </w:pPr>
    </w:p>
    <w:p>
      <w:pPr>
        <w:adjustRightInd w:val="0"/>
        <w:snapToGrid w:val="0"/>
        <w:spacing w:line="520" w:lineRule="atLeast"/>
        <w:jc w:val="center"/>
        <w:rPr>
          <w:rFonts w:hint="eastAsia" w:ascii="宋体" w:hAnsi="宋体" w:eastAsia="宋体" w:cs="宋体"/>
          <w:sz w:val="24"/>
          <w:highlight w:val="none"/>
        </w:rPr>
      </w:pPr>
    </w:p>
    <w:p>
      <w:pPr>
        <w:adjustRightInd w:val="0"/>
        <w:snapToGrid w:val="0"/>
        <w:spacing w:line="520" w:lineRule="atLeast"/>
        <w:jc w:val="center"/>
        <w:rPr>
          <w:rFonts w:hint="eastAsia" w:ascii="宋体" w:hAnsi="宋体" w:eastAsia="宋体" w:cs="宋体"/>
          <w:sz w:val="24"/>
          <w:highlight w:val="none"/>
        </w:rPr>
      </w:pPr>
    </w:p>
    <w:p>
      <w:pPr>
        <w:adjustRightInd w:val="0"/>
        <w:snapToGrid w:val="0"/>
        <w:spacing w:line="520" w:lineRule="atLeast"/>
        <w:jc w:val="center"/>
        <w:rPr>
          <w:rFonts w:hint="eastAsia" w:ascii="宋体" w:hAnsi="宋体" w:eastAsia="宋体" w:cs="宋体"/>
          <w:sz w:val="24"/>
          <w:highlight w:val="none"/>
        </w:rPr>
      </w:pPr>
    </w:p>
    <w:p>
      <w:pPr>
        <w:adjustRightInd w:val="0"/>
        <w:snapToGrid w:val="0"/>
        <w:spacing w:line="520" w:lineRule="atLeast"/>
        <w:ind w:firstLine="1120" w:firstLineChars="400"/>
        <w:rPr>
          <w:rFonts w:hint="eastAsia" w:ascii="宋体" w:hAnsi="宋体" w:eastAsia="宋体" w:cs="宋体"/>
          <w:sz w:val="28"/>
          <w:highlight w:val="none"/>
        </w:rPr>
      </w:pPr>
      <w:r>
        <w:rPr>
          <w:rFonts w:hint="eastAsia" w:ascii="宋体" w:hAnsi="宋体" w:eastAsia="宋体" w:cs="宋体"/>
          <w:sz w:val="28"/>
          <w:highlight w:val="none"/>
        </w:rPr>
        <w:t>供应商：</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w:t>
      </w:r>
      <w:r>
        <w:rPr>
          <w:rFonts w:hint="eastAsia" w:ascii="宋体" w:hAnsi="宋体" w:eastAsia="宋体" w:cs="宋体"/>
          <w:sz w:val="28"/>
          <w:highlight w:val="none"/>
          <w:lang w:val="en-US" w:eastAsia="zh-CN"/>
        </w:rPr>
        <w:t>电子公</w:t>
      </w:r>
      <w:r>
        <w:rPr>
          <w:rFonts w:hint="eastAsia" w:ascii="宋体" w:hAnsi="宋体" w:eastAsia="宋体" w:cs="宋体"/>
          <w:sz w:val="28"/>
          <w:highlight w:val="none"/>
        </w:rPr>
        <w:t>章）</w:t>
      </w:r>
    </w:p>
    <w:p>
      <w:pPr>
        <w:adjustRightInd w:val="0"/>
        <w:snapToGrid w:val="0"/>
        <w:spacing w:line="520" w:lineRule="atLeast"/>
        <w:jc w:val="center"/>
        <w:rPr>
          <w:rFonts w:hint="eastAsia" w:ascii="宋体" w:hAnsi="宋体" w:eastAsia="宋体" w:cs="宋体"/>
          <w:sz w:val="28"/>
          <w:highlight w:val="none"/>
        </w:rPr>
      </w:pPr>
    </w:p>
    <w:p>
      <w:pPr>
        <w:adjustRightInd w:val="0"/>
        <w:snapToGrid w:val="0"/>
        <w:spacing w:line="520" w:lineRule="atLeast"/>
        <w:jc w:val="center"/>
        <w:rPr>
          <w:rFonts w:hint="eastAsia" w:ascii="宋体" w:hAnsi="宋体" w:eastAsia="宋体" w:cs="宋体"/>
          <w:sz w:val="28"/>
          <w:highlight w:val="none"/>
        </w:rPr>
      </w:pPr>
      <w:r>
        <w:rPr>
          <w:rFonts w:hint="eastAsia" w:ascii="宋体" w:hAnsi="宋体" w:eastAsia="宋体" w:cs="宋体"/>
          <w:sz w:val="28"/>
          <w:highlight w:val="none"/>
        </w:rPr>
        <w:t>法定代表人</w:t>
      </w:r>
      <w:bookmarkStart w:id="584" w:name="_Hlk19090775"/>
      <w:r>
        <w:rPr>
          <w:rFonts w:hint="eastAsia" w:ascii="宋体" w:hAnsi="宋体" w:eastAsia="宋体" w:cs="宋体"/>
          <w:sz w:val="28"/>
          <w:highlight w:val="none"/>
        </w:rPr>
        <w:t>或其委托代理人</w:t>
      </w:r>
      <w:bookmarkEnd w:id="584"/>
      <w:r>
        <w:rPr>
          <w:rFonts w:hint="eastAsia" w:ascii="宋体" w:hAnsi="宋体" w:eastAsia="宋体" w:cs="宋体"/>
          <w:sz w:val="28"/>
          <w:highlight w:val="none"/>
        </w:rPr>
        <w:t>：</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（签字或</w:t>
      </w:r>
      <w:r>
        <w:rPr>
          <w:rFonts w:hint="eastAsia" w:ascii="宋体" w:hAnsi="宋体" w:eastAsia="宋体" w:cs="宋体"/>
          <w:sz w:val="28"/>
          <w:highlight w:val="none"/>
          <w:lang w:val="en-US" w:eastAsia="zh-CN"/>
        </w:rPr>
        <w:t>电子签</w:t>
      </w:r>
      <w:r>
        <w:rPr>
          <w:rFonts w:hint="eastAsia" w:ascii="宋体" w:hAnsi="宋体" w:eastAsia="宋体" w:cs="宋体"/>
          <w:sz w:val="28"/>
          <w:highlight w:val="none"/>
        </w:rPr>
        <w:t>章）</w:t>
      </w:r>
    </w:p>
    <w:p>
      <w:pPr>
        <w:adjustRightInd w:val="0"/>
        <w:snapToGrid w:val="0"/>
        <w:spacing w:line="520" w:lineRule="atLeast"/>
        <w:jc w:val="center"/>
        <w:rPr>
          <w:rFonts w:hint="eastAsia" w:ascii="宋体" w:hAnsi="宋体" w:eastAsia="宋体" w:cs="宋体"/>
          <w:sz w:val="28"/>
          <w:highlight w:val="none"/>
          <w:u w:val="single"/>
        </w:rPr>
      </w:pPr>
    </w:p>
    <w:p>
      <w:pPr>
        <w:adjustRightInd w:val="0"/>
        <w:snapToGrid w:val="0"/>
        <w:spacing w:line="520" w:lineRule="atLeast"/>
        <w:jc w:val="center"/>
        <w:rPr>
          <w:rFonts w:hint="eastAsia" w:ascii="宋体" w:hAnsi="宋体" w:eastAsia="宋体" w:cs="宋体"/>
          <w:sz w:val="28"/>
          <w:highlight w:val="none"/>
        </w:rPr>
      </w:pP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pPr>
        <w:adjustRightInd w:val="0"/>
        <w:snapToGrid w:val="0"/>
        <w:spacing w:line="520" w:lineRule="atLeast"/>
        <w:jc w:val="center"/>
        <w:rPr>
          <w:rFonts w:hint="eastAsia" w:ascii="宋体" w:hAnsi="宋体" w:eastAsia="宋体" w:cs="宋体"/>
          <w:sz w:val="24"/>
          <w:highlight w:val="none"/>
        </w:rPr>
        <w:sectPr>
          <w:footerReference r:id="rId12" w:type="default"/>
          <w:pgSz w:w="11906" w:h="16838"/>
          <w:pgMar w:top="1418" w:right="1134" w:bottom="1418" w:left="1134" w:header="851" w:footer="992" w:gutter="0"/>
          <w:pgNumType w:fmt="decimal"/>
          <w:cols w:space="720" w:num="1"/>
          <w:docGrid w:type="lines" w:linePitch="312" w:charSpace="0"/>
        </w:sectPr>
      </w:pPr>
    </w:p>
    <w:p>
      <w:pPr>
        <w:pStyle w:val="3"/>
        <w:keepNext w:val="0"/>
        <w:keepLines w:val="0"/>
        <w:numPr>
          <w:ilvl w:val="0"/>
          <w:numId w:val="0"/>
        </w:numPr>
        <w:tabs>
          <w:tab w:val="clear" w:pos="720"/>
        </w:tabs>
        <w:adjustRightInd w:val="0"/>
        <w:snapToGrid w:val="0"/>
        <w:spacing w:before="0" w:after="0" w:line="520" w:lineRule="atLeast"/>
        <w:ind w:left="1077" w:hanging="1077" w:hangingChars="298"/>
        <w:jc w:val="center"/>
        <w:rPr>
          <w:rFonts w:hint="eastAsia" w:ascii="宋体" w:hAnsi="宋体" w:eastAsia="宋体" w:cs="宋体"/>
          <w:sz w:val="36"/>
          <w:szCs w:val="24"/>
          <w:highlight w:val="none"/>
        </w:rPr>
      </w:pPr>
      <w:bookmarkStart w:id="585" w:name="_Toc184635137"/>
      <w:r>
        <w:rPr>
          <w:rFonts w:hint="eastAsia" w:ascii="宋体" w:hAnsi="宋体" w:eastAsia="宋体" w:cs="宋体"/>
          <w:sz w:val="36"/>
          <w:szCs w:val="24"/>
          <w:highlight w:val="none"/>
        </w:rPr>
        <w:t>目  录</w:t>
      </w:r>
      <w:bookmarkEnd w:id="585"/>
    </w:p>
    <w:p>
      <w:pPr>
        <w:adjustRightInd w:val="0"/>
        <w:snapToGrid w:val="0"/>
        <w:spacing w:line="520" w:lineRule="atLeast"/>
        <w:rPr>
          <w:rFonts w:hint="eastAsia" w:ascii="宋体" w:hAnsi="宋体" w:eastAsia="宋体" w:cs="宋体"/>
          <w:highlight w:val="none"/>
        </w:rPr>
      </w:pPr>
    </w:p>
    <w:p>
      <w:pPr>
        <w:autoSpaceDE w:val="0"/>
        <w:autoSpaceDN w:val="0"/>
        <w:adjustRightInd w:val="0"/>
        <w:snapToGrid w:val="0"/>
        <w:spacing w:line="520" w:lineRule="atLeast"/>
        <w:ind w:firstLine="420" w:firstLineChars="200"/>
        <w:jc w:val="left"/>
        <w:rPr>
          <w:rFonts w:hint="eastAsia" w:ascii="宋体" w:hAnsi="宋体" w:eastAsia="宋体" w:cs="宋体"/>
          <w:szCs w:val="21"/>
          <w:highlight w:val="none"/>
          <w:lang w:val="zh-CN"/>
        </w:rPr>
      </w:pPr>
      <w:r>
        <w:rPr>
          <w:rFonts w:hint="eastAsia" w:ascii="宋体" w:hAnsi="宋体" w:eastAsia="宋体" w:cs="宋体"/>
          <w:szCs w:val="21"/>
          <w:highlight w:val="none"/>
        </w:rPr>
        <w:t>一、</w:t>
      </w:r>
      <w:r>
        <w:rPr>
          <w:rFonts w:hint="eastAsia" w:ascii="宋体" w:hAnsi="宋体" w:eastAsia="宋体" w:cs="宋体"/>
          <w:szCs w:val="21"/>
          <w:highlight w:val="none"/>
          <w:lang w:val="zh-CN"/>
        </w:rPr>
        <w:t>磋商申请及声明</w:t>
      </w:r>
    </w:p>
    <w:p>
      <w:pPr>
        <w:autoSpaceDE w:val="0"/>
        <w:autoSpaceDN w:val="0"/>
        <w:adjustRightInd w:val="0"/>
        <w:snapToGrid w:val="0"/>
        <w:spacing w:line="520" w:lineRule="atLeast"/>
        <w:ind w:firstLine="420" w:firstLineChars="200"/>
        <w:jc w:val="left"/>
        <w:rPr>
          <w:rFonts w:hint="eastAsia" w:ascii="宋体" w:hAnsi="宋体" w:eastAsia="宋体" w:cs="宋体"/>
          <w:szCs w:val="21"/>
          <w:highlight w:val="none"/>
          <w:lang w:val="zh-CN"/>
        </w:rPr>
      </w:pPr>
      <w:r>
        <w:rPr>
          <w:rFonts w:hint="eastAsia" w:ascii="宋体" w:hAnsi="宋体" w:eastAsia="宋体" w:cs="宋体"/>
          <w:szCs w:val="21"/>
          <w:highlight w:val="none"/>
        </w:rPr>
        <w:t>二、</w:t>
      </w:r>
      <w:r>
        <w:rPr>
          <w:rFonts w:hint="eastAsia" w:ascii="宋体" w:hAnsi="宋体" w:eastAsia="宋体" w:cs="宋体"/>
          <w:szCs w:val="21"/>
          <w:highlight w:val="none"/>
          <w:lang w:val="zh-CN"/>
        </w:rPr>
        <w:t>磋商报价一览表</w:t>
      </w:r>
    </w:p>
    <w:p>
      <w:pPr>
        <w:autoSpaceDE w:val="0"/>
        <w:autoSpaceDN w:val="0"/>
        <w:adjustRightInd w:val="0"/>
        <w:snapToGrid w:val="0"/>
        <w:spacing w:line="520" w:lineRule="atLeast"/>
        <w:ind w:firstLine="420" w:firstLineChars="200"/>
        <w:jc w:val="left"/>
        <w:rPr>
          <w:rFonts w:hint="eastAsia" w:ascii="宋体" w:hAnsi="宋体" w:eastAsia="宋体" w:cs="宋体"/>
          <w:highlight w:val="none"/>
        </w:rPr>
      </w:pPr>
      <w:r>
        <w:rPr>
          <w:rFonts w:hint="eastAsia" w:ascii="宋体" w:hAnsi="宋体" w:eastAsia="宋体" w:cs="宋体"/>
          <w:szCs w:val="21"/>
          <w:highlight w:val="none"/>
        </w:rPr>
        <w:t>三、</w:t>
      </w:r>
      <w:r>
        <w:rPr>
          <w:rFonts w:hint="eastAsia" w:ascii="宋体" w:hAnsi="宋体" w:eastAsia="宋体" w:cs="宋体"/>
          <w:szCs w:val="21"/>
          <w:highlight w:val="none"/>
          <w:lang w:val="zh-CN"/>
        </w:rPr>
        <w:t>法定代表人身份证明书及授权委托书</w:t>
      </w:r>
    </w:p>
    <w:p>
      <w:pPr>
        <w:autoSpaceDE w:val="0"/>
        <w:autoSpaceDN w:val="0"/>
        <w:adjustRightInd w:val="0"/>
        <w:snapToGrid w:val="0"/>
        <w:spacing w:line="520" w:lineRule="atLeast"/>
        <w:ind w:firstLine="420" w:firstLineChars="200"/>
        <w:jc w:val="left"/>
        <w:rPr>
          <w:rFonts w:hint="eastAsia" w:ascii="宋体" w:hAnsi="宋体" w:eastAsia="宋体" w:cs="宋体"/>
          <w:szCs w:val="21"/>
          <w:highlight w:val="none"/>
          <w:lang w:val="zh-CN"/>
        </w:rPr>
      </w:pPr>
      <w:r>
        <w:rPr>
          <w:rFonts w:hint="eastAsia" w:ascii="宋体" w:hAnsi="宋体" w:eastAsia="宋体" w:cs="宋体"/>
          <w:szCs w:val="21"/>
          <w:highlight w:val="none"/>
        </w:rPr>
        <w:t>四、</w:t>
      </w:r>
      <w:r>
        <w:rPr>
          <w:rFonts w:hint="eastAsia" w:ascii="宋体" w:hAnsi="宋体" w:eastAsia="宋体" w:cs="宋体"/>
          <w:szCs w:val="21"/>
          <w:highlight w:val="none"/>
          <w:lang w:val="zh-CN"/>
        </w:rPr>
        <w:t>供应商情况表</w:t>
      </w:r>
    </w:p>
    <w:p>
      <w:pPr>
        <w:autoSpaceDE w:val="0"/>
        <w:autoSpaceDN w:val="0"/>
        <w:adjustRightInd w:val="0"/>
        <w:snapToGrid w:val="0"/>
        <w:spacing w:line="520" w:lineRule="atLeas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五、拟投入项目人员表</w:t>
      </w:r>
    </w:p>
    <w:p>
      <w:pPr>
        <w:autoSpaceDE w:val="0"/>
        <w:autoSpaceDN w:val="0"/>
        <w:adjustRightInd w:val="0"/>
        <w:snapToGrid w:val="0"/>
        <w:spacing w:line="520" w:lineRule="atLeast"/>
        <w:ind w:firstLine="420" w:firstLineChars="200"/>
        <w:jc w:val="left"/>
        <w:rPr>
          <w:rFonts w:hint="eastAsia" w:ascii="宋体" w:hAnsi="宋体" w:eastAsia="宋体" w:cs="宋体"/>
          <w:szCs w:val="21"/>
          <w:highlight w:val="none"/>
          <w:lang w:val="zh-CN"/>
        </w:rPr>
      </w:pPr>
      <w:r>
        <w:rPr>
          <w:rFonts w:hint="eastAsia" w:ascii="宋体" w:hAnsi="宋体" w:eastAsia="宋体" w:cs="宋体"/>
          <w:szCs w:val="21"/>
          <w:highlight w:val="none"/>
        </w:rPr>
        <w:t>六、施工组织设计</w:t>
      </w:r>
    </w:p>
    <w:p>
      <w:pPr>
        <w:autoSpaceDE w:val="0"/>
        <w:autoSpaceDN w:val="0"/>
        <w:adjustRightInd w:val="0"/>
        <w:snapToGrid w:val="0"/>
        <w:spacing w:line="520" w:lineRule="atLeas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七、反商业贿赂承诺书</w:t>
      </w:r>
    </w:p>
    <w:p>
      <w:pPr>
        <w:autoSpaceDE w:val="0"/>
        <w:autoSpaceDN w:val="0"/>
        <w:adjustRightInd w:val="0"/>
        <w:snapToGrid w:val="0"/>
        <w:spacing w:line="520" w:lineRule="atLeast"/>
        <w:ind w:firstLine="420" w:firstLineChars="200"/>
        <w:jc w:val="left"/>
        <w:rPr>
          <w:rFonts w:hint="eastAsia" w:ascii="宋体" w:hAnsi="宋体" w:eastAsia="宋体" w:cs="宋体"/>
          <w:szCs w:val="21"/>
          <w:highlight w:val="none"/>
          <w:lang w:val="zh-CN"/>
        </w:rPr>
      </w:pPr>
      <w:r>
        <w:rPr>
          <w:rFonts w:hint="eastAsia" w:ascii="宋体" w:hAnsi="宋体" w:eastAsia="宋体" w:cs="宋体"/>
          <w:szCs w:val="21"/>
          <w:highlight w:val="none"/>
        </w:rPr>
        <w:t>八、</w:t>
      </w:r>
      <w:r>
        <w:rPr>
          <w:rFonts w:hint="eastAsia" w:ascii="宋体" w:hAnsi="宋体" w:eastAsia="宋体" w:cs="宋体"/>
          <w:szCs w:val="21"/>
          <w:highlight w:val="none"/>
          <w:lang w:val="zh-CN"/>
        </w:rPr>
        <w:t>承诺函</w:t>
      </w:r>
    </w:p>
    <w:p>
      <w:pPr>
        <w:autoSpaceDE w:val="0"/>
        <w:autoSpaceDN w:val="0"/>
        <w:adjustRightInd w:val="0"/>
        <w:snapToGrid w:val="0"/>
        <w:spacing w:line="520" w:lineRule="atLeast"/>
        <w:ind w:firstLine="420"/>
        <w:rPr>
          <w:rFonts w:hint="eastAsia" w:ascii="宋体" w:hAnsi="宋体" w:eastAsia="宋体" w:cs="宋体"/>
          <w:szCs w:val="21"/>
          <w:highlight w:val="none"/>
          <w:lang w:val="zh-CN"/>
        </w:rPr>
      </w:pPr>
      <w:r>
        <w:rPr>
          <w:rFonts w:hint="eastAsia" w:ascii="宋体" w:hAnsi="宋体" w:eastAsia="宋体" w:cs="宋体"/>
          <w:szCs w:val="21"/>
          <w:highlight w:val="none"/>
        </w:rPr>
        <w:t>九、</w:t>
      </w:r>
      <w:r>
        <w:rPr>
          <w:rFonts w:hint="eastAsia" w:ascii="宋体" w:hAnsi="宋体" w:eastAsia="宋体" w:cs="宋体"/>
          <w:szCs w:val="21"/>
          <w:highlight w:val="none"/>
          <w:lang w:val="zh-CN"/>
        </w:rPr>
        <w:t>竞争性磋商文件要求供应商提交的其它相关资料或供应商认为有必要提供的其它资料</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十、已标价的工程量清单</w:t>
      </w:r>
    </w:p>
    <w:p>
      <w:pPr>
        <w:pStyle w:val="6"/>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p>
    <w:p>
      <w:pPr>
        <w:pStyle w:val="6"/>
        <w:ind w:firstLine="420" w:firstLineChars="200"/>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十一、综合信用标要求材料</w:t>
      </w:r>
    </w:p>
    <w:p>
      <w:pPr>
        <w:pStyle w:val="6"/>
        <w:rPr>
          <w:rFonts w:hint="eastAsia" w:ascii="宋体" w:hAnsi="宋体" w:eastAsia="宋体" w:cs="宋体"/>
          <w:highlight w:val="none"/>
          <w:lang w:val="en-US" w:eastAsia="zh-CN"/>
        </w:rPr>
      </w:pPr>
    </w:p>
    <w:p>
      <w:pPr>
        <w:autoSpaceDE w:val="0"/>
        <w:autoSpaceDN w:val="0"/>
        <w:adjustRightInd w:val="0"/>
        <w:snapToGrid w:val="0"/>
        <w:spacing w:line="520" w:lineRule="atLeast"/>
        <w:ind w:firstLine="420"/>
        <w:rPr>
          <w:rFonts w:hint="eastAsia" w:ascii="宋体" w:hAnsi="宋体" w:eastAsia="宋体" w:cs="宋体"/>
          <w:szCs w:val="21"/>
          <w:highlight w:val="none"/>
        </w:rPr>
      </w:pPr>
      <w:r>
        <w:rPr>
          <w:rFonts w:hint="eastAsia" w:ascii="宋体" w:hAnsi="宋体" w:eastAsia="宋体" w:cs="宋体"/>
          <w:szCs w:val="21"/>
          <w:highlight w:val="none"/>
        </w:rPr>
        <w:t xml:space="preserve"> </w:t>
      </w:r>
    </w:p>
    <w:p>
      <w:pPr>
        <w:autoSpaceDE w:val="0"/>
        <w:autoSpaceDN w:val="0"/>
        <w:adjustRightInd w:val="0"/>
        <w:snapToGrid w:val="0"/>
        <w:spacing w:line="520" w:lineRule="atLeast"/>
        <w:rPr>
          <w:rFonts w:hint="eastAsia" w:ascii="宋体" w:hAnsi="宋体" w:eastAsia="宋体" w:cs="宋体"/>
          <w:szCs w:val="21"/>
          <w:highlight w:val="none"/>
        </w:rPr>
      </w:pPr>
    </w:p>
    <w:p>
      <w:pPr>
        <w:pStyle w:val="6"/>
        <w:ind w:firstLine="210"/>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2"/>
        <w:numPr>
          <w:ilvl w:val="0"/>
          <w:numId w:val="0"/>
        </w:numPr>
        <w:jc w:val="center"/>
        <w:rPr>
          <w:rFonts w:hint="eastAsia" w:ascii="宋体" w:hAnsi="宋体" w:eastAsia="宋体" w:cs="宋体"/>
          <w:kern w:val="2"/>
          <w:sz w:val="28"/>
          <w:szCs w:val="28"/>
          <w:highlight w:val="none"/>
          <w:lang w:val="zh-CN" w:eastAsia="zh-CN"/>
        </w:rPr>
      </w:pPr>
      <w:bookmarkStart w:id="586" w:name="_Toc29158"/>
      <w:r>
        <w:rPr>
          <w:rFonts w:hint="eastAsia" w:ascii="宋体" w:hAnsi="宋体" w:eastAsia="宋体" w:cs="宋体"/>
          <w:kern w:val="2"/>
          <w:sz w:val="28"/>
          <w:szCs w:val="28"/>
          <w:highlight w:val="none"/>
          <w:lang w:val="zh-CN" w:eastAsia="zh-CN"/>
        </w:rPr>
        <w:t>一、磋商申请及声明</w:t>
      </w:r>
      <w:bookmarkEnd w:id="586"/>
    </w:p>
    <w:p>
      <w:pPr>
        <w:adjustRightInd w:val="0"/>
        <w:snapToGrid w:val="0"/>
        <w:spacing w:line="520" w:lineRule="atLeast"/>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（采购人）：</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（供应商名称）  </w:t>
      </w:r>
      <w:r>
        <w:rPr>
          <w:rFonts w:hint="eastAsia" w:ascii="宋体" w:hAnsi="宋体" w:eastAsia="宋体" w:cs="宋体"/>
          <w:szCs w:val="21"/>
          <w:highlight w:val="none"/>
        </w:rPr>
        <w:t>系中华人民共和国合法企业，经营地址</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（供应商名称）的法定代表人，我方愿意参加贵方组织的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项目的竞争性磋商，为便于贵方公正、择优地确定成交人及其磋商产品和服务，我方就本次磋商有关事项郑重声明如下：</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我方已详细审查全部“磋商文件”，包括修改文件（如有的话）以及全部参考资料和有关附件，已经了解我方对于磋商文件、招标过程、招标结果有依法进行询问、质疑、投诉的权利及相关渠道和要求，并承诺提交的所有响应文件、资料都是准确的和真实的。</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我方不是采购人的附属机构；在获知本项目招标信息后，与采购人聘请的为此项目提供咨询服务的公司及其附属机构没有任何联系。在参加磋商之前已经与贵方进行了充分的沟通，完全理解并接受磋商文件的各项规定和要求，对磋商文件的合理性、合法性不再有异议。</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3、我方保证满足此次采购人的全部要求。</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4、如成交，本响应文件至本项目合同履行完毕止均保持有效，本磋商供应商将按“磋商文件”及政府采购法律、法规的规定履行合同责任和义务。</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5、磋商供应商同意按照贵方要求提供与磋商有关的一切数据或资料。</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6、本磋商有效期自磋商之日起</w:t>
      </w:r>
      <w:r>
        <w:rPr>
          <w:rFonts w:hint="eastAsia" w:ascii="宋体" w:hAnsi="宋体" w:eastAsia="宋体" w:cs="宋体"/>
          <w:szCs w:val="21"/>
          <w:highlight w:val="none"/>
          <w:lang w:val="en-US" w:eastAsia="zh-CN"/>
        </w:rPr>
        <w:t>90</w:t>
      </w:r>
      <w:r>
        <w:rPr>
          <w:rFonts w:hint="eastAsia" w:ascii="宋体" w:hAnsi="宋体" w:eastAsia="宋体" w:cs="宋体"/>
          <w:szCs w:val="21"/>
          <w:highlight w:val="none"/>
        </w:rPr>
        <w:t>日历天。</w:t>
      </w:r>
    </w:p>
    <w:p>
      <w:pPr>
        <w:adjustRightInd w:val="0"/>
        <w:snapToGrid w:val="0"/>
        <w:spacing w:line="520" w:lineRule="atLeast"/>
        <w:ind w:firstLine="420" w:firstLineChars="200"/>
        <w:rPr>
          <w:rFonts w:hint="eastAsia" w:ascii="宋体" w:hAnsi="宋体" w:eastAsia="宋体" w:cs="宋体"/>
          <w:szCs w:val="21"/>
          <w:highlight w:val="none"/>
        </w:rPr>
      </w:pP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w:t>
      </w:r>
      <w:r>
        <w:rPr>
          <w:rFonts w:hint="eastAsia" w:ascii="宋体" w:hAnsi="宋体" w:eastAsia="宋体" w:cs="宋体"/>
          <w:szCs w:val="21"/>
          <w:highlight w:val="none"/>
          <w:lang w:val="en-US" w:eastAsia="zh-CN"/>
        </w:rPr>
        <w:t>电子签</w:t>
      </w:r>
      <w:r>
        <w:rPr>
          <w:rFonts w:hint="eastAsia" w:ascii="宋体" w:hAnsi="宋体" w:eastAsia="宋体" w:cs="宋体"/>
          <w:szCs w:val="21"/>
          <w:highlight w:val="none"/>
        </w:rPr>
        <w:t>章）：</w:t>
      </w:r>
    </w:p>
    <w:p>
      <w:pPr>
        <w:adjustRightInd w:val="0"/>
        <w:snapToGrid w:val="0"/>
        <w:spacing w:line="520" w:lineRule="atLeas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法定代表人或其委托代理人（签字或</w:t>
      </w:r>
      <w:r>
        <w:rPr>
          <w:rFonts w:hint="eastAsia" w:ascii="宋体" w:hAnsi="宋体" w:eastAsia="宋体" w:cs="宋体"/>
          <w:szCs w:val="21"/>
          <w:highlight w:val="none"/>
          <w:lang w:val="en-US" w:eastAsia="zh-CN"/>
        </w:rPr>
        <w:t>电子签</w:t>
      </w:r>
      <w:r>
        <w:rPr>
          <w:rFonts w:hint="eastAsia" w:ascii="宋体" w:hAnsi="宋体" w:eastAsia="宋体" w:cs="宋体"/>
          <w:szCs w:val="21"/>
          <w:highlight w:val="none"/>
        </w:rPr>
        <w:t>章）：</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年    月    日</w:t>
      </w:r>
    </w:p>
    <w:p>
      <w:pPr>
        <w:autoSpaceDE w:val="0"/>
        <w:autoSpaceDN w:val="0"/>
        <w:adjustRightInd w:val="0"/>
        <w:snapToGrid w:val="0"/>
        <w:spacing w:line="520" w:lineRule="atLeast"/>
        <w:rPr>
          <w:rFonts w:hint="eastAsia" w:ascii="宋体" w:hAnsi="宋体" w:eastAsia="宋体" w:cs="宋体"/>
          <w:b/>
          <w:sz w:val="22"/>
          <w:highlight w:val="none"/>
          <w:lang w:val="zh-CN"/>
        </w:rPr>
      </w:pPr>
    </w:p>
    <w:p>
      <w:pPr>
        <w:pStyle w:val="7"/>
        <w:ind w:left="0" w:leftChars="0" w:firstLine="0" w:firstLineChars="0"/>
        <w:rPr>
          <w:rFonts w:hint="eastAsia" w:ascii="宋体" w:hAnsi="宋体" w:eastAsia="宋体" w:cs="宋体"/>
          <w:highlight w:val="none"/>
          <w:lang w:val="zh-CN"/>
        </w:rPr>
      </w:pPr>
    </w:p>
    <w:p>
      <w:pPr>
        <w:pStyle w:val="2"/>
        <w:numPr>
          <w:ilvl w:val="0"/>
          <w:numId w:val="0"/>
        </w:numPr>
        <w:jc w:val="center"/>
        <w:rPr>
          <w:rFonts w:hint="eastAsia" w:ascii="宋体" w:hAnsi="宋体" w:eastAsia="宋体" w:cs="宋体"/>
          <w:b w:val="0"/>
          <w:sz w:val="36"/>
          <w:highlight w:val="none"/>
          <w:lang w:eastAsia="zh-Hans"/>
        </w:rPr>
      </w:pPr>
      <w:bookmarkStart w:id="587" w:name="_Toc31394"/>
      <w:r>
        <w:rPr>
          <w:rFonts w:hint="eastAsia" w:ascii="宋体" w:hAnsi="宋体" w:eastAsia="宋体" w:cs="宋体"/>
          <w:kern w:val="2"/>
          <w:sz w:val="28"/>
          <w:szCs w:val="28"/>
          <w:highlight w:val="none"/>
          <w:lang w:val="zh-CN" w:eastAsia="zh-CN"/>
        </w:rPr>
        <w:t>二、磋商报价一览表</w:t>
      </w:r>
    </w:p>
    <w:tbl>
      <w:tblPr>
        <w:tblStyle w:val="1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2378"/>
        <w:gridCol w:w="1256"/>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902"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6818" w:type="dxa"/>
            <w:gridSpan w:val="3"/>
            <w:noWrap w:val="0"/>
            <w:vAlign w:val="center"/>
          </w:tcPr>
          <w:p>
            <w:pPr>
              <w:adjustRightInd w:val="0"/>
              <w:snapToGrid w:val="0"/>
              <w:spacing w:line="520" w:lineRule="atLeast"/>
              <w:jc w:val="center"/>
              <w:rPr>
                <w:rFonts w:hint="eastAsia" w:ascii="宋体" w:hAnsi="宋体" w:eastAsia="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902"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采购</w:t>
            </w:r>
            <w:r>
              <w:rPr>
                <w:rFonts w:hint="eastAsia" w:ascii="宋体" w:hAnsi="宋体" w:eastAsia="宋体" w:cs="宋体"/>
                <w:szCs w:val="21"/>
                <w:highlight w:val="none"/>
              </w:rPr>
              <w:t>编号</w:t>
            </w:r>
          </w:p>
        </w:tc>
        <w:tc>
          <w:tcPr>
            <w:tcW w:w="6818" w:type="dxa"/>
            <w:gridSpan w:val="3"/>
            <w:noWrap w:val="0"/>
            <w:vAlign w:val="center"/>
          </w:tcPr>
          <w:p>
            <w:pPr>
              <w:adjustRightInd w:val="0"/>
              <w:snapToGrid w:val="0"/>
              <w:spacing w:line="520" w:lineRule="atLeast"/>
              <w:jc w:val="center"/>
              <w:rPr>
                <w:rFonts w:hint="eastAsia" w:ascii="宋体" w:hAnsi="宋体" w:eastAsia="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02"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磋商报价（元）</w:t>
            </w:r>
          </w:p>
        </w:tc>
        <w:tc>
          <w:tcPr>
            <w:tcW w:w="6818" w:type="dxa"/>
            <w:gridSpan w:val="3"/>
            <w:noWrap w:val="0"/>
            <w:vAlign w:val="center"/>
          </w:tcPr>
          <w:p>
            <w:pPr>
              <w:pStyle w:val="4"/>
              <w:keepNext w:val="0"/>
              <w:keepLines w:val="0"/>
              <w:numPr>
                <w:ilvl w:val="0"/>
                <w:numId w:val="0"/>
              </w:numPr>
              <w:adjustRightInd w:val="0"/>
              <w:snapToGrid w:val="0"/>
              <w:ind w:left="864" w:hanging="864"/>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小写：</w:t>
            </w:r>
          </w:p>
          <w:p>
            <w:pPr>
              <w:adjustRightInd w:val="0"/>
              <w:snapToGrid w:val="0"/>
              <w:rPr>
                <w:rFonts w:hint="eastAsia" w:ascii="宋体" w:hAnsi="宋体" w:eastAsia="宋体" w:cs="宋体"/>
                <w:highlight w:val="none"/>
                <w:u w:val="single"/>
              </w:rPr>
            </w:pPr>
            <w:r>
              <w:rPr>
                <w:rFonts w:hint="eastAsia" w:ascii="宋体" w:hAnsi="宋体" w:eastAsia="宋体" w:cs="宋体"/>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02"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工   期</w:t>
            </w:r>
          </w:p>
        </w:tc>
        <w:tc>
          <w:tcPr>
            <w:tcW w:w="6818" w:type="dxa"/>
            <w:gridSpan w:val="3"/>
            <w:noWrap w:val="0"/>
            <w:vAlign w:val="center"/>
          </w:tcPr>
          <w:p>
            <w:pPr>
              <w:adjustRightInd w:val="0"/>
              <w:snapToGrid w:val="0"/>
              <w:spacing w:line="520" w:lineRule="atLeas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02"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范围</w:t>
            </w:r>
          </w:p>
        </w:tc>
        <w:tc>
          <w:tcPr>
            <w:tcW w:w="6818" w:type="dxa"/>
            <w:gridSpan w:val="3"/>
            <w:noWrap w:val="0"/>
            <w:vAlign w:val="center"/>
          </w:tcPr>
          <w:p>
            <w:pPr>
              <w:adjustRightInd w:val="0"/>
              <w:snapToGrid w:val="0"/>
              <w:spacing w:line="520" w:lineRule="atLeas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02" w:type="dxa"/>
            <w:noWrap w:val="0"/>
            <w:vAlign w:val="center"/>
          </w:tcPr>
          <w:p>
            <w:pPr>
              <w:adjustRightInd w:val="0"/>
              <w:snapToGrid w:val="0"/>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c>
          <w:tcPr>
            <w:tcW w:w="2378" w:type="dxa"/>
            <w:noWrap w:val="0"/>
            <w:vAlign w:val="center"/>
          </w:tcPr>
          <w:p>
            <w:pPr>
              <w:adjustRightInd w:val="0"/>
              <w:snapToGrid w:val="0"/>
              <w:spacing w:line="520" w:lineRule="atLeast"/>
              <w:jc w:val="center"/>
              <w:rPr>
                <w:rFonts w:hint="eastAsia" w:ascii="宋体" w:hAnsi="宋体" w:eastAsia="宋体" w:cs="宋体"/>
                <w:szCs w:val="21"/>
                <w:highlight w:val="none"/>
              </w:rPr>
            </w:pPr>
          </w:p>
        </w:tc>
        <w:tc>
          <w:tcPr>
            <w:tcW w:w="1256"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证书编号</w:t>
            </w:r>
          </w:p>
        </w:tc>
        <w:tc>
          <w:tcPr>
            <w:tcW w:w="3184" w:type="dxa"/>
            <w:noWrap w:val="0"/>
            <w:vAlign w:val="center"/>
          </w:tcPr>
          <w:p>
            <w:pPr>
              <w:adjustRightInd w:val="0"/>
              <w:snapToGrid w:val="0"/>
              <w:spacing w:line="520" w:lineRule="atLeas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02"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6818" w:type="dxa"/>
            <w:gridSpan w:val="3"/>
            <w:noWrap w:val="0"/>
            <w:vAlign w:val="center"/>
          </w:tcPr>
          <w:p>
            <w:pPr>
              <w:adjustRightInd w:val="0"/>
              <w:snapToGrid w:val="0"/>
              <w:spacing w:line="360" w:lineRule="atLeast"/>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02" w:type="dxa"/>
            <w:noWrap w:val="0"/>
            <w:vAlign w:val="center"/>
          </w:tcPr>
          <w:p>
            <w:pPr>
              <w:adjustRightInd w:val="0"/>
              <w:snapToGrid w:val="0"/>
              <w:spacing w:line="520" w:lineRule="atLeas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质保期</w:t>
            </w:r>
          </w:p>
        </w:tc>
        <w:tc>
          <w:tcPr>
            <w:tcW w:w="6818" w:type="dxa"/>
            <w:gridSpan w:val="3"/>
            <w:noWrap w:val="0"/>
            <w:vAlign w:val="center"/>
          </w:tcPr>
          <w:p>
            <w:pPr>
              <w:adjustRightInd w:val="0"/>
              <w:snapToGrid w:val="0"/>
              <w:spacing w:line="360" w:lineRule="atLeast"/>
              <w:ind w:firstLine="420" w:firstLineChars="20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02" w:type="dxa"/>
            <w:noWrap w:val="0"/>
            <w:vAlign w:val="center"/>
          </w:tcPr>
          <w:p>
            <w:pPr>
              <w:adjustRightInd w:val="0"/>
              <w:snapToGrid w:val="0"/>
              <w:spacing w:line="240" w:lineRule="atLeast"/>
              <w:jc w:val="center"/>
              <w:rPr>
                <w:rFonts w:hint="eastAsia" w:ascii="宋体" w:hAnsi="宋体" w:eastAsia="宋体" w:cs="宋体"/>
                <w:kern w:val="21"/>
                <w:szCs w:val="21"/>
                <w:highlight w:val="none"/>
              </w:rPr>
            </w:pPr>
            <w:r>
              <w:rPr>
                <w:rFonts w:hint="eastAsia" w:ascii="宋体" w:hAnsi="宋体" w:eastAsia="宋体" w:cs="宋体"/>
                <w:kern w:val="21"/>
                <w:szCs w:val="21"/>
                <w:highlight w:val="none"/>
              </w:rPr>
              <w:t>报价承诺</w:t>
            </w:r>
          </w:p>
        </w:tc>
        <w:tc>
          <w:tcPr>
            <w:tcW w:w="6818" w:type="dxa"/>
            <w:gridSpan w:val="3"/>
            <w:noWrap w:val="0"/>
            <w:vAlign w:val="center"/>
          </w:tcPr>
          <w:p>
            <w:pPr>
              <w:adjustRightInd w:val="0"/>
              <w:snapToGrid w:val="0"/>
              <w:spacing w:line="240" w:lineRule="atLeast"/>
              <w:rPr>
                <w:rFonts w:hint="eastAsia" w:ascii="宋体" w:hAnsi="宋体" w:eastAsia="宋体" w:cs="宋体"/>
                <w:kern w:val="21"/>
                <w:szCs w:val="21"/>
                <w:highlight w:val="none"/>
                <w:u w:val="single"/>
              </w:rPr>
            </w:pPr>
            <w:r>
              <w:rPr>
                <w:rFonts w:hint="eastAsia" w:ascii="宋体" w:hAnsi="宋体" w:eastAsia="宋体" w:cs="宋体"/>
                <w:kern w:val="21"/>
                <w:szCs w:val="21"/>
                <w:highlight w:val="none"/>
              </w:rPr>
              <w:t>现承诺我单位如能进入再次报价环节,同意以再次报价函中的报价为最终报价。并在结算时按成交后的报价进行结算。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02"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备    注</w:t>
            </w:r>
          </w:p>
        </w:tc>
        <w:tc>
          <w:tcPr>
            <w:tcW w:w="6818" w:type="dxa"/>
            <w:gridSpan w:val="3"/>
            <w:noWrap w:val="0"/>
            <w:vAlign w:val="center"/>
          </w:tcPr>
          <w:p>
            <w:pPr>
              <w:adjustRightInd w:val="0"/>
              <w:snapToGrid w:val="0"/>
              <w:spacing w:line="520" w:lineRule="atLeast"/>
              <w:ind w:firstLine="420" w:firstLineChars="200"/>
              <w:jc w:val="center"/>
              <w:rPr>
                <w:rFonts w:hint="eastAsia" w:ascii="宋体" w:hAnsi="宋体" w:eastAsia="宋体" w:cs="宋体"/>
                <w:szCs w:val="21"/>
                <w:highlight w:val="none"/>
              </w:rPr>
            </w:pPr>
          </w:p>
        </w:tc>
      </w:tr>
    </w:tbl>
    <w:p>
      <w:pPr>
        <w:adjustRightInd w:val="0"/>
        <w:snapToGrid w:val="0"/>
        <w:spacing w:line="520" w:lineRule="atLeast"/>
        <w:ind w:right="420"/>
        <w:jc w:val="right"/>
        <w:rPr>
          <w:rFonts w:hint="eastAsia" w:ascii="宋体" w:hAnsi="宋体" w:eastAsia="宋体" w:cs="宋体"/>
          <w:highlight w:val="none"/>
        </w:rPr>
      </w:pPr>
    </w:p>
    <w:p>
      <w:pPr>
        <w:adjustRightInd w:val="0"/>
        <w:snapToGrid w:val="0"/>
        <w:spacing w:line="520" w:lineRule="atLeast"/>
        <w:ind w:right="420"/>
        <w:jc w:val="right"/>
        <w:rPr>
          <w:rFonts w:hint="eastAsia" w:ascii="宋体" w:hAnsi="宋体" w:eastAsia="宋体" w:cs="宋体"/>
          <w:szCs w:val="21"/>
          <w:highlight w:val="none"/>
        </w:rPr>
      </w:pPr>
      <w:r>
        <w:rPr>
          <w:rFonts w:hint="eastAsia" w:ascii="宋体" w:hAnsi="宋体" w:eastAsia="宋体" w:cs="宋体"/>
          <w:szCs w:val="21"/>
          <w:highlight w:val="none"/>
        </w:rPr>
        <w:t xml:space="preserve">     供应商</w:t>
      </w:r>
      <w:r>
        <w:rPr>
          <w:rFonts w:hint="eastAsia" w:ascii="宋体" w:hAnsi="宋体" w:eastAsia="宋体" w:cs="宋体"/>
          <w:szCs w:val="21"/>
          <w:highlight w:val="none"/>
          <w:lang w:eastAsia="zh-Hans"/>
        </w:rPr>
        <w:t>：</w:t>
      </w:r>
      <w:r>
        <w:rPr>
          <w:rFonts w:hint="eastAsia" w:ascii="宋体" w:hAnsi="宋体" w:eastAsia="宋体" w:cs="宋体"/>
          <w:szCs w:val="21"/>
          <w:highlight w:val="none"/>
          <w:u w:val="single"/>
          <w:lang w:eastAsia="zh-Hans"/>
        </w:rPr>
        <w:t>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Hans"/>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电子签</w:t>
      </w:r>
      <w:r>
        <w:rPr>
          <w:rFonts w:hint="eastAsia" w:ascii="宋体" w:hAnsi="宋体" w:eastAsia="宋体" w:cs="宋体"/>
          <w:szCs w:val="21"/>
          <w:highlight w:val="none"/>
        </w:rPr>
        <w:t>章）</w:t>
      </w:r>
    </w:p>
    <w:p>
      <w:pPr>
        <w:adjustRightInd w:val="0"/>
        <w:snapToGrid w:val="0"/>
        <w:spacing w:line="520" w:lineRule="atLeast"/>
        <w:ind w:firstLine="2100" w:firstLineChars="1000"/>
        <w:rPr>
          <w:rFonts w:hint="eastAsia" w:ascii="宋体" w:hAnsi="宋体" w:eastAsia="宋体" w:cs="宋体"/>
          <w:szCs w:val="21"/>
          <w:highlight w:val="none"/>
        </w:rPr>
      </w:pPr>
      <w:r>
        <w:rPr>
          <w:rFonts w:hint="eastAsia" w:ascii="宋体" w:hAnsi="宋体" w:eastAsia="宋体" w:cs="宋体"/>
          <w:szCs w:val="21"/>
          <w:highlight w:val="none"/>
          <w:lang w:eastAsia="zh-Hans"/>
        </w:rPr>
        <w:t>法</w:t>
      </w:r>
      <w:r>
        <w:rPr>
          <w:rFonts w:hint="eastAsia" w:ascii="宋体" w:hAnsi="宋体" w:eastAsia="宋体" w:cs="宋体"/>
          <w:szCs w:val="21"/>
          <w:highlight w:val="none"/>
        </w:rPr>
        <w:t>人</w:t>
      </w:r>
      <w:r>
        <w:rPr>
          <w:rFonts w:hint="eastAsia" w:ascii="宋体" w:hAnsi="宋体" w:eastAsia="宋体" w:cs="宋体"/>
          <w:szCs w:val="21"/>
          <w:highlight w:val="none"/>
          <w:lang w:eastAsia="zh-Hans"/>
        </w:rPr>
        <w:t>代表或授权</w:t>
      </w:r>
      <w:r>
        <w:rPr>
          <w:rFonts w:hint="eastAsia" w:ascii="宋体" w:hAnsi="宋体" w:eastAsia="宋体" w:cs="宋体"/>
          <w:szCs w:val="21"/>
          <w:highlight w:val="none"/>
        </w:rPr>
        <w:t>代表人</w:t>
      </w:r>
      <w:r>
        <w:rPr>
          <w:rFonts w:hint="eastAsia" w:ascii="宋体" w:hAnsi="宋体" w:eastAsia="宋体" w:cs="宋体"/>
          <w:szCs w:val="21"/>
          <w:highlight w:val="none"/>
          <w:lang w:eastAsia="zh-Hans"/>
        </w:rPr>
        <w:t>：</w:t>
      </w:r>
      <w:r>
        <w:rPr>
          <w:rFonts w:hint="eastAsia" w:ascii="宋体" w:hAnsi="宋体" w:eastAsia="宋体" w:cs="宋体"/>
          <w:szCs w:val="21"/>
          <w:highlight w:val="none"/>
          <w:u w:val="single"/>
          <w:lang w:eastAsia="zh-Hans"/>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lang w:eastAsia="zh-Hans"/>
        </w:rPr>
        <w:t>（签字或</w:t>
      </w:r>
      <w:r>
        <w:rPr>
          <w:rFonts w:hint="eastAsia" w:ascii="宋体" w:hAnsi="宋体" w:eastAsia="宋体" w:cs="宋体"/>
          <w:szCs w:val="21"/>
          <w:highlight w:val="none"/>
          <w:lang w:val="en-US" w:eastAsia="zh-CN"/>
        </w:rPr>
        <w:t>电子签</w:t>
      </w:r>
      <w:r>
        <w:rPr>
          <w:rFonts w:hint="eastAsia" w:ascii="宋体" w:hAnsi="宋体" w:eastAsia="宋体" w:cs="宋体"/>
          <w:szCs w:val="21"/>
          <w:highlight w:val="none"/>
          <w:lang w:eastAsia="zh-Hans"/>
        </w:rPr>
        <w:t>章）</w:t>
      </w:r>
    </w:p>
    <w:p>
      <w:pPr>
        <w:adjustRightInd w:val="0"/>
        <w:snapToGrid w:val="0"/>
        <w:spacing w:line="520" w:lineRule="atLeast"/>
        <w:ind w:firstLine="2625" w:firstLineChars="1250"/>
        <w:rPr>
          <w:rFonts w:hint="eastAsia" w:ascii="宋体" w:hAnsi="宋体" w:eastAsia="宋体" w:cs="宋体"/>
          <w:szCs w:val="21"/>
          <w:highlight w:val="none"/>
        </w:rPr>
      </w:pPr>
      <w:r>
        <w:rPr>
          <w:rFonts w:hint="eastAsia" w:ascii="宋体" w:hAnsi="宋体" w:eastAsia="宋体" w:cs="宋体"/>
          <w:szCs w:val="21"/>
          <w:highlight w:val="none"/>
        </w:rPr>
        <w:t>日   期：     年    月    日</w:t>
      </w:r>
      <w:bookmarkEnd w:id="587"/>
      <w:bookmarkStart w:id="588" w:name="_Toc28960"/>
    </w:p>
    <w:p>
      <w:pPr>
        <w:pStyle w:val="6"/>
        <w:ind w:firstLine="210"/>
        <w:rPr>
          <w:rFonts w:hint="eastAsia" w:ascii="宋体" w:hAnsi="宋体" w:eastAsia="宋体" w:cs="宋体"/>
          <w:highlight w:val="none"/>
        </w:rPr>
      </w:pPr>
    </w:p>
    <w:p>
      <w:pPr>
        <w:pStyle w:val="7"/>
        <w:ind w:left="0" w:leftChars="0" w:firstLine="0" w:firstLineChars="0"/>
        <w:rPr>
          <w:rFonts w:hint="eastAsia" w:ascii="宋体" w:hAnsi="宋体" w:eastAsia="宋体" w:cs="宋体"/>
          <w:highlight w:val="none"/>
        </w:rPr>
      </w:pPr>
    </w:p>
    <w:p>
      <w:pPr>
        <w:pStyle w:val="2"/>
        <w:numPr>
          <w:ilvl w:val="0"/>
          <w:numId w:val="0"/>
        </w:numPr>
        <w:jc w:val="center"/>
        <w:rPr>
          <w:rFonts w:hint="eastAsia" w:ascii="宋体" w:hAnsi="宋体" w:eastAsia="宋体" w:cs="宋体"/>
          <w:kern w:val="21"/>
          <w:szCs w:val="21"/>
          <w:highlight w:val="none"/>
        </w:rPr>
      </w:pPr>
      <w:r>
        <w:rPr>
          <w:rFonts w:hint="eastAsia" w:ascii="宋体" w:hAnsi="宋体" w:eastAsia="宋体" w:cs="宋体"/>
          <w:bCs w:val="0"/>
          <w:kern w:val="2"/>
          <w:sz w:val="28"/>
          <w:szCs w:val="28"/>
          <w:highlight w:val="none"/>
          <w:lang w:val="zh-CN" w:eastAsia="zh-CN"/>
        </w:rPr>
        <w:t>三、法定代表人身份证明书及授权委托书</w:t>
      </w:r>
      <w:bookmarkEnd w:id="588"/>
    </w:p>
    <w:p>
      <w:pPr>
        <w:spacing w:line="520" w:lineRule="atLeast"/>
        <w:ind w:firstLine="420" w:firstLineChars="200"/>
        <w:rPr>
          <w:rFonts w:hint="eastAsia" w:ascii="宋体" w:hAnsi="宋体" w:eastAsia="宋体" w:cs="宋体"/>
          <w:b/>
          <w:bCs/>
          <w:kern w:val="21"/>
          <w:sz w:val="28"/>
          <w:szCs w:val="28"/>
          <w:highlight w:val="none"/>
        </w:rPr>
      </w:pPr>
      <w:r>
        <w:rPr>
          <w:rFonts w:hint="eastAsia" w:ascii="宋体" w:hAnsi="宋体" w:eastAsia="宋体" w:cs="宋体"/>
          <w:kern w:val="21"/>
          <w:szCs w:val="21"/>
          <w:highlight w:val="none"/>
        </w:rPr>
        <w:t xml:space="preserve">                  </w:t>
      </w:r>
      <w:r>
        <w:rPr>
          <w:rFonts w:hint="eastAsia" w:ascii="宋体" w:hAnsi="宋体" w:eastAsia="宋体" w:cs="宋体"/>
          <w:b/>
          <w:bCs/>
          <w:kern w:val="21"/>
          <w:sz w:val="28"/>
          <w:szCs w:val="28"/>
          <w:highlight w:val="none"/>
        </w:rPr>
        <w:t xml:space="preserve">  （一）法定代表人身份证明书</w:t>
      </w:r>
    </w:p>
    <w:p>
      <w:pPr>
        <w:spacing w:line="520" w:lineRule="atLeast"/>
        <w:ind w:firstLine="420" w:firstLineChars="200"/>
        <w:rPr>
          <w:rFonts w:hint="eastAsia" w:ascii="宋体" w:hAnsi="宋体" w:eastAsia="宋体" w:cs="宋体"/>
          <w:kern w:val="21"/>
          <w:szCs w:val="21"/>
          <w:highlight w:val="none"/>
          <w:u w:val="single"/>
        </w:rPr>
      </w:pPr>
      <w:r>
        <w:rPr>
          <w:rFonts w:hint="eastAsia" w:ascii="宋体" w:hAnsi="宋体" w:eastAsia="宋体" w:cs="宋体"/>
          <w:kern w:val="21"/>
          <w:szCs w:val="21"/>
          <w:highlight w:val="none"/>
        </w:rPr>
        <w:t>单位名称：</w:t>
      </w:r>
      <w:r>
        <w:rPr>
          <w:rFonts w:hint="eastAsia" w:ascii="宋体" w:hAnsi="宋体" w:eastAsia="宋体" w:cs="宋体"/>
          <w:kern w:val="21"/>
          <w:szCs w:val="21"/>
          <w:highlight w:val="none"/>
          <w:u w:val="single"/>
        </w:rPr>
        <w:t xml:space="preserve">                 </w:t>
      </w:r>
    </w:p>
    <w:p>
      <w:pPr>
        <w:spacing w:line="520" w:lineRule="atLeast"/>
        <w:ind w:firstLine="420" w:firstLineChars="200"/>
        <w:rPr>
          <w:rFonts w:hint="eastAsia" w:ascii="宋体" w:hAnsi="宋体" w:eastAsia="宋体" w:cs="宋体"/>
          <w:kern w:val="21"/>
          <w:szCs w:val="21"/>
          <w:highlight w:val="none"/>
          <w:u w:val="single"/>
        </w:rPr>
      </w:pPr>
      <w:r>
        <w:rPr>
          <w:rFonts w:hint="eastAsia" w:ascii="宋体" w:hAnsi="宋体" w:eastAsia="宋体" w:cs="宋体"/>
          <w:kern w:val="21"/>
          <w:szCs w:val="21"/>
          <w:highlight w:val="none"/>
        </w:rPr>
        <w:t>地 址：</w:t>
      </w:r>
      <w:r>
        <w:rPr>
          <w:rFonts w:hint="eastAsia" w:ascii="宋体" w:hAnsi="宋体" w:eastAsia="宋体" w:cs="宋体"/>
          <w:kern w:val="21"/>
          <w:szCs w:val="21"/>
          <w:highlight w:val="none"/>
          <w:u w:val="single"/>
        </w:rPr>
        <w:t xml:space="preserve">                   </w:t>
      </w:r>
    </w:p>
    <w:p>
      <w:pPr>
        <w:spacing w:line="520" w:lineRule="atLeast"/>
        <w:ind w:firstLine="420" w:firstLineChars="200"/>
        <w:rPr>
          <w:rFonts w:hint="eastAsia" w:ascii="宋体" w:hAnsi="宋体" w:eastAsia="宋体" w:cs="宋体"/>
          <w:kern w:val="21"/>
          <w:szCs w:val="21"/>
          <w:highlight w:val="none"/>
          <w:u w:val="single"/>
        </w:rPr>
      </w:pPr>
      <w:r>
        <w:rPr>
          <w:rFonts w:hint="eastAsia" w:ascii="宋体" w:hAnsi="宋体" w:eastAsia="宋体" w:cs="宋体"/>
          <w:kern w:val="21"/>
          <w:szCs w:val="21"/>
          <w:highlight w:val="none"/>
        </w:rPr>
        <w:t>成立时间：</w:t>
      </w:r>
      <w:r>
        <w:rPr>
          <w:rFonts w:hint="eastAsia" w:ascii="宋体" w:hAnsi="宋体" w:eastAsia="宋体" w:cs="宋体"/>
          <w:kern w:val="21"/>
          <w:szCs w:val="21"/>
          <w:highlight w:val="none"/>
          <w:u w:val="single"/>
        </w:rPr>
        <w:t xml:space="preserve">     年      月      日</w:t>
      </w:r>
    </w:p>
    <w:p>
      <w:pPr>
        <w:spacing w:line="520" w:lineRule="atLeast"/>
        <w:ind w:firstLine="420" w:firstLineChars="200"/>
        <w:rPr>
          <w:rFonts w:hint="eastAsia" w:ascii="宋体" w:hAnsi="宋体" w:eastAsia="宋体" w:cs="宋体"/>
          <w:kern w:val="21"/>
          <w:szCs w:val="21"/>
          <w:highlight w:val="none"/>
          <w:u w:val="single"/>
        </w:rPr>
      </w:pPr>
      <w:r>
        <w:rPr>
          <w:rFonts w:hint="eastAsia" w:ascii="宋体" w:hAnsi="宋体" w:eastAsia="宋体" w:cs="宋体"/>
          <w:kern w:val="21"/>
          <w:szCs w:val="21"/>
          <w:highlight w:val="none"/>
        </w:rPr>
        <w:t>经营期限：</w:t>
      </w:r>
      <w:r>
        <w:rPr>
          <w:rFonts w:hint="eastAsia" w:ascii="宋体" w:hAnsi="宋体" w:eastAsia="宋体" w:cs="宋体"/>
          <w:kern w:val="21"/>
          <w:szCs w:val="21"/>
          <w:highlight w:val="none"/>
          <w:u w:val="single"/>
        </w:rPr>
        <w:t xml:space="preserve">                  </w:t>
      </w:r>
    </w:p>
    <w:p>
      <w:pPr>
        <w:spacing w:line="520" w:lineRule="atLeast"/>
        <w:ind w:firstLine="420" w:firstLineChars="200"/>
        <w:rPr>
          <w:rFonts w:hint="eastAsia" w:ascii="宋体" w:hAnsi="宋体" w:eastAsia="宋体" w:cs="宋体"/>
          <w:kern w:val="21"/>
          <w:szCs w:val="21"/>
          <w:highlight w:val="none"/>
          <w:u w:val="single"/>
        </w:rPr>
      </w:pPr>
      <w:r>
        <w:rPr>
          <w:rFonts w:hint="eastAsia" w:ascii="宋体" w:hAnsi="宋体" w:eastAsia="宋体" w:cs="宋体"/>
          <w:kern w:val="21"/>
          <w:szCs w:val="21"/>
          <w:highlight w:val="none"/>
        </w:rPr>
        <w:t>姓 名：</w:t>
      </w:r>
      <w:r>
        <w:rPr>
          <w:rFonts w:hint="eastAsia" w:ascii="宋体" w:hAnsi="宋体" w:eastAsia="宋体" w:cs="宋体"/>
          <w:kern w:val="21"/>
          <w:szCs w:val="21"/>
          <w:highlight w:val="none"/>
          <w:u w:val="single"/>
        </w:rPr>
        <w:t xml:space="preserve">          </w:t>
      </w:r>
      <w:r>
        <w:rPr>
          <w:rFonts w:hint="eastAsia" w:ascii="宋体" w:hAnsi="宋体" w:eastAsia="宋体" w:cs="宋体"/>
          <w:kern w:val="21"/>
          <w:szCs w:val="21"/>
          <w:highlight w:val="none"/>
        </w:rPr>
        <w:t xml:space="preserve">  性别：</w:t>
      </w:r>
      <w:r>
        <w:rPr>
          <w:rFonts w:hint="eastAsia" w:ascii="宋体" w:hAnsi="宋体" w:eastAsia="宋体" w:cs="宋体"/>
          <w:kern w:val="21"/>
          <w:szCs w:val="21"/>
          <w:highlight w:val="none"/>
          <w:u w:val="single"/>
        </w:rPr>
        <w:t xml:space="preserve">          </w:t>
      </w:r>
      <w:r>
        <w:rPr>
          <w:rFonts w:hint="eastAsia" w:ascii="宋体" w:hAnsi="宋体" w:eastAsia="宋体" w:cs="宋体"/>
          <w:kern w:val="21"/>
          <w:szCs w:val="21"/>
          <w:highlight w:val="none"/>
        </w:rPr>
        <w:t>年龄：</w:t>
      </w:r>
      <w:r>
        <w:rPr>
          <w:rFonts w:hint="eastAsia" w:ascii="宋体" w:hAnsi="宋体" w:eastAsia="宋体" w:cs="宋体"/>
          <w:kern w:val="21"/>
          <w:szCs w:val="21"/>
          <w:highlight w:val="none"/>
          <w:u w:val="single"/>
        </w:rPr>
        <w:t xml:space="preserve">        </w:t>
      </w:r>
      <w:r>
        <w:rPr>
          <w:rFonts w:hint="eastAsia" w:ascii="宋体" w:hAnsi="宋体" w:eastAsia="宋体" w:cs="宋体"/>
          <w:kern w:val="21"/>
          <w:szCs w:val="21"/>
          <w:highlight w:val="none"/>
        </w:rPr>
        <w:t xml:space="preserve"> 职务：</w:t>
      </w:r>
      <w:r>
        <w:rPr>
          <w:rFonts w:hint="eastAsia" w:ascii="宋体" w:hAnsi="宋体" w:eastAsia="宋体" w:cs="宋体"/>
          <w:kern w:val="21"/>
          <w:szCs w:val="21"/>
          <w:highlight w:val="none"/>
          <w:u w:val="single"/>
        </w:rPr>
        <w:t xml:space="preserve">               </w:t>
      </w:r>
    </w:p>
    <w:p>
      <w:pPr>
        <w:spacing w:line="520" w:lineRule="atLeast"/>
        <w:ind w:firstLine="420" w:firstLineChars="200"/>
        <w:rPr>
          <w:rFonts w:hint="eastAsia" w:ascii="宋体" w:hAnsi="宋体" w:eastAsia="宋体" w:cs="宋体"/>
          <w:kern w:val="21"/>
          <w:szCs w:val="21"/>
          <w:highlight w:val="none"/>
        </w:rPr>
      </w:pPr>
      <w:r>
        <w:rPr>
          <w:rFonts w:hint="eastAsia" w:ascii="宋体" w:hAnsi="宋体" w:eastAsia="宋体" w:cs="宋体"/>
          <w:kern w:val="21"/>
          <w:szCs w:val="21"/>
          <w:highlight w:val="none"/>
        </w:rPr>
        <w:t xml:space="preserve">系 </w:t>
      </w:r>
      <w:r>
        <w:rPr>
          <w:rFonts w:hint="eastAsia" w:ascii="宋体" w:hAnsi="宋体" w:eastAsia="宋体" w:cs="宋体"/>
          <w:kern w:val="21"/>
          <w:szCs w:val="21"/>
          <w:highlight w:val="none"/>
          <w:u w:val="single"/>
        </w:rPr>
        <w:t xml:space="preserve">                    （</w:t>
      </w:r>
      <w:r>
        <w:rPr>
          <w:rFonts w:hint="eastAsia" w:ascii="宋体" w:hAnsi="宋体" w:eastAsia="宋体" w:cs="宋体"/>
          <w:kern w:val="21"/>
          <w:szCs w:val="21"/>
          <w:highlight w:val="none"/>
          <w:u w:val="single"/>
          <w:lang w:eastAsia="zh-CN"/>
        </w:rPr>
        <w:t>供应商</w:t>
      </w:r>
      <w:r>
        <w:rPr>
          <w:rFonts w:hint="eastAsia" w:ascii="宋体" w:hAnsi="宋体" w:eastAsia="宋体" w:cs="宋体"/>
          <w:kern w:val="21"/>
          <w:szCs w:val="21"/>
          <w:highlight w:val="none"/>
          <w:u w:val="single"/>
        </w:rPr>
        <w:t xml:space="preserve">单位名称） </w:t>
      </w:r>
      <w:r>
        <w:rPr>
          <w:rFonts w:hint="eastAsia" w:ascii="宋体" w:hAnsi="宋体" w:eastAsia="宋体" w:cs="宋体"/>
          <w:kern w:val="21"/>
          <w:szCs w:val="21"/>
          <w:highlight w:val="none"/>
        </w:rPr>
        <w:t>的法定代表人。</w:t>
      </w:r>
    </w:p>
    <w:p>
      <w:pPr>
        <w:spacing w:line="520" w:lineRule="atLeast"/>
        <w:ind w:firstLine="420" w:firstLineChars="200"/>
        <w:rPr>
          <w:rFonts w:hint="eastAsia" w:ascii="宋体" w:hAnsi="宋体" w:eastAsia="宋体" w:cs="宋体"/>
          <w:kern w:val="21"/>
          <w:szCs w:val="21"/>
          <w:highlight w:val="none"/>
        </w:rPr>
      </w:pPr>
      <w:r>
        <w:rPr>
          <w:rFonts w:hint="eastAsia" w:ascii="宋体" w:hAnsi="宋体" w:eastAsia="宋体" w:cs="宋体"/>
          <w:kern w:val="21"/>
          <w:szCs w:val="21"/>
          <w:highlight w:val="none"/>
        </w:rPr>
        <w:t>特此证明。</w:t>
      </w:r>
    </w:p>
    <w:p>
      <w:pPr>
        <w:spacing w:line="520" w:lineRule="atLeast"/>
        <w:ind w:firstLine="420" w:firstLineChars="200"/>
        <w:rPr>
          <w:rFonts w:hint="eastAsia" w:ascii="宋体" w:hAnsi="宋体" w:eastAsia="宋体" w:cs="宋体"/>
          <w:kern w:val="21"/>
          <w:szCs w:val="21"/>
          <w:highlight w:val="none"/>
        </w:rPr>
      </w:pPr>
    </w:p>
    <w:p>
      <w:pPr>
        <w:spacing w:line="520" w:lineRule="atLeast"/>
        <w:rPr>
          <w:rFonts w:hint="eastAsia" w:ascii="宋体" w:hAnsi="宋体" w:eastAsia="宋体" w:cs="宋体"/>
          <w:kern w:val="21"/>
          <w:szCs w:val="21"/>
          <w:highlight w:val="none"/>
        </w:rPr>
      </w:pPr>
    </w:p>
    <w:tbl>
      <w:tblPr>
        <w:tblStyle w:val="16"/>
        <w:tblpPr w:leftFromText="180" w:rightFromText="180" w:vertAnchor="text" w:horzAnchor="page" w:tblpX="1702"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150" w:type="dxa"/>
            <w:noWrap w:val="0"/>
            <w:vAlign w:val="center"/>
          </w:tcPr>
          <w:p>
            <w:pPr>
              <w:spacing w:line="520" w:lineRule="atLeast"/>
              <w:rPr>
                <w:rFonts w:hint="eastAsia" w:ascii="宋体" w:hAnsi="宋体" w:eastAsia="宋体" w:cs="宋体"/>
                <w:kern w:val="21"/>
                <w:szCs w:val="21"/>
                <w:highlight w:val="none"/>
              </w:rPr>
            </w:pPr>
            <w:r>
              <w:rPr>
                <w:rFonts w:hint="eastAsia" w:ascii="宋体" w:hAnsi="宋体" w:eastAsia="宋体" w:cs="宋体"/>
                <w:kern w:val="21"/>
                <w:szCs w:val="21"/>
                <w:highlight w:val="none"/>
              </w:rPr>
              <w:t>此处为法定代表人身份证复印件正面</w:t>
            </w:r>
          </w:p>
        </w:tc>
      </w:tr>
    </w:tbl>
    <w:tbl>
      <w:tblPr>
        <w:tblStyle w:val="16"/>
        <w:tblpPr w:leftFromText="180" w:rightFromText="180" w:vertAnchor="text" w:horzAnchor="page" w:tblpX="6322" w:tblpY="3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4135" w:type="dxa"/>
            <w:noWrap w:val="0"/>
            <w:vAlign w:val="center"/>
          </w:tcPr>
          <w:p>
            <w:pPr>
              <w:spacing w:line="520" w:lineRule="atLeast"/>
              <w:rPr>
                <w:rFonts w:hint="eastAsia" w:ascii="宋体" w:hAnsi="宋体" w:eastAsia="宋体" w:cs="宋体"/>
                <w:kern w:val="21"/>
                <w:szCs w:val="21"/>
                <w:highlight w:val="none"/>
              </w:rPr>
            </w:pPr>
            <w:r>
              <w:rPr>
                <w:rFonts w:hint="eastAsia" w:ascii="宋体" w:hAnsi="宋体" w:eastAsia="宋体" w:cs="宋体"/>
                <w:kern w:val="21"/>
                <w:szCs w:val="21"/>
                <w:highlight w:val="none"/>
              </w:rPr>
              <w:t>此处为法定代表人身份证复印件反面</w:t>
            </w:r>
          </w:p>
        </w:tc>
      </w:tr>
    </w:tbl>
    <w:p>
      <w:pPr>
        <w:spacing w:line="520" w:lineRule="atLeast"/>
        <w:ind w:firstLine="420" w:firstLineChars="200"/>
        <w:rPr>
          <w:rFonts w:hint="eastAsia" w:ascii="宋体" w:hAnsi="宋体" w:eastAsia="宋体" w:cs="宋体"/>
          <w:kern w:val="21"/>
          <w:szCs w:val="21"/>
          <w:highlight w:val="none"/>
        </w:rPr>
      </w:pPr>
    </w:p>
    <w:p>
      <w:pPr>
        <w:spacing w:line="520" w:lineRule="atLeast"/>
        <w:ind w:firstLine="420" w:firstLineChars="200"/>
        <w:rPr>
          <w:rFonts w:hint="eastAsia" w:ascii="宋体" w:hAnsi="宋体" w:eastAsia="宋体" w:cs="宋体"/>
          <w:kern w:val="21"/>
          <w:szCs w:val="21"/>
          <w:highlight w:val="none"/>
          <w:u w:val="single"/>
        </w:rPr>
      </w:pPr>
      <w:r>
        <w:rPr>
          <w:rFonts w:hint="eastAsia" w:ascii="宋体" w:hAnsi="宋体" w:eastAsia="宋体" w:cs="宋体"/>
          <w:kern w:val="21"/>
          <w:szCs w:val="21"/>
          <w:highlight w:val="none"/>
          <w:lang w:eastAsia="zh-CN"/>
        </w:rPr>
        <w:t>供应商</w:t>
      </w:r>
      <w:r>
        <w:rPr>
          <w:rFonts w:hint="eastAsia" w:ascii="宋体" w:hAnsi="宋体" w:eastAsia="宋体" w:cs="宋体"/>
          <w:kern w:val="21"/>
          <w:szCs w:val="21"/>
          <w:highlight w:val="none"/>
        </w:rPr>
        <w:t xml:space="preserve">： </w:t>
      </w:r>
      <w:r>
        <w:rPr>
          <w:rFonts w:hint="eastAsia" w:ascii="宋体" w:hAnsi="宋体" w:eastAsia="宋体" w:cs="宋体"/>
          <w:kern w:val="21"/>
          <w:szCs w:val="21"/>
          <w:highlight w:val="none"/>
          <w:u w:val="single"/>
        </w:rPr>
        <w:t xml:space="preserve">                  </w:t>
      </w:r>
      <w:r>
        <w:rPr>
          <w:rFonts w:hint="eastAsia" w:ascii="宋体" w:hAnsi="宋体" w:eastAsia="宋体" w:cs="宋体"/>
          <w:kern w:val="21"/>
          <w:szCs w:val="21"/>
          <w:highlight w:val="none"/>
        </w:rPr>
        <w:t>（</w:t>
      </w:r>
      <w:r>
        <w:rPr>
          <w:rFonts w:hint="eastAsia" w:ascii="宋体" w:hAnsi="宋体" w:eastAsia="宋体" w:cs="宋体"/>
          <w:bCs/>
          <w:highlight w:val="none"/>
          <w:lang w:val="en-US" w:eastAsia="zh-CN"/>
        </w:rPr>
        <w:t>电子签</w:t>
      </w:r>
      <w:r>
        <w:rPr>
          <w:rFonts w:hint="eastAsia" w:ascii="宋体" w:hAnsi="宋体" w:eastAsia="宋体" w:cs="宋体"/>
          <w:bCs/>
          <w:highlight w:val="none"/>
        </w:rPr>
        <w:t>章</w:t>
      </w:r>
      <w:r>
        <w:rPr>
          <w:rFonts w:hint="eastAsia" w:ascii="宋体" w:hAnsi="宋体" w:eastAsia="宋体" w:cs="宋体"/>
          <w:kern w:val="21"/>
          <w:szCs w:val="21"/>
          <w:highlight w:val="none"/>
        </w:rPr>
        <w:t>）</w:t>
      </w:r>
      <w:r>
        <w:rPr>
          <w:rFonts w:hint="eastAsia" w:ascii="宋体" w:hAnsi="宋体" w:eastAsia="宋体" w:cs="宋体"/>
          <w:highlight w:val="none"/>
        </w:rPr>
        <w:t xml:space="preserve">  </w:t>
      </w:r>
    </w:p>
    <w:p>
      <w:pPr>
        <w:spacing w:line="520" w:lineRule="atLeast"/>
        <w:ind w:firstLine="420" w:firstLineChars="200"/>
        <w:rPr>
          <w:rFonts w:hint="eastAsia" w:ascii="宋体" w:hAnsi="宋体" w:eastAsia="宋体" w:cs="宋体"/>
          <w:kern w:val="21"/>
          <w:szCs w:val="21"/>
          <w:highlight w:val="none"/>
        </w:rPr>
      </w:pPr>
      <w:r>
        <w:rPr>
          <w:rFonts w:hint="eastAsia" w:ascii="宋体" w:hAnsi="宋体" w:eastAsia="宋体" w:cs="宋体"/>
          <w:kern w:val="21"/>
          <w:szCs w:val="21"/>
          <w:highlight w:val="none"/>
        </w:rPr>
        <w:t>日 期：  年     月    日</w:t>
      </w:r>
    </w:p>
    <w:p>
      <w:pPr>
        <w:pStyle w:val="6"/>
        <w:ind w:firstLine="0" w:firstLineChars="0"/>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adjustRightInd w:val="0"/>
        <w:snapToGrid w:val="0"/>
        <w:spacing w:line="520" w:lineRule="atLeast"/>
        <w:rPr>
          <w:rFonts w:hint="eastAsia" w:ascii="宋体" w:hAnsi="宋体" w:eastAsia="宋体" w:cs="宋体"/>
          <w:b/>
          <w:szCs w:val="21"/>
          <w:highlight w:val="none"/>
        </w:rPr>
      </w:pPr>
      <w:r>
        <w:rPr>
          <w:rFonts w:hint="eastAsia" w:ascii="宋体" w:hAnsi="宋体" w:eastAsia="宋体" w:cs="宋体"/>
          <w:b/>
          <w:szCs w:val="21"/>
          <w:highlight w:val="none"/>
        </w:rPr>
        <w:t>注：法定代表人参加的只需出具法定代表人身份证明书。</w:t>
      </w:r>
    </w:p>
    <w:p>
      <w:pPr>
        <w:adjustRightInd w:val="0"/>
        <w:snapToGrid w:val="0"/>
        <w:spacing w:line="520" w:lineRule="atLeast"/>
        <w:ind w:firstLine="482" w:firstLineChars="200"/>
        <w:rPr>
          <w:rFonts w:hint="eastAsia" w:ascii="宋体" w:hAnsi="宋体" w:eastAsia="宋体" w:cs="宋体"/>
          <w:b/>
          <w:sz w:val="24"/>
          <w:highlight w:val="none"/>
        </w:rPr>
      </w:pPr>
    </w:p>
    <w:p>
      <w:pPr>
        <w:pStyle w:val="7"/>
        <w:ind w:left="0" w:leftChars="0" w:firstLine="0" w:firstLineChars="0"/>
        <w:rPr>
          <w:rFonts w:hint="eastAsia" w:ascii="宋体" w:hAnsi="宋体" w:eastAsia="宋体" w:cs="宋体"/>
          <w:b/>
          <w:sz w:val="24"/>
          <w:highlight w:val="none"/>
        </w:rPr>
      </w:pPr>
    </w:p>
    <w:p>
      <w:pPr>
        <w:pStyle w:val="7"/>
        <w:ind w:left="0" w:leftChars="0" w:firstLine="0" w:firstLineChars="0"/>
        <w:rPr>
          <w:rFonts w:hint="eastAsia" w:ascii="宋体" w:hAnsi="宋体" w:eastAsia="宋体" w:cs="宋体"/>
          <w:b/>
          <w:sz w:val="24"/>
          <w:highlight w:val="none"/>
        </w:rPr>
      </w:pPr>
    </w:p>
    <w:p>
      <w:pPr>
        <w:spacing w:line="520" w:lineRule="atLeast"/>
        <w:jc w:val="center"/>
        <w:outlineLvl w:val="1"/>
        <w:rPr>
          <w:rFonts w:hint="eastAsia" w:ascii="宋体" w:hAnsi="宋体" w:eastAsia="宋体" w:cs="宋体"/>
          <w:b/>
          <w:bCs/>
          <w:kern w:val="21"/>
          <w:sz w:val="30"/>
          <w:szCs w:val="30"/>
          <w:highlight w:val="none"/>
        </w:rPr>
      </w:pPr>
      <w:bookmarkStart w:id="589" w:name="_Toc31170"/>
      <w:r>
        <w:rPr>
          <w:rFonts w:hint="eastAsia" w:ascii="宋体" w:hAnsi="宋体" w:eastAsia="宋体" w:cs="宋体"/>
          <w:b/>
          <w:bCs/>
          <w:kern w:val="21"/>
          <w:sz w:val="30"/>
          <w:szCs w:val="30"/>
          <w:highlight w:val="none"/>
        </w:rPr>
        <w:t>（二）法定代表人授权委托书</w:t>
      </w:r>
      <w:bookmarkEnd w:id="589"/>
    </w:p>
    <w:p>
      <w:pPr>
        <w:pStyle w:val="7"/>
        <w:ind w:firstLine="482"/>
        <w:rPr>
          <w:rFonts w:hint="eastAsia" w:ascii="宋体" w:hAnsi="宋体" w:eastAsia="宋体" w:cs="宋体"/>
          <w:b/>
          <w:sz w:val="24"/>
          <w:highlight w:val="none"/>
        </w:rPr>
      </w:pPr>
    </w:p>
    <w:p>
      <w:pPr>
        <w:adjustRightInd w:val="0"/>
        <w:snapToGrid w:val="0"/>
        <w:spacing w:line="520" w:lineRule="atLeast"/>
        <w:rPr>
          <w:rFonts w:hint="eastAsia" w:ascii="宋体" w:hAnsi="宋体" w:eastAsia="宋体" w:cs="宋体"/>
          <w:b/>
          <w:bCs/>
          <w:szCs w:val="21"/>
          <w:highlight w:val="none"/>
        </w:rPr>
      </w:pPr>
      <w:r>
        <w:rPr>
          <w:rFonts w:hint="eastAsia" w:ascii="宋体" w:hAnsi="宋体" w:eastAsia="宋体" w:cs="宋体"/>
          <w:bCs/>
          <w:szCs w:val="21"/>
          <w:highlight w:val="none"/>
        </w:rPr>
        <w:t>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（采购单位名称）</w:t>
      </w:r>
      <w:r>
        <w:rPr>
          <w:rFonts w:hint="eastAsia" w:ascii="宋体" w:hAnsi="宋体" w:eastAsia="宋体" w:cs="宋体"/>
          <w:b/>
          <w:bCs/>
          <w:szCs w:val="21"/>
          <w:highlight w:val="none"/>
        </w:rPr>
        <w:t xml:space="preserve"> </w:t>
      </w:r>
      <w:r>
        <w:rPr>
          <w:rFonts w:hint="eastAsia" w:ascii="宋体" w:hAnsi="宋体" w:eastAsia="宋体" w:cs="宋体"/>
          <w:szCs w:val="21"/>
          <w:highlight w:val="none"/>
        </w:rPr>
        <w:t>：</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（磋商供应商名称）的法定代表人，现授权委托本单位在职职工</w:t>
      </w:r>
      <w:r>
        <w:rPr>
          <w:rFonts w:hint="eastAsia" w:ascii="宋体" w:hAnsi="宋体" w:eastAsia="宋体" w:cs="宋体"/>
          <w:szCs w:val="21"/>
          <w:highlight w:val="none"/>
          <w:u w:val="single"/>
        </w:rPr>
        <w:t xml:space="preserve">      （姓名）</w:t>
      </w:r>
      <w:r>
        <w:rPr>
          <w:rFonts w:hint="eastAsia" w:ascii="宋体" w:hAnsi="宋体" w:eastAsia="宋体" w:cs="宋体"/>
          <w:szCs w:val="21"/>
          <w:highlight w:val="none"/>
        </w:rPr>
        <w:t>以我方的名义参加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项目的磋商活动，并代表我方全权办理针对上述项目的磋商、评审、签约等具体事务和签署相关文件。</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我方对被授权人的签名负全部责任。</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在撤销授权的书面通知以前，本授权书一直有效。被授权人在授权书有效期内签署的所有文件不因授权的撤销而失效。</w:t>
      </w:r>
    </w:p>
    <w:p>
      <w:pPr>
        <w:adjustRightInd w:val="0"/>
        <w:snapToGrid w:val="0"/>
        <w:spacing w:line="5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被授权人无转委托权，特此委托。</w:t>
      </w:r>
    </w:p>
    <w:p>
      <w:pPr>
        <w:pStyle w:val="4"/>
        <w:keepNext w:val="0"/>
        <w:keepLines w:val="0"/>
        <w:numPr>
          <w:ilvl w:val="0"/>
          <w:numId w:val="0"/>
        </w:numPr>
        <w:adjustRightInd w:val="0"/>
        <w:snapToGrid w:val="0"/>
        <w:ind w:left="864" w:hanging="864"/>
        <w:rPr>
          <w:rFonts w:hint="eastAsia" w:ascii="宋体" w:hAnsi="宋体" w:eastAsia="宋体" w:cs="宋体"/>
          <w:szCs w:val="24"/>
          <w:highlight w:val="none"/>
        </w:rPr>
      </w:pPr>
    </w:p>
    <w:p>
      <w:pPr>
        <w:adjustRightInd w:val="0"/>
        <w:snapToGrid w:val="0"/>
        <w:spacing w:line="520" w:lineRule="atLeast"/>
        <w:ind w:firstLine="420" w:firstLineChars="200"/>
        <w:rPr>
          <w:rFonts w:hint="eastAsia" w:ascii="宋体" w:hAnsi="宋体" w:eastAsia="宋体" w:cs="宋体"/>
          <w:szCs w:val="21"/>
          <w:highlight w:val="none"/>
          <w:u w:val="single"/>
          <w:lang w:val="en-US" w:eastAsia="zh-CN"/>
        </w:rPr>
      </w:pPr>
      <w:r>
        <w:rPr>
          <w:rFonts w:hint="eastAsia" w:ascii="宋体" w:hAnsi="宋体" w:eastAsia="宋体" w:cs="宋体"/>
          <w:szCs w:val="21"/>
          <w:highlight w:val="none"/>
        </w:rPr>
        <w:t>供应商（</w:t>
      </w:r>
      <w:r>
        <w:rPr>
          <w:rFonts w:hint="eastAsia" w:ascii="宋体" w:hAnsi="宋体" w:eastAsia="宋体" w:cs="宋体"/>
          <w:szCs w:val="21"/>
          <w:highlight w:val="none"/>
          <w:lang w:val="en-US" w:eastAsia="zh-CN"/>
        </w:rPr>
        <w:t>电子签</w:t>
      </w:r>
      <w:r>
        <w:rPr>
          <w:rFonts w:hint="eastAsia" w:ascii="宋体" w:hAnsi="宋体" w:eastAsia="宋体" w:cs="宋体"/>
          <w:szCs w:val="21"/>
          <w:highlight w:val="none"/>
        </w:rPr>
        <w:t>章）：</w:t>
      </w:r>
      <w:r>
        <w:rPr>
          <w:rFonts w:hint="eastAsia" w:ascii="宋体" w:hAnsi="宋体" w:eastAsia="宋体" w:cs="宋体"/>
          <w:szCs w:val="21"/>
          <w:highlight w:val="none"/>
          <w:u w:val="single"/>
          <w:lang w:val="en-US" w:eastAsia="zh-CN"/>
        </w:rPr>
        <w:t xml:space="preserve">                 </w:t>
      </w:r>
    </w:p>
    <w:p>
      <w:pPr>
        <w:adjustRightInd w:val="0"/>
        <w:snapToGrid w:val="0"/>
        <w:spacing w:line="520" w:lineRule="atLeas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法定代表人（签字或</w:t>
      </w:r>
      <w:r>
        <w:rPr>
          <w:rFonts w:hint="eastAsia" w:ascii="宋体" w:hAnsi="宋体" w:eastAsia="宋体" w:cs="宋体"/>
          <w:szCs w:val="21"/>
          <w:highlight w:val="none"/>
          <w:lang w:val="en-US" w:eastAsia="zh-CN"/>
        </w:rPr>
        <w:t>电子签</w:t>
      </w:r>
      <w:r>
        <w:rPr>
          <w:rFonts w:hint="eastAsia" w:ascii="宋体" w:hAnsi="宋体" w:eastAsia="宋体" w:cs="宋体"/>
          <w:szCs w:val="21"/>
          <w:highlight w:val="none"/>
        </w:rPr>
        <w:t>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pPr>
        <w:adjustRightInd w:val="0"/>
        <w:snapToGrid w:val="0"/>
        <w:spacing w:line="520" w:lineRule="atLeast"/>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被授权人（签字或盖章）：</w:t>
      </w:r>
      <w:r>
        <w:rPr>
          <w:rFonts w:hint="eastAsia" w:ascii="宋体" w:hAnsi="宋体" w:eastAsia="宋体" w:cs="宋体"/>
          <w:szCs w:val="21"/>
          <w:highlight w:val="none"/>
          <w:u w:val="single"/>
        </w:rPr>
        <w:t xml:space="preserve">           </w:t>
      </w:r>
    </w:p>
    <w:p>
      <w:pPr>
        <w:adjustRightInd w:val="0"/>
        <w:snapToGrid w:val="0"/>
        <w:spacing w:line="520" w:lineRule="atLeast"/>
        <w:ind w:firstLine="420" w:firstLineChars="200"/>
        <w:jc w:val="left"/>
        <w:rPr>
          <w:rFonts w:hint="eastAsia" w:ascii="宋体" w:hAnsi="宋体" w:eastAsia="宋体" w:cs="宋体"/>
          <w:szCs w:val="21"/>
          <w:highlight w:val="none"/>
        </w:rPr>
      </w:pPr>
    </w:p>
    <w:p>
      <w:pPr>
        <w:adjustRightInd w:val="0"/>
        <w:snapToGrid w:val="0"/>
        <w:spacing w:line="520" w:lineRule="atLeast"/>
        <w:ind w:firstLine="4830" w:firstLineChars="2300"/>
        <w:rPr>
          <w:rFonts w:hint="eastAsia" w:ascii="宋体" w:hAnsi="宋体" w:eastAsia="宋体" w:cs="宋体"/>
          <w:szCs w:val="21"/>
          <w:highlight w:val="none"/>
        </w:rPr>
      </w:pPr>
      <w:r>
        <w:rPr>
          <w:rFonts w:hint="eastAsia" w:ascii="宋体" w:hAnsi="宋体" w:eastAsia="宋体" w:cs="宋体"/>
          <w:szCs w:val="21"/>
          <w:highlight w:val="none"/>
        </w:rPr>
        <w:t>日期：    年    月    日</w:t>
      </w:r>
    </w:p>
    <w:p>
      <w:pPr>
        <w:adjustRightInd w:val="0"/>
        <w:snapToGrid w:val="0"/>
        <w:spacing w:line="520" w:lineRule="atLeast"/>
        <w:ind w:firstLine="420" w:firstLineChars="200"/>
        <w:rPr>
          <w:rFonts w:hint="eastAsia" w:ascii="宋体" w:hAnsi="宋体" w:eastAsia="宋体" w:cs="宋体"/>
          <w:kern w:val="0"/>
          <w:szCs w:val="21"/>
          <w:highlight w:val="none"/>
        </w:rPr>
      </w:pPr>
    </w:p>
    <w:p>
      <w:pPr>
        <w:adjustRightInd w:val="0"/>
        <w:snapToGrid w:val="0"/>
        <w:spacing w:line="520" w:lineRule="atLeast"/>
        <w:rPr>
          <w:rFonts w:hint="eastAsia" w:ascii="宋体" w:hAnsi="宋体" w:eastAsia="宋体" w:cs="宋体"/>
          <w:b/>
          <w:szCs w:val="21"/>
          <w:highlight w:val="none"/>
        </w:rPr>
      </w:pPr>
      <w:r>
        <w:rPr>
          <w:rFonts w:hint="eastAsia" w:ascii="宋体" w:hAnsi="宋体" w:eastAsia="宋体" w:cs="宋体"/>
          <w:b/>
          <w:szCs w:val="21"/>
          <w:highlight w:val="none"/>
        </w:rPr>
        <w:t>注：附法定代表人及被授权人身份证复印件，加盖公章有效。</w:t>
      </w:r>
    </w:p>
    <w:p>
      <w:pPr>
        <w:autoSpaceDE w:val="0"/>
        <w:autoSpaceDN w:val="0"/>
        <w:adjustRightInd w:val="0"/>
        <w:snapToGrid w:val="0"/>
        <w:spacing w:line="520" w:lineRule="atLeast"/>
        <w:rPr>
          <w:rFonts w:hint="eastAsia" w:ascii="宋体" w:hAnsi="宋体" w:eastAsia="宋体" w:cs="宋体"/>
          <w:kern w:val="0"/>
          <w:sz w:val="24"/>
          <w:highlight w:val="none"/>
        </w:rPr>
      </w:pPr>
    </w:p>
    <w:p>
      <w:pPr>
        <w:pStyle w:val="6"/>
        <w:ind w:firstLine="210"/>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ind w:left="0" w:leftChars="0" w:firstLine="0" w:firstLineChars="0"/>
        <w:rPr>
          <w:rFonts w:hint="eastAsia" w:ascii="宋体" w:hAnsi="宋体" w:eastAsia="宋体" w:cs="宋体"/>
          <w:highlight w:val="none"/>
        </w:rPr>
      </w:pPr>
    </w:p>
    <w:p>
      <w:pPr>
        <w:pStyle w:val="2"/>
        <w:numPr>
          <w:ilvl w:val="0"/>
          <w:numId w:val="0"/>
        </w:numPr>
        <w:jc w:val="center"/>
        <w:rPr>
          <w:rFonts w:hint="eastAsia" w:ascii="宋体" w:hAnsi="宋体" w:eastAsia="宋体" w:cs="宋体"/>
          <w:kern w:val="2"/>
          <w:sz w:val="28"/>
          <w:szCs w:val="28"/>
          <w:highlight w:val="none"/>
          <w:lang w:val="zh-CN" w:eastAsia="zh-CN"/>
        </w:rPr>
      </w:pPr>
      <w:bookmarkStart w:id="590" w:name="_Toc253"/>
      <w:r>
        <w:rPr>
          <w:rFonts w:hint="eastAsia" w:ascii="宋体" w:hAnsi="宋体" w:eastAsia="宋体" w:cs="宋体"/>
          <w:kern w:val="2"/>
          <w:sz w:val="28"/>
          <w:szCs w:val="28"/>
          <w:highlight w:val="none"/>
          <w:lang w:val="zh-CN" w:eastAsia="zh-CN"/>
        </w:rPr>
        <w:t>四、</w:t>
      </w:r>
      <w:bookmarkEnd w:id="590"/>
      <w:r>
        <w:rPr>
          <w:rFonts w:hint="eastAsia" w:ascii="宋体" w:hAnsi="宋体" w:eastAsia="宋体" w:cs="宋体"/>
          <w:kern w:val="2"/>
          <w:sz w:val="28"/>
          <w:szCs w:val="28"/>
          <w:highlight w:val="none"/>
          <w:lang w:val="zh-CN" w:eastAsia="zh-CN"/>
        </w:rPr>
        <w:t>供应商情况表</w:t>
      </w:r>
    </w:p>
    <w:tbl>
      <w:tblPr>
        <w:tblStyle w:val="16"/>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1262"/>
        <w:gridCol w:w="1983"/>
        <w:gridCol w:w="901"/>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091"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供应商名称</w:t>
            </w:r>
          </w:p>
        </w:tc>
        <w:tc>
          <w:tcPr>
            <w:tcW w:w="7208" w:type="dxa"/>
            <w:gridSpan w:val="4"/>
            <w:noWrap w:val="0"/>
            <w:vAlign w:val="center"/>
          </w:tcPr>
          <w:p>
            <w:pPr>
              <w:adjustRightInd w:val="0"/>
              <w:snapToGrid w:val="0"/>
              <w:spacing w:line="520" w:lineRule="atLeast"/>
              <w:ind w:firstLine="420" w:firstLineChars="20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091"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单位性质</w:t>
            </w:r>
          </w:p>
        </w:tc>
        <w:tc>
          <w:tcPr>
            <w:tcW w:w="7208" w:type="dxa"/>
            <w:gridSpan w:val="4"/>
            <w:noWrap w:val="0"/>
            <w:vAlign w:val="center"/>
          </w:tcPr>
          <w:p>
            <w:pPr>
              <w:adjustRightInd w:val="0"/>
              <w:snapToGrid w:val="0"/>
              <w:spacing w:line="520" w:lineRule="atLeast"/>
              <w:ind w:firstLine="420" w:firstLineChars="20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091"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7208" w:type="dxa"/>
            <w:gridSpan w:val="4"/>
            <w:noWrap w:val="0"/>
            <w:vAlign w:val="center"/>
          </w:tcPr>
          <w:p>
            <w:pPr>
              <w:adjustRightInd w:val="0"/>
              <w:snapToGrid w:val="0"/>
              <w:spacing w:line="520" w:lineRule="atLeast"/>
              <w:ind w:firstLine="420" w:firstLineChars="20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091"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营业期限</w:t>
            </w:r>
          </w:p>
        </w:tc>
        <w:tc>
          <w:tcPr>
            <w:tcW w:w="7208" w:type="dxa"/>
            <w:gridSpan w:val="4"/>
            <w:noWrap w:val="0"/>
            <w:vAlign w:val="center"/>
          </w:tcPr>
          <w:p>
            <w:pPr>
              <w:adjustRightInd w:val="0"/>
              <w:snapToGrid w:val="0"/>
              <w:spacing w:line="520" w:lineRule="atLeast"/>
              <w:ind w:firstLine="420" w:firstLineChars="20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091" w:type="dxa"/>
            <w:vMerge w:val="restart"/>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1262"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983" w:type="dxa"/>
            <w:noWrap w:val="0"/>
            <w:vAlign w:val="center"/>
          </w:tcPr>
          <w:p>
            <w:pPr>
              <w:adjustRightInd w:val="0"/>
              <w:snapToGrid w:val="0"/>
              <w:spacing w:line="520" w:lineRule="atLeast"/>
              <w:rPr>
                <w:rFonts w:hint="eastAsia" w:ascii="宋体" w:hAnsi="宋体" w:eastAsia="宋体" w:cs="宋体"/>
                <w:szCs w:val="21"/>
                <w:highlight w:val="none"/>
              </w:rPr>
            </w:pPr>
          </w:p>
        </w:tc>
        <w:tc>
          <w:tcPr>
            <w:tcW w:w="901"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3062" w:type="dxa"/>
            <w:noWrap w:val="0"/>
            <w:vAlign w:val="center"/>
          </w:tcPr>
          <w:p>
            <w:pPr>
              <w:adjustRightInd w:val="0"/>
              <w:snapToGrid w:val="0"/>
              <w:spacing w:line="520" w:lineRule="atLeas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091" w:type="dxa"/>
            <w:vMerge w:val="continue"/>
            <w:noWrap w:val="0"/>
            <w:vAlign w:val="center"/>
          </w:tcPr>
          <w:p>
            <w:pPr>
              <w:adjustRightInd w:val="0"/>
              <w:snapToGrid w:val="0"/>
              <w:spacing w:line="520" w:lineRule="atLeast"/>
              <w:jc w:val="center"/>
              <w:rPr>
                <w:rFonts w:hint="eastAsia" w:ascii="宋体" w:hAnsi="宋体" w:eastAsia="宋体" w:cs="宋体"/>
                <w:szCs w:val="21"/>
                <w:highlight w:val="none"/>
              </w:rPr>
            </w:pPr>
          </w:p>
        </w:tc>
        <w:tc>
          <w:tcPr>
            <w:tcW w:w="1262"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性别</w:t>
            </w:r>
          </w:p>
        </w:tc>
        <w:tc>
          <w:tcPr>
            <w:tcW w:w="1983" w:type="dxa"/>
            <w:noWrap w:val="0"/>
            <w:vAlign w:val="center"/>
          </w:tcPr>
          <w:p>
            <w:pPr>
              <w:adjustRightInd w:val="0"/>
              <w:snapToGrid w:val="0"/>
              <w:spacing w:line="520" w:lineRule="atLeast"/>
              <w:rPr>
                <w:rFonts w:hint="eastAsia" w:ascii="宋体" w:hAnsi="宋体" w:eastAsia="宋体" w:cs="宋体"/>
                <w:szCs w:val="21"/>
                <w:highlight w:val="none"/>
              </w:rPr>
            </w:pPr>
          </w:p>
        </w:tc>
        <w:tc>
          <w:tcPr>
            <w:tcW w:w="901"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年龄</w:t>
            </w:r>
          </w:p>
        </w:tc>
        <w:tc>
          <w:tcPr>
            <w:tcW w:w="3062" w:type="dxa"/>
            <w:noWrap w:val="0"/>
            <w:vAlign w:val="center"/>
          </w:tcPr>
          <w:p>
            <w:pPr>
              <w:adjustRightInd w:val="0"/>
              <w:snapToGrid w:val="0"/>
              <w:spacing w:line="520" w:lineRule="atLeas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091"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营业执照注册号</w:t>
            </w:r>
          </w:p>
        </w:tc>
        <w:tc>
          <w:tcPr>
            <w:tcW w:w="7208" w:type="dxa"/>
            <w:gridSpan w:val="4"/>
            <w:noWrap w:val="0"/>
            <w:vAlign w:val="center"/>
          </w:tcPr>
          <w:p>
            <w:pPr>
              <w:adjustRightInd w:val="0"/>
              <w:snapToGrid w:val="0"/>
              <w:spacing w:line="520" w:lineRule="atLeas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091" w:type="dxa"/>
            <w:noWrap w:val="0"/>
            <w:vAlign w:val="center"/>
          </w:tcPr>
          <w:p>
            <w:pPr>
              <w:adjustRightInd w:val="0"/>
              <w:snapToGrid w:val="0"/>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经营范围</w:t>
            </w:r>
          </w:p>
        </w:tc>
        <w:tc>
          <w:tcPr>
            <w:tcW w:w="7208" w:type="dxa"/>
            <w:gridSpan w:val="4"/>
            <w:noWrap w:val="0"/>
            <w:vAlign w:val="center"/>
          </w:tcPr>
          <w:p>
            <w:pPr>
              <w:adjustRightInd w:val="0"/>
              <w:snapToGrid w:val="0"/>
              <w:spacing w:line="520" w:lineRule="atLeast"/>
              <w:ind w:firstLine="420" w:firstLineChars="200"/>
              <w:jc w:val="center"/>
              <w:rPr>
                <w:rFonts w:hint="eastAsia" w:ascii="宋体" w:hAnsi="宋体" w:eastAsia="宋体" w:cs="宋体"/>
                <w:szCs w:val="21"/>
                <w:highlight w:val="none"/>
              </w:rPr>
            </w:pPr>
          </w:p>
        </w:tc>
      </w:tr>
    </w:tbl>
    <w:p>
      <w:pPr>
        <w:adjustRightInd w:val="0"/>
        <w:snapToGrid w:val="0"/>
        <w:spacing w:line="520" w:lineRule="atLeast"/>
        <w:jc w:val="left"/>
        <w:rPr>
          <w:rFonts w:hint="eastAsia" w:ascii="宋体" w:hAnsi="宋体" w:eastAsia="宋体" w:cs="宋体"/>
          <w:b/>
          <w:szCs w:val="21"/>
          <w:highlight w:val="none"/>
        </w:rPr>
      </w:pPr>
      <w:r>
        <w:rPr>
          <w:rFonts w:hint="eastAsia" w:ascii="宋体" w:hAnsi="宋体" w:eastAsia="宋体" w:cs="宋体"/>
          <w:b/>
          <w:szCs w:val="21"/>
          <w:highlight w:val="none"/>
        </w:rPr>
        <w:t>后附：营业执照、资质证书等，加盖公章有效。</w:t>
      </w:r>
    </w:p>
    <w:p>
      <w:pPr>
        <w:autoSpaceDE w:val="0"/>
        <w:autoSpaceDN w:val="0"/>
        <w:adjustRightInd w:val="0"/>
        <w:snapToGrid w:val="0"/>
        <w:spacing w:line="520" w:lineRule="atLeast"/>
        <w:rPr>
          <w:rFonts w:hint="eastAsia" w:ascii="宋体" w:hAnsi="宋体" w:eastAsia="宋体" w:cs="宋体"/>
          <w:b/>
          <w:szCs w:val="21"/>
          <w:highlight w:val="none"/>
          <w:lang w:val="zh-CN"/>
        </w:rPr>
      </w:pPr>
    </w:p>
    <w:p>
      <w:pPr>
        <w:autoSpaceDE w:val="0"/>
        <w:autoSpaceDN w:val="0"/>
        <w:adjustRightInd w:val="0"/>
        <w:snapToGrid w:val="0"/>
        <w:spacing w:line="520" w:lineRule="atLeast"/>
        <w:ind w:firstLine="3990" w:firstLineChars="1900"/>
        <w:rPr>
          <w:rFonts w:hint="eastAsia" w:ascii="宋体" w:hAnsi="宋体" w:eastAsia="宋体" w:cs="宋体"/>
          <w:szCs w:val="21"/>
          <w:highlight w:val="none"/>
          <w:u w:val="single"/>
          <w:lang w:val="zh-CN"/>
        </w:rPr>
      </w:pPr>
      <w:r>
        <w:rPr>
          <w:rFonts w:hint="eastAsia" w:ascii="宋体" w:hAnsi="宋体" w:eastAsia="宋体" w:cs="宋体"/>
          <w:szCs w:val="21"/>
          <w:highlight w:val="none"/>
          <w:lang w:val="zh-CN"/>
        </w:rPr>
        <w:t>供应商（</w:t>
      </w:r>
      <w:r>
        <w:rPr>
          <w:rFonts w:hint="eastAsia" w:ascii="宋体" w:hAnsi="宋体" w:eastAsia="宋体" w:cs="宋体"/>
          <w:szCs w:val="21"/>
          <w:highlight w:val="none"/>
          <w:lang w:val="en-US" w:eastAsia="zh-CN"/>
        </w:rPr>
        <w:t>电子签</w:t>
      </w:r>
      <w:r>
        <w:rPr>
          <w:rFonts w:hint="eastAsia" w:ascii="宋体" w:hAnsi="宋体" w:eastAsia="宋体" w:cs="宋体"/>
          <w:szCs w:val="21"/>
          <w:highlight w:val="none"/>
          <w:lang w:val="zh-CN"/>
        </w:rPr>
        <w:t>章）：</w:t>
      </w:r>
      <w:r>
        <w:rPr>
          <w:rFonts w:hint="eastAsia" w:ascii="宋体" w:hAnsi="宋体" w:eastAsia="宋体" w:cs="宋体"/>
          <w:szCs w:val="21"/>
          <w:highlight w:val="none"/>
          <w:u w:val="single"/>
          <w:lang w:val="zh-CN"/>
        </w:rPr>
        <w:t xml:space="preserve">                </w:t>
      </w:r>
    </w:p>
    <w:p>
      <w:pPr>
        <w:autoSpaceDE w:val="0"/>
        <w:autoSpaceDN w:val="0"/>
        <w:adjustRightInd w:val="0"/>
        <w:snapToGrid w:val="0"/>
        <w:spacing w:line="520" w:lineRule="atLeast"/>
        <w:ind w:firstLine="3780" w:firstLineChars="1800"/>
        <w:rPr>
          <w:rFonts w:hint="eastAsia" w:ascii="宋体" w:hAnsi="宋体" w:eastAsia="宋体" w:cs="宋体"/>
          <w:szCs w:val="21"/>
          <w:highlight w:val="none"/>
          <w:u w:val="single"/>
          <w:lang w:val="zh-CN"/>
        </w:rPr>
      </w:pPr>
    </w:p>
    <w:p>
      <w:pPr>
        <w:autoSpaceDE w:val="0"/>
        <w:autoSpaceDN w:val="0"/>
        <w:adjustRightInd w:val="0"/>
        <w:snapToGrid w:val="0"/>
        <w:spacing w:line="520" w:lineRule="atLeast"/>
        <w:ind w:firstLine="1470" w:firstLineChars="700"/>
        <w:rPr>
          <w:rFonts w:hint="eastAsia" w:ascii="宋体" w:hAnsi="宋体" w:eastAsia="宋体" w:cs="宋体"/>
          <w:szCs w:val="21"/>
          <w:highlight w:val="none"/>
          <w:u w:val="single"/>
          <w:lang w:val="zh-CN"/>
        </w:rPr>
      </w:pPr>
      <w:r>
        <w:rPr>
          <w:rFonts w:hint="eastAsia" w:ascii="宋体" w:hAnsi="宋体" w:eastAsia="宋体" w:cs="宋体"/>
          <w:szCs w:val="21"/>
          <w:highlight w:val="none"/>
          <w:lang w:val="zh-CN"/>
        </w:rPr>
        <w:t>法定代表人或其委托代理人（</w:t>
      </w:r>
      <w:r>
        <w:rPr>
          <w:rFonts w:hint="eastAsia" w:ascii="宋体" w:hAnsi="宋体" w:eastAsia="宋体" w:cs="宋体"/>
          <w:szCs w:val="21"/>
          <w:highlight w:val="none"/>
        </w:rPr>
        <w:t>签字或</w:t>
      </w:r>
      <w:r>
        <w:rPr>
          <w:rFonts w:hint="eastAsia" w:ascii="宋体" w:hAnsi="宋体" w:eastAsia="宋体" w:cs="宋体"/>
          <w:szCs w:val="21"/>
          <w:highlight w:val="none"/>
          <w:lang w:val="en-US" w:eastAsia="zh-CN"/>
        </w:rPr>
        <w:t>电子签</w:t>
      </w:r>
      <w:r>
        <w:rPr>
          <w:rFonts w:hint="eastAsia" w:ascii="宋体" w:hAnsi="宋体" w:eastAsia="宋体" w:cs="宋体"/>
          <w:szCs w:val="21"/>
          <w:highlight w:val="none"/>
        </w:rPr>
        <w:t>章</w:t>
      </w:r>
      <w:r>
        <w:rPr>
          <w:rFonts w:hint="eastAsia" w:ascii="宋体" w:hAnsi="宋体" w:eastAsia="宋体" w:cs="宋体"/>
          <w:szCs w:val="21"/>
          <w:highlight w:val="none"/>
          <w:lang w:val="zh-CN"/>
        </w:rPr>
        <w:t>）：</w:t>
      </w:r>
      <w:r>
        <w:rPr>
          <w:rFonts w:hint="eastAsia" w:ascii="宋体" w:hAnsi="宋体" w:eastAsia="宋体" w:cs="宋体"/>
          <w:szCs w:val="21"/>
          <w:highlight w:val="none"/>
          <w:u w:val="single"/>
          <w:lang w:val="zh-CN"/>
        </w:rPr>
        <w:t xml:space="preserve">                </w:t>
      </w:r>
    </w:p>
    <w:p>
      <w:pPr>
        <w:autoSpaceDE w:val="0"/>
        <w:autoSpaceDN w:val="0"/>
        <w:adjustRightInd w:val="0"/>
        <w:snapToGrid w:val="0"/>
        <w:spacing w:line="520" w:lineRule="atLeast"/>
        <w:ind w:firstLine="3780" w:firstLineChars="1800"/>
        <w:rPr>
          <w:rFonts w:hint="eastAsia" w:ascii="宋体" w:hAnsi="宋体" w:eastAsia="宋体" w:cs="宋体"/>
          <w:szCs w:val="21"/>
          <w:highlight w:val="none"/>
          <w:lang w:val="zh-CN"/>
        </w:rPr>
      </w:pPr>
    </w:p>
    <w:p>
      <w:pPr>
        <w:autoSpaceDE w:val="0"/>
        <w:autoSpaceDN w:val="0"/>
        <w:adjustRightInd w:val="0"/>
        <w:snapToGrid w:val="0"/>
        <w:spacing w:line="520" w:lineRule="atLeast"/>
        <w:ind w:firstLine="3780" w:firstLineChars="1800"/>
        <w:rPr>
          <w:rFonts w:hint="eastAsia" w:ascii="宋体" w:hAnsi="宋体" w:eastAsia="宋体" w:cs="宋体"/>
          <w:b/>
          <w:szCs w:val="21"/>
          <w:highlight w:val="none"/>
          <w:lang w:val="zh-CN"/>
        </w:rPr>
      </w:pPr>
      <w:r>
        <w:rPr>
          <w:rFonts w:hint="eastAsia" w:ascii="宋体" w:hAnsi="宋体" w:eastAsia="宋体" w:cs="宋体"/>
          <w:szCs w:val="21"/>
          <w:highlight w:val="none"/>
          <w:u w:val="single"/>
          <w:lang w:val="zh-CN"/>
        </w:rPr>
        <w:t xml:space="preserve">      </w:t>
      </w:r>
      <w:r>
        <w:rPr>
          <w:rFonts w:hint="eastAsia" w:ascii="宋体" w:hAnsi="宋体" w:eastAsia="宋体" w:cs="宋体"/>
          <w:szCs w:val="21"/>
          <w:highlight w:val="none"/>
          <w:lang w:val="zh-CN"/>
        </w:rPr>
        <w:t>年</w:t>
      </w:r>
      <w:r>
        <w:rPr>
          <w:rFonts w:hint="eastAsia" w:ascii="宋体" w:hAnsi="宋体" w:eastAsia="宋体" w:cs="宋体"/>
          <w:szCs w:val="21"/>
          <w:highlight w:val="none"/>
          <w:u w:val="single"/>
          <w:lang w:val="zh-CN"/>
        </w:rPr>
        <w:t xml:space="preserve">      </w:t>
      </w:r>
      <w:r>
        <w:rPr>
          <w:rFonts w:hint="eastAsia" w:ascii="宋体" w:hAnsi="宋体" w:eastAsia="宋体" w:cs="宋体"/>
          <w:szCs w:val="21"/>
          <w:highlight w:val="none"/>
          <w:lang w:val="zh-CN"/>
        </w:rPr>
        <w:t>月</w:t>
      </w:r>
      <w:r>
        <w:rPr>
          <w:rFonts w:hint="eastAsia" w:ascii="宋体" w:hAnsi="宋体" w:eastAsia="宋体" w:cs="宋体"/>
          <w:szCs w:val="21"/>
          <w:highlight w:val="none"/>
          <w:u w:val="single"/>
          <w:lang w:val="zh-CN"/>
        </w:rPr>
        <w:t xml:space="preserve">     </w:t>
      </w:r>
      <w:r>
        <w:rPr>
          <w:rFonts w:hint="eastAsia" w:ascii="宋体" w:hAnsi="宋体" w:eastAsia="宋体" w:cs="宋体"/>
          <w:szCs w:val="21"/>
          <w:highlight w:val="none"/>
          <w:lang w:val="zh-CN"/>
        </w:rPr>
        <w:t>日</w:t>
      </w:r>
    </w:p>
    <w:p>
      <w:pPr>
        <w:spacing w:before="140" w:line="432" w:lineRule="auto"/>
        <w:ind w:left="20" w:right="25"/>
        <w:rPr>
          <w:rFonts w:hint="eastAsia" w:ascii="宋体" w:hAnsi="宋体" w:eastAsia="宋体" w:cs="宋体"/>
          <w:spacing w:val="18"/>
          <w:sz w:val="20"/>
          <w:szCs w:val="20"/>
          <w:highlight w:val="none"/>
        </w:rPr>
      </w:pPr>
    </w:p>
    <w:p>
      <w:pPr>
        <w:spacing w:before="140" w:line="432" w:lineRule="auto"/>
        <w:ind w:left="20" w:right="25"/>
        <w:rPr>
          <w:rFonts w:hint="eastAsia" w:ascii="宋体" w:hAnsi="宋体" w:eastAsia="宋体" w:cs="宋体"/>
          <w:spacing w:val="18"/>
          <w:sz w:val="20"/>
          <w:szCs w:val="20"/>
          <w:highlight w:val="none"/>
        </w:rPr>
      </w:pPr>
    </w:p>
    <w:p>
      <w:pPr>
        <w:spacing w:before="140" w:line="432" w:lineRule="auto"/>
        <w:ind w:left="20" w:right="25"/>
        <w:rPr>
          <w:rFonts w:hint="eastAsia" w:ascii="宋体" w:hAnsi="宋体" w:eastAsia="宋体" w:cs="宋体"/>
          <w:spacing w:val="18"/>
          <w:sz w:val="20"/>
          <w:szCs w:val="20"/>
          <w:highlight w:val="none"/>
        </w:rPr>
      </w:pPr>
    </w:p>
    <w:p>
      <w:pPr>
        <w:keepNext w:val="0"/>
        <w:keepLines w:val="0"/>
        <w:pageBreakBefore w:val="0"/>
        <w:widowControl w:val="0"/>
        <w:kinsoku/>
        <w:wordWrap/>
        <w:overflowPunct/>
        <w:topLinePunct w:val="0"/>
        <w:autoSpaceDE/>
        <w:autoSpaceDN/>
        <w:bidi w:val="0"/>
        <w:adjustRightInd/>
        <w:snapToGrid/>
        <w:spacing w:before="140" w:line="500" w:lineRule="exact"/>
        <w:ind w:left="20" w:right="25"/>
        <w:textAlignment w:val="auto"/>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满足</w:t>
      </w:r>
      <w:r>
        <w:rPr>
          <w:rFonts w:hint="eastAsia" w:ascii="宋体" w:hAnsi="宋体" w:eastAsia="宋体" w:cs="宋体"/>
          <w:spacing w:val="15"/>
          <w:sz w:val="21"/>
          <w:szCs w:val="21"/>
          <w:highlight w:val="none"/>
        </w:rPr>
        <w:t>《</w:t>
      </w:r>
      <w:r>
        <w:rPr>
          <w:rFonts w:hint="eastAsia" w:ascii="宋体" w:hAnsi="宋体" w:eastAsia="宋体" w:cs="宋体"/>
          <w:spacing w:val="9"/>
          <w:sz w:val="21"/>
          <w:szCs w:val="21"/>
          <w:highlight w:val="none"/>
        </w:rPr>
        <w:t>中华人民共和国政府采购法》第二十二条规定(提供资格条件承诺函或相应的证明材</w:t>
      </w:r>
      <w:r>
        <w:rPr>
          <w:rFonts w:hint="eastAsia" w:ascii="宋体" w:hAnsi="宋体" w:eastAsia="宋体" w:cs="宋体"/>
          <w:spacing w:val="3"/>
          <w:sz w:val="21"/>
          <w:szCs w:val="21"/>
          <w:highlight w:val="none"/>
        </w:rPr>
        <w:t>料</w:t>
      </w:r>
      <w:r>
        <w:rPr>
          <w:rFonts w:hint="eastAsia" w:ascii="宋体" w:hAnsi="宋体" w:eastAsia="宋体" w:cs="宋体"/>
          <w:spacing w:val="2"/>
          <w:sz w:val="21"/>
          <w:szCs w:val="21"/>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29"/>
        <w:textAlignment w:val="auto"/>
        <w:rPr>
          <w:rFonts w:hint="eastAsia" w:ascii="宋体" w:hAnsi="宋体" w:eastAsia="宋体" w:cs="宋体"/>
          <w:sz w:val="21"/>
          <w:szCs w:val="21"/>
          <w:highlight w:val="none"/>
        </w:rPr>
      </w:pPr>
      <w:r>
        <w:rPr>
          <w:rFonts w:hint="eastAsia" w:ascii="宋体" w:hAnsi="宋体" w:eastAsia="宋体" w:cs="宋体"/>
          <w:spacing w:val="14"/>
          <w:sz w:val="21"/>
          <w:szCs w:val="21"/>
          <w:highlight w:val="none"/>
        </w:rPr>
        <w:t>资</w:t>
      </w:r>
      <w:r>
        <w:rPr>
          <w:rFonts w:hint="eastAsia" w:ascii="宋体" w:hAnsi="宋体" w:eastAsia="宋体" w:cs="宋体"/>
          <w:spacing w:val="7"/>
          <w:sz w:val="21"/>
          <w:szCs w:val="21"/>
          <w:highlight w:val="none"/>
        </w:rPr>
        <w:t>格条件承诺函格式如下：</w:t>
      </w:r>
    </w:p>
    <w:p>
      <w:pPr>
        <w:keepNext w:val="0"/>
        <w:keepLines w:val="0"/>
        <w:pageBreakBefore w:val="0"/>
        <w:widowControl w:val="0"/>
        <w:kinsoku/>
        <w:wordWrap/>
        <w:overflowPunct/>
        <w:topLinePunct w:val="0"/>
        <w:autoSpaceDE/>
        <w:autoSpaceDN/>
        <w:bidi w:val="0"/>
        <w:adjustRightInd/>
        <w:snapToGrid/>
        <w:spacing w:before="233" w:line="500" w:lineRule="exact"/>
        <w:ind w:left="2969"/>
        <w:textAlignment w:val="auto"/>
        <w:rPr>
          <w:rFonts w:hint="eastAsia" w:ascii="宋体" w:hAnsi="宋体" w:eastAsia="宋体" w:cs="宋体"/>
          <w:b/>
          <w:bCs/>
          <w:sz w:val="21"/>
          <w:szCs w:val="21"/>
          <w:highlight w:val="none"/>
        </w:rPr>
      </w:pPr>
      <w:r>
        <w:rPr>
          <w:rFonts w:hint="eastAsia" w:ascii="宋体" w:hAnsi="宋体" w:eastAsia="宋体" w:cs="宋体"/>
          <w:b/>
          <w:bCs/>
          <w:spacing w:val="9"/>
          <w:position w:val="20"/>
          <w:sz w:val="21"/>
          <w:szCs w:val="21"/>
          <w:highlight w:val="none"/>
        </w:rPr>
        <w:t>资</w:t>
      </w:r>
      <w:r>
        <w:rPr>
          <w:rFonts w:hint="eastAsia" w:ascii="宋体" w:hAnsi="宋体" w:eastAsia="宋体" w:cs="宋体"/>
          <w:b/>
          <w:bCs/>
          <w:spacing w:val="7"/>
          <w:position w:val="20"/>
          <w:sz w:val="21"/>
          <w:szCs w:val="21"/>
          <w:highlight w:val="none"/>
        </w:rPr>
        <w:t>格条件承诺函</w:t>
      </w:r>
    </w:p>
    <w:p>
      <w:pPr>
        <w:keepNext w:val="0"/>
        <w:keepLines w:val="0"/>
        <w:pageBreakBefore w:val="0"/>
        <w:widowControl w:val="0"/>
        <w:kinsoku/>
        <w:wordWrap/>
        <w:overflowPunct/>
        <w:topLinePunct w:val="0"/>
        <w:autoSpaceDE/>
        <w:autoSpaceDN/>
        <w:bidi w:val="0"/>
        <w:adjustRightInd/>
        <w:snapToGrid/>
        <w:spacing w:line="500" w:lineRule="exact"/>
        <w:ind w:left="20"/>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致</w:t>
      </w:r>
      <w:r>
        <w:rPr>
          <w:rFonts w:hint="eastAsia" w:ascii="宋体" w:hAnsi="宋体" w:eastAsia="宋体" w:cs="宋体"/>
          <w:spacing w:val="-1"/>
          <w:sz w:val="21"/>
          <w:szCs w:val="21"/>
          <w:highlight w:val="none"/>
          <w:u w:val="single"/>
          <w:lang w:val="en-US" w:eastAsia="zh-CN"/>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rPr>
        <w:t>：  (采购人名称)</w:t>
      </w:r>
    </w:p>
    <w:p>
      <w:pPr>
        <w:keepNext w:val="0"/>
        <w:keepLines w:val="0"/>
        <w:pageBreakBefore w:val="0"/>
        <w:widowControl w:val="0"/>
        <w:kinsoku/>
        <w:wordWrap/>
        <w:overflowPunct/>
        <w:topLinePunct w:val="0"/>
        <w:autoSpaceDE/>
        <w:autoSpaceDN/>
        <w:bidi w:val="0"/>
        <w:adjustRightInd/>
        <w:snapToGrid/>
        <w:spacing w:before="234" w:line="500" w:lineRule="exact"/>
        <w:ind w:right="339" w:firstLine="460" w:firstLineChars="200"/>
        <w:textAlignment w:val="auto"/>
        <w:rPr>
          <w:rFonts w:hint="eastAsia" w:ascii="宋体" w:hAnsi="宋体" w:eastAsia="宋体" w:cs="宋体"/>
          <w:spacing w:val="16"/>
          <w:sz w:val="21"/>
          <w:szCs w:val="21"/>
          <w:highlight w:val="none"/>
        </w:rPr>
      </w:pPr>
      <w:r>
        <w:rPr>
          <w:rFonts w:hint="eastAsia" w:ascii="宋体" w:hAnsi="宋体" w:eastAsia="宋体" w:cs="宋体"/>
          <w:spacing w:val="10"/>
          <w:sz w:val="21"/>
          <w:szCs w:val="21"/>
          <w:highlight w:val="none"/>
        </w:rPr>
        <w:t>我方</w:t>
      </w:r>
      <w:r>
        <w:rPr>
          <w:rFonts w:hint="eastAsia" w:ascii="宋体" w:hAnsi="宋体" w:eastAsia="宋体" w:cs="宋体"/>
          <w:spacing w:val="10"/>
          <w:sz w:val="21"/>
          <w:szCs w:val="21"/>
          <w:highlight w:val="none"/>
          <w:u w:val="single" w:color="auto"/>
        </w:rPr>
        <w:t xml:space="preserve">  </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rPr>
        <w:t>(</w:t>
      </w:r>
      <w:r>
        <w:rPr>
          <w:rFonts w:hint="eastAsia" w:ascii="宋体" w:hAnsi="宋体" w:eastAsia="宋体" w:cs="宋体"/>
          <w:spacing w:val="5"/>
          <w:sz w:val="21"/>
          <w:szCs w:val="21"/>
          <w:highlight w:val="none"/>
          <w:lang w:eastAsia="zh-CN"/>
        </w:rPr>
        <w:t>供应商</w:t>
      </w:r>
      <w:r>
        <w:rPr>
          <w:rFonts w:hint="eastAsia" w:ascii="宋体" w:hAnsi="宋体" w:eastAsia="宋体" w:cs="宋体"/>
          <w:spacing w:val="5"/>
          <w:sz w:val="21"/>
          <w:szCs w:val="21"/>
          <w:highlight w:val="none"/>
        </w:rPr>
        <w:t>名称) 符合《中华人民共和国政府采购法》第二十二条</w:t>
      </w:r>
      <w:r>
        <w:rPr>
          <w:rFonts w:hint="eastAsia" w:ascii="宋体" w:hAnsi="宋体" w:eastAsia="宋体" w:cs="宋体"/>
          <w:sz w:val="21"/>
          <w:szCs w:val="21"/>
          <w:highlight w:val="none"/>
        </w:rPr>
        <w:t xml:space="preserve"> </w:t>
      </w:r>
      <w:r>
        <w:rPr>
          <w:rFonts w:hint="eastAsia" w:ascii="宋体" w:hAnsi="宋体" w:eastAsia="宋体" w:cs="宋体"/>
          <w:spacing w:val="16"/>
          <w:sz w:val="21"/>
          <w:szCs w:val="21"/>
          <w:highlight w:val="none"/>
        </w:rPr>
        <w:t>第一</w:t>
      </w:r>
      <w:r>
        <w:rPr>
          <w:rFonts w:hint="eastAsia" w:ascii="宋体" w:hAnsi="宋体" w:eastAsia="宋体" w:cs="宋体"/>
          <w:spacing w:val="12"/>
          <w:sz w:val="21"/>
          <w:szCs w:val="21"/>
          <w:highlight w:val="none"/>
        </w:rPr>
        <w:t>款</w:t>
      </w:r>
      <w:r>
        <w:rPr>
          <w:rFonts w:hint="eastAsia" w:ascii="宋体" w:hAnsi="宋体" w:eastAsia="宋体" w:cs="宋体"/>
          <w:spacing w:val="16"/>
          <w:sz w:val="21"/>
          <w:szCs w:val="21"/>
          <w:highlight w:val="none"/>
        </w:rPr>
        <w:t xml:space="preserve">第(一)项、第(二)项、第(三)项、第(四)项、第(五)项规定条件，具体包括:   </w:t>
      </w:r>
    </w:p>
    <w:p>
      <w:pPr>
        <w:keepNext w:val="0"/>
        <w:keepLines w:val="0"/>
        <w:pageBreakBefore w:val="0"/>
        <w:widowControl w:val="0"/>
        <w:kinsoku/>
        <w:wordWrap/>
        <w:overflowPunct/>
        <w:topLinePunct w:val="0"/>
        <w:autoSpaceDE/>
        <w:autoSpaceDN/>
        <w:bidi w:val="0"/>
        <w:adjustRightInd/>
        <w:snapToGrid/>
        <w:spacing w:before="234" w:line="500" w:lineRule="exact"/>
        <w:ind w:right="339"/>
        <w:textAlignment w:val="auto"/>
        <w:rPr>
          <w:rFonts w:hint="eastAsia" w:ascii="宋体" w:hAnsi="宋体" w:eastAsia="宋体" w:cs="宋体"/>
          <w:spacing w:val="16"/>
          <w:sz w:val="21"/>
          <w:szCs w:val="21"/>
          <w:highlight w:val="none"/>
        </w:rPr>
      </w:pPr>
      <w:r>
        <w:rPr>
          <w:rFonts w:hint="eastAsia" w:ascii="宋体" w:hAnsi="宋体" w:eastAsia="宋体" w:cs="宋体"/>
          <w:spacing w:val="16"/>
          <w:sz w:val="21"/>
          <w:szCs w:val="21"/>
          <w:highlight w:val="none"/>
        </w:rPr>
        <w:t>1.具有有效的营业执照，独立承担民事责任的能力;</w:t>
      </w:r>
    </w:p>
    <w:p>
      <w:pPr>
        <w:keepNext w:val="0"/>
        <w:keepLines w:val="0"/>
        <w:pageBreakBefore w:val="0"/>
        <w:widowControl w:val="0"/>
        <w:kinsoku/>
        <w:wordWrap/>
        <w:overflowPunct/>
        <w:topLinePunct w:val="0"/>
        <w:autoSpaceDE/>
        <w:autoSpaceDN/>
        <w:bidi w:val="0"/>
        <w:adjustRightInd/>
        <w:snapToGrid/>
        <w:spacing w:before="234" w:line="500" w:lineRule="exact"/>
        <w:ind w:right="339"/>
        <w:textAlignment w:val="auto"/>
        <w:rPr>
          <w:rFonts w:hint="eastAsia" w:ascii="宋体" w:hAnsi="宋体" w:eastAsia="宋体" w:cs="宋体"/>
          <w:spacing w:val="16"/>
          <w:sz w:val="21"/>
          <w:szCs w:val="21"/>
          <w:highlight w:val="none"/>
        </w:rPr>
      </w:pPr>
      <w:r>
        <w:rPr>
          <w:rFonts w:hint="eastAsia" w:ascii="宋体" w:hAnsi="宋体" w:eastAsia="宋体" w:cs="宋体"/>
          <w:spacing w:val="16"/>
          <w:sz w:val="21"/>
          <w:szCs w:val="21"/>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1" w:line="500" w:lineRule="exact"/>
        <w:ind w:left="24"/>
        <w:textAlignment w:val="auto"/>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3.</w:t>
      </w:r>
      <w:r>
        <w:rPr>
          <w:rFonts w:hint="eastAsia" w:ascii="宋体" w:hAnsi="宋体" w:eastAsia="宋体" w:cs="宋体"/>
          <w:spacing w:val="8"/>
          <w:sz w:val="21"/>
          <w:szCs w:val="21"/>
          <w:highlight w:val="none"/>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210" w:line="500" w:lineRule="exact"/>
        <w:ind w:left="19"/>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4.具有依法缴纳税收和社会保障资金的良好记录</w:t>
      </w:r>
      <w:r>
        <w:rPr>
          <w:rFonts w:hint="eastAsia" w:ascii="宋体" w:hAnsi="宋体" w:eastAsia="宋体" w:cs="宋体"/>
          <w:spacing w:val="7"/>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207" w:line="500" w:lineRule="exact"/>
        <w:ind w:left="24"/>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5.参加政府采购活动前三年内，在经营活动中没有重大违法记录</w:t>
      </w:r>
      <w:r>
        <w:rPr>
          <w:rFonts w:hint="eastAsia" w:ascii="宋体" w:hAnsi="宋体" w:eastAsia="宋体" w:cs="宋体"/>
          <w:spacing w:val="4"/>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212" w:line="500" w:lineRule="exact"/>
        <w:ind w:left="22" w:firstLine="468" w:firstLineChars="200"/>
        <w:textAlignment w:val="auto"/>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我方</w:t>
      </w:r>
      <w:r>
        <w:rPr>
          <w:rFonts w:hint="eastAsia" w:ascii="宋体" w:hAnsi="宋体" w:eastAsia="宋体" w:cs="宋体"/>
          <w:spacing w:val="6"/>
          <w:sz w:val="21"/>
          <w:szCs w:val="21"/>
          <w:highlight w:val="none"/>
        </w:rPr>
        <w:t>对上述承诺的真实性负责，在评审环节结束后， 自愿接受采购单位(采购</w:t>
      </w:r>
      <w:r>
        <w:rPr>
          <w:rFonts w:hint="eastAsia" w:ascii="宋体" w:hAnsi="宋体" w:eastAsia="宋体" w:cs="宋体"/>
          <w:spacing w:val="18"/>
          <w:sz w:val="21"/>
          <w:szCs w:val="21"/>
          <w:highlight w:val="none"/>
        </w:rPr>
        <w:t>代理</w:t>
      </w:r>
      <w:r>
        <w:rPr>
          <w:rFonts w:hint="eastAsia" w:ascii="宋体" w:hAnsi="宋体" w:eastAsia="宋体" w:cs="宋体"/>
          <w:spacing w:val="11"/>
          <w:sz w:val="21"/>
          <w:szCs w:val="21"/>
          <w:highlight w:val="none"/>
        </w:rPr>
        <w:t>机</w:t>
      </w:r>
      <w:r>
        <w:rPr>
          <w:rFonts w:hint="eastAsia" w:ascii="宋体" w:hAnsi="宋体" w:eastAsia="宋体" w:cs="宋体"/>
          <w:spacing w:val="9"/>
          <w:sz w:val="21"/>
          <w:szCs w:val="21"/>
          <w:highlight w:val="none"/>
        </w:rPr>
        <w:t>构)的检查核验，配合提供相关证明材料，证明符合《中华人民共和国政府</w:t>
      </w:r>
      <w:r>
        <w:rPr>
          <w:rFonts w:hint="eastAsia" w:ascii="宋体" w:hAnsi="宋体" w:eastAsia="宋体" w:cs="宋体"/>
          <w:spacing w:val="18"/>
          <w:sz w:val="21"/>
          <w:szCs w:val="21"/>
          <w:highlight w:val="none"/>
        </w:rPr>
        <w:t>采</w:t>
      </w:r>
      <w:r>
        <w:rPr>
          <w:rFonts w:hint="eastAsia" w:ascii="宋体" w:hAnsi="宋体" w:eastAsia="宋体" w:cs="宋体"/>
          <w:spacing w:val="15"/>
          <w:sz w:val="21"/>
          <w:szCs w:val="21"/>
          <w:highlight w:val="none"/>
        </w:rPr>
        <w:t>购</w:t>
      </w:r>
      <w:r>
        <w:rPr>
          <w:rFonts w:hint="eastAsia" w:ascii="宋体" w:hAnsi="宋体" w:eastAsia="宋体" w:cs="宋体"/>
          <w:spacing w:val="9"/>
          <w:sz w:val="21"/>
          <w:szCs w:val="21"/>
          <w:highlight w:val="none"/>
        </w:rPr>
        <w:t>法》规定的供应商基本资格条件。如有虚假，将依法承担相应法律责任。</w:t>
      </w:r>
    </w:p>
    <w:p>
      <w:pPr>
        <w:keepNext w:val="0"/>
        <w:keepLines w:val="0"/>
        <w:pageBreakBefore w:val="0"/>
        <w:widowControl w:val="0"/>
        <w:kinsoku/>
        <w:wordWrap/>
        <w:overflowPunct/>
        <w:topLinePunct w:val="0"/>
        <w:autoSpaceDE/>
        <w:autoSpaceDN/>
        <w:bidi w:val="0"/>
        <w:adjustRightInd/>
        <w:snapToGrid/>
        <w:spacing w:before="1" w:line="500" w:lineRule="exact"/>
        <w:ind w:left="20" w:firstLine="444" w:firstLineChars="200"/>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特此承诺</w:t>
      </w:r>
      <w:r>
        <w:rPr>
          <w:rFonts w:hint="eastAsia" w:ascii="宋体" w:hAnsi="宋体" w:eastAsia="宋体" w:cs="宋体"/>
          <w:spacing w:val="5"/>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234" w:line="500" w:lineRule="exact"/>
        <w:ind w:right="1232" w:firstLine="2500" w:firstLineChars="1000"/>
        <w:textAlignment w:val="auto"/>
        <w:rPr>
          <w:rFonts w:hint="eastAsia" w:ascii="宋体" w:hAnsi="宋体" w:eastAsia="宋体" w:cs="宋体"/>
          <w:sz w:val="21"/>
          <w:szCs w:val="21"/>
          <w:highlight w:val="none"/>
        </w:rPr>
      </w:pPr>
      <w:r>
        <w:rPr>
          <w:rFonts w:hint="eastAsia" w:ascii="宋体" w:hAnsi="宋体" w:eastAsia="宋体" w:cs="宋体"/>
          <w:spacing w:val="20"/>
          <w:sz w:val="21"/>
          <w:szCs w:val="21"/>
          <w:highlight w:val="none"/>
          <w:lang w:eastAsia="zh-CN"/>
        </w:rPr>
        <w:t>供应商</w:t>
      </w:r>
      <w:r>
        <w:rPr>
          <w:rFonts w:hint="eastAsia" w:ascii="宋体" w:hAnsi="宋体" w:eastAsia="宋体" w:cs="宋体"/>
          <w:spacing w:val="11"/>
          <w:sz w:val="21"/>
          <w:szCs w:val="21"/>
          <w:highlight w:val="none"/>
        </w:rPr>
        <w:t>(全称并加盖电子公章) ：</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234" w:line="500" w:lineRule="exact"/>
        <w:ind w:right="1232" w:firstLine="2420" w:firstLineChars="1000"/>
        <w:textAlignment w:val="auto"/>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法</w:t>
      </w:r>
      <w:r>
        <w:rPr>
          <w:rFonts w:hint="eastAsia" w:ascii="宋体" w:hAnsi="宋体" w:eastAsia="宋体" w:cs="宋体"/>
          <w:spacing w:val="11"/>
          <w:sz w:val="21"/>
          <w:szCs w:val="21"/>
          <w:highlight w:val="none"/>
        </w:rPr>
        <w:t>定代表人或其授权代表(签字或电子签章) ：</w:t>
      </w:r>
    </w:p>
    <w:p>
      <w:pPr>
        <w:keepNext w:val="0"/>
        <w:keepLines w:val="0"/>
        <w:pageBreakBefore w:val="0"/>
        <w:widowControl w:val="0"/>
        <w:kinsoku/>
        <w:wordWrap/>
        <w:overflowPunct/>
        <w:topLinePunct w:val="0"/>
        <w:autoSpaceDE/>
        <w:autoSpaceDN/>
        <w:bidi w:val="0"/>
        <w:adjustRightInd/>
        <w:snapToGrid/>
        <w:spacing w:line="500" w:lineRule="exact"/>
        <w:ind w:left="4641"/>
        <w:textAlignment w:val="auto"/>
        <w:rPr>
          <w:rFonts w:hint="eastAsia" w:ascii="宋体" w:hAnsi="宋体" w:eastAsia="宋体" w:cs="宋体"/>
          <w:sz w:val="21"/>
          <w:szCs w:val="21"/>
          <w:highlight w:val="none"/>
        </w:rPr>
      </w:pPr>
      <w:r>
        <w:rPr>
          <w:rFonts w:hint="eastAsia" w:ascii="宋体" w:hAnsi="宋体" w:eastAsia="宋体" w:cs="宋体"/>
          <w:spacing w:val="15"/>
          <w:position w:val="20"/>
          <w:sz w:val="21"/>
          <w:szCs w:val="21"/>
          <w:highlight w:val="none"/>
        </w:rPr>
        <w:t>年</w:t>
      </w:r>
      <w:r>
        <w:rPr>
          <w:rFonts w:hint="eastAsia" w:ascii="宋体" w:hAnsi="宋体" w:eastAsia="宋体" w:cs="宋体"/>
          <w:spacing w:val="12"/>
          <w:position w:val="20"/>
          <w:sz w:val="21"/>
          <w:szCs w:val="21"/>
          <w:highlight w:val="none"/>
        </w:rPr>
        <w:t xml:space="preserve"> 月 日</w:t>
      </w:r>
    </w:p>
    <w:p>
      <w:pPr>
        <w:keepNext w:val="0"/>
        <w:keepLines w:val="0"/>
        <w:pageBreakBefore w:val="0"/>
        <w:widowControl w:val="0"/>
        <w:kinsoku/>
        <w:wordWrap/>
        <w:overflowPunct/>
        <w:topLinePunct w:val="0"/>
        <w:autoSpaceDE/>
        <w:autoSpaceDN/>
        <w:bidi w:val="0"/>
        <w:adjustRightInd/>
        <w:snapToGrid/>
        <w:spacing w:before="1" w:line="500" w:lineRule="exact"/>
        <w:ind w:left="20"/>
        <w:textAlignment w:val="auto"/>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注</w:t>
      </w:r>
      <w:r>
        <w:rPr>
          <w:rFonts w:hint="eastAsia" w:ascii="宋体" w:hAnsi="宋体" w:eastAsia="宋体" w:cs="宋体"/>
          <w:spacing w:val="10"/>
          <w:sz w:val="21"/>
          <w:szCs w:val="21"/>
          <w:highlight w:val="none"/>
        </w:rPr>
        <w:t>：未提供资格条件承诺函的，需提供相应的证明材料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sectPr>
          <w:footerReference r:id="rId13" w:type="default"/>
          <w:pgSz w:w="11900" w:h="16840"/>
          <w:pgMar w:top="1431" w:right="1295" w:bottom="1649" w:left="1785" w:header="0" w:footer="1452" w:gutter="0"/>
          <w:pgNumType w:fmt="decimal"/>
          <w:cols w:space="720" w:num="1"/>
        </w:sectPr>
      </w:pPr>
    </w:p>
    <w:p>
      <w:pPr>
        <w:pStyle w:val="2"/>
        <w:numPr>
          <w:ilvl w:val="0"/>
          <w:numId w:val="0"/>
        </w:numPr>
        <w:ind w:firstLine="281" w:firstLineChars="100"/>
        <w:jc w:val="center"/>
        <w:rPr>
          <w:rFonts w:hint="eastAsia" w:ascii="宋体" w:hAnsi="宋体" w:eastAsia="宋体" w:cs="宋体"/>
          <w:kern w:val="2"/>
          <w:sz w:val="28"/>
          <w:szCs w:val="28"/>
          <w:highlight w:val="none"/>
          <w:lang w:val="zh-CN" w:eastAsia="zh-CN"/>
        </w:rPr>
      </w:pPr>
      <w:bookmarkStart w:id="591" w:name="_Toc6042"/>
      <w:r>
        <w:rPr>
          <w:rFonts w:hint="eastAsia" w:ascii="宋体" w:hAnsi="宋体" w:eastAsia="宋体" w:cs="宋体"/>
          <w:kern w:val="2"/>
          <w:sz w:val="28"/>
          <w:szCs w:val="28"/>
          <w:highlight w:val="none"/>
          <w:lang w:val="zh-CN" w:eastAsia="zh-CN"/>
        </w:rPr>
        <w:t>五、拟投入项目人员表</w:t>
      </w:r>
    </w:p>
    <w:tbl>
      <w:tblPr>
        <w:tblStyle w:val="42"/>
        <w:tblpPr w:leftFromText="180" w:rightFromText="180" w:vertAnchor="text" w:horzAnchor="page" w:tblpX="1770" w:tblpY="91"/>
        <w:tblOverlap w:val="never"/>
        <w:tblW w:w="838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6"/>
        <w:gridCol w:w="721"/>
        <w:gridCol w:w="706"/>
        <w:gridCol w:w="1277"/>
        <w:gridCol w:w="856"/>
        <w:gridCol w:w="1547"/>
        <w:gridCol w:w="1997"/>
        <w:gridCol w:w="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vMerge w:val="restart"/>
          </w:tcPr>
          <w:p>
            <w:pPr>
              <w:pStyle w:val="38"/>
              <w:spacing w:before="8"/>
              <w:rPr>
                <w:rFonts w:hint="eastAsia" w:ascii="宋体" w:hAnsi="宋体" w:eastAsia="宋体" w:cs="宋体"/>
                <w:sz w:val="21"/>
                <w:szCs w:val="21"/>
                <w:highlight w:val="none"/>
              </w:rPr>
            </w:pPr>
          </w:p>
          <w:p>
            <w:pPr>
              <w:pStyle w:val="38"/>
              <w:ind w:left="158"/>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职务 </w:t>
            </w:r>
          </w:p>
        </w:tc>
        <w:tc>
          <w:tcPr>
            <w:tcW w:w="721" w:type="dxa"/>
            <w:vMerge w:val="restart"/>
          </w:tcPr>
          <w:p>
            <w:pPr>
              <w:pStyle w:val="38"/>
              <w:spacing w:before="8"/>
              <w:rPr>
                <w:rFonts w:hint="eastAsia" w:ascii="宋体" w:hAnsi="宋体" w:eastAsia="宋体" w:cs="宋体"/>
                <w:sz w:val="21"/>
                <w:szCs w:val="21"/>
                <w:highlight w:val="none"/>
              </w:rPr>
            </w:pPr>
          </w:p>
          <w:p>
            <w:pPr>
              <w:pStyle w:val="38"/>
              <w:ind w:left="157"/>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姓名 </w:t>
            </w:r>
          </w:p>
        </w:tc>
        <w:tc>
          <w:tcPr>
            <w:tcW w:w="706" w:type="dxa"/>
            <w:vMerge w:val="restart"/>
          </w:tcPr>
          <w:p>
            <w:pPr>
              <w:pStyle w:val="38"/>
              <w:spacing w:before="8"/>
              <w:rPr>
                <w:rFonts w:hint="eastAsia" w:ascii="宋体" w:hAnsi="宋体" w:eastAsia="宋体" w:cs="宋体"/>
                <w:sz w:val="21"/>
                <w:szCs w:val="21"/>
                <w:highlight w:val="none"/>
              </w:rPr>
            </w:pPr>
          </w:p>
          <w:p>
            <w:pPr>
              <w:pStyle w:val="38"/>
              <w:ind w:left="142"/>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职称 </w:t>
            </w:r>
          </w:p>
        </w:tc>
        <w:tc>
          <w:tcPr>
            <w:tcW w:w="5677" w:type="dxa"/>
            <w:gridSpan w:val="4"/>
          </w:tcPr>
          <w:p>
            <w:pPr>
              <w:pStyle w:val="38"/>
              <w:spacing w:before="90"/>
              <w:ind w:left="19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执业或职业资格证明 </w:t>
            </w:r>
          </w:p>
        </w:tc>
        <w:tc>
          <w:tcPr>
            <w:tcW w:w="571" w:type="dxa"/>
            <w:vMerge w:val="restart"/>
          </w:tcPr>
          <w:p>
            <w:pPr>
              <w:pStyle w:val="38"/>
              <w:spacing w:before="1"/>
              <w:rPr>
                <w:rFonts w:hint="eastAsia" w:ascii="宋体" w:hAnsi="宋体" w:eastAsia="宋体" w:cs="宋体"/>
                <w:sz w:val="21"/>
                <w:szCs w:val="21"/>
                <w:highlight w:val="none"/>
              </w:rPr>
            </w:pPr>
          </w:p>
          <w:p>
            <w:pPr>
              <w:pStyle w:val="38"/>
              <w:ind w:left="173" w:right="65"/>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备注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vMerge w:val="continue"/>
            <w:tcBorders>
              <w:top w:val="nil"/>
            </w:tcBorders>
          </w:tcPr>
          <w:p>
            <w:pPr>
              <w:rPr>
                <w:rFonts w:hint="eastAsia" w:ascii="宋体" w:hAnsi="宋体" w:eastAsia="宋体" w:cs="宋体"/>
                <w:sz w:val="21"/>
                <w:szCs w:val="21"/>
                <w:highlight w:val="none"/>
              </w:rPr>
            </w:pPr>
          </w:p>
        </w:tc>
        <w:tc>
          <w:tcPr>
            <w:tcW w:w="721" w:type="dxa"/>
            <w:vMerge w:val="continue"/>
            <w:tcBorders>
              <w:top w:val="nil"/>
            </w:tcBorders>
          </w:tcPr>
          <w:p>
            <w:pPr>
              <w:rPr>
                <w:rFonts w:hint="eastAsia" w:ascii="宋体" w:hAnsi="宋体" w:eastAsia="宋体" w:cs="宋体"/>
                <w:sz w:val="21"/>
                <w:szCs w:val="21"/>
                <w:highlight w:val="none"/>
              </w:rPr>
            </w:pPr>
          </w:p>
        </w:tc>
        <w:tc>
          <w:tcPr>
            <w:tcW w:w="706" w:type="dxa"/>
            <w:vMerge w:val="continue"/>
            <w:tcBorders>
              <w:top w:val="nil"/>
            </w:tcBorders>
          </w:tcPr>
          <w:p>
            <w:pPr>
              <w:rPr>
                <w:rFonts w:hint="eastAsia" w:ascii="宋体" w:hAnsi="宋体" w:eastAsia="宋体" w:cs="宋体"/>
                <w:sz w:val="21"/>
                <w:szCs w:val="21"/>
                <w:highlight w:val="none"/>
              </w:rPr>
            </w:pPr>
          </w:p>
        </w:tc>
        <w:tc>
          <w:tcPr>
            <w:tcW w:w="1277" w:type="dxa"/>
            <w:vAlign w:val="center"/>
          </w:tcPr>
          <w:p>
            <w:pPr>
              <w:pStyle w:val="38"/>
              <w:spacing w:before="90"/>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证书名称</w:t>
            </w:r>
          </w:p>
        </w:tc>
        <w:tc>
          <w:tcPr>
            <w:tcW w:w="856" w:type="dxa"/>
            <w:vAlign w:val="center"/>
          </w:tcPr>
          <w:p>
            <w:pPr>
              <w:pStyle w:val="38"/>
              <w:spacing w:before="90"/>
              <w:ind w:right="13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级别</w:t>
            </w:r>
          </w:p>
        </w:tc>
        <w:tc>
          <w:tcPr>
            <w:tcW w:w="1547" w:type="dxa"/>
            <w:vAlign w:val="center"/>
          </w:tcPr>
          <w:p>
            <w:pPr>
              <w:pStyle w:val="38"/>
              <w:spacing w:before="90"/>
              <w:ind w:right="461"/>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证号</w:t>
            </w:r>
          </w:p>
        </w:tc>
        <w:tc>
          <w:tcPr>
            <w:tcW w:w="1997" w:type="dxa"/>
            <w:vAlign w:val="center"/>
          </w:tcPr>
          <w:p>
            <w:pPr>
              <w:pStyle w:val="38"/>
              <w:spacing w:before="90"/>
              <w:ind w:right="686"/>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专业</w:t>
            </w:r>
          </w:p>
        </w:tc>
        <w:tc>
          <w:tcPr>
            <w:tcW w:w="571" w:type="dxa"/>
            <w:vMerge w:val="continue"/>
            <w:tcBorders>
              <w:top w:val="nil"/>
            </w:tcBorders>
          </w:tcPr>
          <w:p>
            <w:pPr>
              <w:rPr>
                <w:rFonts w:hint="eastAsia" w:ascii="宋体" w:hAnsi="宋体" w:eastAsia="宋体" w:cs="宋体"/>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90"/>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90"/>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90"/>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90"/>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90"/>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90"/>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90"/>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90"/>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90"/>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90"/>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90"/>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90"/>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90"/>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90"/>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90"/>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90"/>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90"/>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90"/>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90"/>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90"/>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90"/>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90"/>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90"/>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90"/>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75"/>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75"/>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75"/>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75"/>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75"/>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75"/>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75"/>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75"/>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75"/>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75"/>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75"/>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75"/>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75"/>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75"/>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75"/>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75"/>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75"/>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75"/>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75"/>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75"/>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75"/>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75"/>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75"/>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75"/>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706" w:type="dxa"/>
          </w:tcPr>
          <w:p>
            <w:pPr>
              <w:pStyle w:val="38"/>
              <w:spacing w:before="75"/>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75"/>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75"/>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75"/>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75"/>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75"/>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75"/>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75"/>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90"/>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90"/>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90"/>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90"/>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90"/>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90"/>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90"/>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90"/>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90"/>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90"/>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90"/>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90"/>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90"/>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90"/>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90"/>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90"/>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90"/>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90"/>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90"/>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90"/>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90"/>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90"/>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90"/>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90"/>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90"/>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90"/>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90"/>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90"/>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90"/>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90"/>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90"/>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90"/>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90"/>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90"/>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90"/>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90"/>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90"/>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90"/>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90"/>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90"/>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90"/>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90"/>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90"/>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90"/>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90"/>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90"/>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90"/>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90"/>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90"/>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90"/>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90"/>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90"/>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90"/>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90"/>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90"/>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90"/>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06" w:type="dxa"/>
          </w:tcPr>
          <w:p>
            <w:pPr>
              <w:pStyle w:val="38"/>
              <w:spacing w:before="90"/>
              <w:ind w:right="2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21" w:type="dxa"/>
          </w:tcPr>
          <w:p>
            <w:pPr>
              <w:pStyle w:val="38"/>
              <w:spacing w:before="90"/>
              <w:ind w:right="23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706" w:type="dxa"/>
          </w:tcPr>
          <w:p>
            <w:pPr>
              <w:pStyle w:val="38"/>
              <w:spacing w:before="90"/>
              <w:ind w:right="231"/>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277" w:type="dxa"/>
          </w:tcPr>
          <w:p>
            <w:pPr>
              <w:pStyle w:val="38"/>
              <w:spacing w:before="90"/>
              <w:ind w:left="11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856" w:type="dxa"/>
          </w:tcPr>
          <w:p>
            <w:pPr>
              <w:pStyle w:val="38"/>
              <w:spacing w:before="90"/>
              <w:ind w:left="11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547" w:type="dxa"/>
          </w:tcPr>
          <w:p>
            <w:pPr>
              <w:pStyle w:val="38"/>
              <w:spacing w:before="90"/>
              <w:ind w:left="14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1997" w:type="dxa"/>
          </w:tcPr>
          <w:p>
            <w:pPr>
              <w:pStyle w:val="38"/>
              <w:spacing w:before="90"/>
              <w:ind w:left="1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571" w:type="dxa"/>
          </w:tcPr>
          <w:p>
            <w:pPr>
              <w:pStyle w:val="38"/>
              <w:spacing w:before="90"/>
              <w:ind w:right="1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bl>
    <w:p>
      <w:pPr>
        <w:tabs>
          <w:tab w:val="left" w:pos="4740"/>
        </w:tabs>
        <w:adjustRightInd w:val="0"/>
        <w:snapToGrid w:val="0"/>
        <w:jc w:val="center"/>
        <w:rPr>
          <w:rFonts w:hint="eastAsia" w:ascii="宋体" w:hAnsi="宋体" w:eastAsia="宋体" w:cs="宋体"/>
          <w:sz w:val="24"/>
          <w:highlight w:val="none"/>
        </w:rPr>
      </w:pPr>
    </w:p>
    <w:p>
      <w:pPr>
        <w:autoSpaceDE w:val="0"/>
        <w:autoSpaceDN w:val="0"/>
        <w:adjustRightInd w:val="0"/>
        <w:snapToGrid w:val="0"/>
        <w:spacing w:line="360" w:lineRule="auto"/>
        <w:rPr>
          <w:rFonts w:hint="eastAsia" w:ascii="宋体" w:hAnsi="宋体" w:eastAsia="宋体" w:cs="宋体"/>
          <w:bCs/>
          <w:kern w:val="0"/>
          <w:sz w:val="21"/>
          <w:szCs w:val="21"/>
          <w:highlight w:val="none"/>
        </w:rPr>
      </w:pPr>
    </w:p>
    <w:p>
      <w:pPr>
        <w:autoSpaceDE w:val="0"/>
        <w:autoSpaceDN w:val="0"/>
        <w:adjustRightInd w:val="0"/>
        <w:snapToGrid w:val="0"/>
        <w:spacing w:line="360" w:lineRule="auto"/>
        <w:ind w:firstLine="420" w:firstLineChars="200"/>
        <w:rPr>
          <w:rFonts w:hint="eastAsia" w:ascii="宋体" w:hAnsi="宋体" w:eastAsia="宋体" w:cs="宋体"/>
          <w:bCs/>
          <w:kern w:val="0"/>
          <w:sz w:val="21"/>
          <w:szCs w:val="21"/>
          <w:highlight w:val="none"/>
          <w:lang w:eastAsia="zh-CN"/>
        </w:rPr>
      </w:pPr>
      <w:r>
        <w:rPr>
          <w:rFonts w:hint="eastAsia" w:ascii="宋体" w:hAnsi="宋体" w:eastAsia="宋体" w:cs="宋体"/>
          <w:bCs/>
          <w:kern w:val="0"/>
          <w:sz w:val="21"/>
          <w:szCs w:val="21"/>
          <w:highlight w:val="none"/>
        </w:rPr>
        <w:t>1、项目经理附身份证、执业证或上岗证书、安全生产考核证、劳动合同、无在建承诺书、</w:t>
      </w:r>
      <w:r>
        <w:rPr>
          <w:rFonts w:hint="eastAsia" w:ascii="宋体" w:hAnsi="宋体" w:eastAsia="宋体" w:cs="宋体"/>
          <w:sz w:val="21"/>
          <w:szCs w:val="21"/>
          <w:highlight w:val="none"/>
          <w:lang w:val="zh-CN"/>
        </w:rPr>
        <w:t>提供</w:t>
      </w:r>
      <w:r>
        <w:rPr>
          <w:rFonts w:hint="eastAsia" w:ascii="宋体" w:hAnsi="宋体" w:eastAsia="宋体" w:cs="宋体"/>
          <w:sz w:val="21"/>
          <w:szCs w:val="21"/>
          <w:highlight w:val="none"/>
          <w:lang w:val="en-US" w:eastAsia="zh-CN"/>
        </w:rPr>
        <w:t>近三个月内任意一个月</w:t>
      </w:r>
      <w:r>
        <w:rPr>
          <w:rFonts w:hint="eastAsia" w:ascii="宋体" w:hAnsi="宋体" w:eastAsia="宋体" w:cs="宋体"/>
          <w:sz w:val="21"/>
          <w:szCs w:val="21"/>
          <w:highlight w:val="none"/>
          <w:lang w:val="zh-CN"/>
        </w:rPr>
        <w:t>缴纳社保证明。</w:t>
      </w:r>
    </w:p>
    <w:p>
      <w:pPr>
        <w:autoSpaceDE w:val="0"/>
        <w:autoSpaceDN w:val="0"/>
        <w:adjustRightInd w:val="0"/>
        <w:snapToGrid w:val="0"/>
        <w:spacing w:line="360" w:lineRule="auto"/>
        <w:ind w:firstLine="420" w:firstLineChars="200"/>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2、技术负责人、</w:t>
      </w:r>
      <w:r>
        <w:rPr>
          <w:rFonts w:hint="eastAsia" w:ascii="宋体" w:hAnsi="宋体" w:eastAsia="宋体" w:cs="宋体"/>
          <w:sz w:val="21"/>
          <w:szCs w:val="21"/>
          <w:highlight w:val="none"/>
        </w:rPr>
        <w:t>施工员、安全员、质量员或质检员、材料员、</w:t>
      </w:r>
      <w:r>
        <w:rPr>
          <w:rFonts w:hint="eastAsia" w:ascii="宋体" w:hAnsi="宋体" w:eastAsia="宋体" w:cs="宋体"/>
          <w:sz w:val="21"/>
          <w:szCs w:val="21"/>
          <w:highlight w:val="none"/>
          <w:lang w:val="en-US" w:eastAsia="zh-CN"/>
        </w:rPr>
        <w:t>资料员</w:t>
      </w:r>
      <w:r>
        <w:rPr>
          <w:rFonts w:hint="eastAsia" w:ascii="宋体" w:hAnsi="宋体" w:eastAsia="宋体" w:cs="宋体"/>
          <w:sz w:val="21"/>
          <w:szCs w:val="21"/>
          <w:highlight w:val="none"/>
        </w:rPr>
        <w:t>应附身份证、执业证或上岗证书；</w:t>
      </w:r>
    </w:p>
    <w:bookmarkEnd w:id="591"/>
    <w:p>
      <w:pPr>
        <w:pStyle w:val="7"/>
        <w:rPr>
          <w:rFonts w:hint="eastAsia" w:ascii="宋体" w:hAnsi="宋体" w:eastAsia="宋体" w:cs="宋体"/>
          <w:highlight w:val="none"/>
        </w:rPr>
      </w:pPr>
    </w:p>
    <w:p>
      <w:pPr>
        <w:pStyle w:val="2"/>
        <w:numPr>
          <w:ilvl w:val="0"/>
          <w:numId w:val="0"/>
        </w:numPr>
        <w:ind w:firstLine="281" w:firstLineChars="100"/>
        <w:jc w:val="center"/>
        <w:rPr>
          <w:rFonts w:hint="eastAsia" w:ascii="宋体" w:hAnsi="宋体" w:eastAsia="宋体" w:cs="宋体"/>
          <w:kern w:val="2"/>
          <w:sz w:val="28"/>
          <w:szCs w:val="28"/>
          <w:highlight w:val="none"/>
          <w:lang w:val="zh-CN" w:eastAsia="zh-CN"/>
        </w:rPr>
      </w:pPr>
      <w:bookmarkStart w:id="592" w:name="_Toc24516"/>
      <w:r>
        <w:rPr>
          <w:rFonts w:hint="eastAsia" w:ascii="宋体" w:hAnsi="宋体" w:eastAsia="宋体" w:cs="宋体"/>
          <w:kern w:val="2"/>
          <w:sz w:val="28"/>
          <w:szCs w:val="28"/>
          <w:highlight w:val="none"/>
          <w:lang w:val="zh-CN" w:eastAsia="zh-CN"/>
        </w:rPr>
        <w:t>六、</w:t>
      </w:r>
      <w:bookmarkEnd w:id="592"/>
      <w:r>
        <w:rPr>
          <w:rFonts w:hint="eastAsia" w:ascii="宋体" w:hAnsi="宋体" w:eastAsia="宋体" w:cs="宋体"/>
          <w:kern w:val="2"/>
          <w:sz w:val="28"/>
          <w:szCs w:val="28"/>
          <w:highlight w:val="none"/>
          <w:lang w:val="zh-CN" w:eastAsia="zh-CN"/>
        </w:rPr>
        <w:t>施工组织设计</w:t>
      </w:r>
    </w:p>
    <w:p>
      <w:pPr>
        <w:adjustRightInd w:val="0"/>
        <w:snapToGrid w:val="0"/>
        <w:spacing w:before="156" w:beforeLines="50" w:after="156" w:afterLines="50" w:line="420" w:lineRule="exact"/>
        <w:jc w:val="left"/>
        <w:rPr>
          <w:rFonts w:hint="eastAsia" w:ascii="宋体" w:hAnsi="宋体" w:eastAsia="宋体" w:cs="宋体"/>
          <w:sz w:val="24"/>
          <w:highlight w:val="none"/>
        </w:rPr>
      </w:pPr>
    </w:p>
    <w:p>
      <w:pPr>
        <w:adjustRightInd w:val="0"/>
        <w:snapToGrid w:val="0"/>
        <w:spacing w:before="156" w:beforeLines="50" w:after="156" w:afterLines="50" w:line="42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1、施工方案和技术措施</w:t>
      </w:r>
    </w:p>
    <w:p>
      <w:pPr>
        <w:adjustRightInd w:val="0"/>
        <w:snapToGrid w:val="0"/>
        <w:spacing w:before="156" w:beforeLines="50" w:after="156" w:afterLines="50" w:line="42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2、质量管理体系与措施</w:t>
      </w:r>
    </w:p>
    <w:p>
      <w:pPr>
        <w:adjustRightInd w:val="0"/>
        <w:snapToGrid w:val="0"/>
        <w:spacing w:before="156" w:beforeLines="50" w:after="156" w:afterLines="50" w:line="42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3、安全管理体系与措施</w:t>
      </w:r>
    </w:p>
    <w:p>
      <w:pPr>
        <w:adjustRightInd w:val="0"/>
        <w:snapToGrid w:val="0"/>
        <w:spacing w:before="156" w:beforeLines="50" w:after="156" w:afterLines="50" w:line="42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4、环境保护管理体系与措施</w:t>
      </w:r>
    </w:p>
    <w:p>
      <w:pPr>
        <w:adjustRightInd w:val="0"/>
        <w:snapToGrid w:val="0"/>
        <w:spacing w:before="156" w:beforeLines="50" w:after="156" w:afterLines="50" w:line="42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5、工程进度计划与措施</w:t>
      </w:r>
    </w:p>
    <w:p>
      <w:pPr>
        <w:adjustRightInd w:val="0"/>
        <w:snapToGrid w:val="0"/>
        <w:spacing w:before="156" w:beforeLines="50" w:after="156" w:afterLines="50" w:line="42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6、拟投入资源配备计划</w:t>
      </w:r>
    </w:p>
    <w:p>
      <w:pPr>
        <w:adjustRightInd w:val="0"/>
        <w:snapToGrid w:val="0"/>
        <w:spacing w:before="156" w:beforeLines="50" w:after="156" w:afterLines="50" w:line="42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7、施工进度表或施工网络图</w:t>
      </w:r>
    </w:p>
    <w:p>
      <w:pPr>
        <w:adjustRightInd w:val="0"/>
        <w:snapToGrid w:val="0"/>
        <w:spacing w:before="156" w:beforeLines="50" w:after="156" w:afterLines="50" w:line="42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8、</w:t>
      </w:r>
      <w:r>
        <w:rPr>
          <w:rFonts w:hint="eastAsia" w:ascii="宋体" w:hAnsi="宋体" w:eastAsia="宋体" w:cs="宋体"/>
          <w:sz w:val="22"/>
          <w:szCs w:val="22"/>
          <w:highlight w:val="none"/>
          <w:lang w:val="en-US" w:eastAsia="zh-CN"/>
        </w:rPr>
        <w:t>在工程质量保修期内、外的优惠及服务承诺</w:t>
      </w:r>
    </w:p>
    <w:p>
      <w:pPr>
        <w:adjustRightInd w:val="0"/>
        <w:snapToGrid w:val="0"/>
        <w:spacing w:before="156" w:beforeLines="50" w:after="156" w:afterLines="50" w:line="42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9、在节能减排、绿色施工、工艺创新方面针对本工程有具体措施或企业自有创新技术</w:t>
      </w:r>
    </w:p>
    <w:p>
      <w:pPr>
        <w:adjustRightInd w:val="0"/>
        <w:snapToGrid w:val="0"/>
        <w:spacing w:before="156" w:beforeLines="50" w:after="156" w:afterLines="50" w:line="42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10、新工艺、新技术、新设备、新材料的采用程度，其在确保质量、降低成本、缩短工期、减轻劳动强度、提高工效等方面的作用</w:t>
      </w:r>
    </w:p>
    <w:p>
      <w:pPr>
        <w:pStyle w:val="2"/>
        <w:numPr>
          <w:ilvl w:val="0"/>
          <w:numId w:val="0"/>
        </w:numPr>
        <w:ind w:firstLine="442" w:firstLineChars="100"/>
        <w:rPr>
          <w:rFonts w:hint="eastAsia" w:ascii="宋体" w:hAnsi="宋体" w:eastAsia="宋体" w:cs="宋体"/>
          <w:highlight w:val="none"/>
        </w:rPr>
      </w:pPr>
    </w:p>
    <w:p>
      <w:pPr>
        <w:autoSpaceDE w:val="0"/>
        <w:autoSpaceDN w:val="0"/>
        <w:adjustRightInd w:val="0"/>
        <w:snapToGrid w:val="0"/>
        <w:spacing w:line="520" w:lineRule="atLeast"/>
        <w:rPr>
          <w:rFonts w:hint="eastAsia" w:ascii="宋体" w:hAnsi="宋体" w:eastAsia="宋体" w:cs="宋体"/>
          <w:kern w:val="0"/>
          <w:szCs w:val="21"/>
          <w:highlight w:val="none"/>
        </w:rPr>
      </w:pPr>
    </w:p>
    <w:p>
      <w:pPr>
        <w:adjustRightInd w:val="0"/>
        <w:snapToGrid w:val="0"/>
        <w:spacing w:line="520" w:lineRule="atLeast"/>
        <w:rPr>
          <w:rFonts w:hint="eastAsia" w:ascii="宋体" w:hAnsi="宋体" w:eastAsia="宋体" w:cs="宋体"/>
          <w:b/>
          <w:sz w:val="24"/>
          <w:highlight w:val="none"/>
        </w:rPr>
      </w:pPr>
    </w:p>
    <w:p>
      <w:pPr>
        <w:pStyle w:val="7"/>
        <w:ind w:left="0" w:leftChars="0" w:firstLine="0" w:firstLineChars="0"/>
        <w:rPr>
          <w:rFonts w:hint="eastAsia" w:ascii="宋体" w:hAnsi="宋体" w:eastAsia="宋体" w:cs="宋体"/>
          <w:highlight w:val="none"/>
        </w:rPr>
      </w:pPr>
    </w:p>
    <w:p>
      <w:pPr>
        <w:pStyle w:val="7"/>
        <w:ind w:left="0" w:leftChars="0" w:firstLine="0" w:firstLineChars="0"/>
        <w:rPr>
          <w:rFonts w:hint="eastAsia" w:ascii="宋体" w:hAnsi="宋体" w:eastAsia="宋体" w:cs="宋体"/>
          <w:highlight w:val="none"/>
        </w:rPr>
      </w:pPr>
    </w:p>
    <w:p>
      <w:pPr>
        <w:rPr>
          <w:rFonts w:hint="eastAsia" w:ascii="宋体" w:hAnsi="宋体" w:eastAsia="宋体" w:cs="宋体"/>
          <w:highlight w:val="none"/>
        </w:rPr>
      </w:pPr>
    </w:p>
    <w:p>
      <w:pPr>
        <w:pStyle w:val="7"/>
        <w:ind w:left="0" w:leftChars="0" w:firstLine="0" w:firstLineChars="0"/>
        <w:rPr>
          <w:rFonts w:hint="eastAsia" w:ascii="宋体" w:hAnsi="宋体" w:eastAsia="宋体" w:cs="宋体"/>
          <w:highlight w:val="none"/>
        </w:rPr>
      </w:pPr>
    </w:p>
    <w:p>
      <w:pPr>
        <w:pStyle w:val="2"/>
        <w:numPr>
          <w:ilvl w:val="0"/>
          <w:numId w:val="0"/>
        </w:numPr>
        <w:jc w:val="center"/>
        <w:rPr>
          <w:rFonts w:hint="eastAsia" w:ascii="宋体" w:hAnsi="宋体" w:eastAsia="宋体" w:cs="宋体"/>
          <w:b w:val="0"/>
          <w:sz w:val="24"/>
          <w:highlight w:val="none"/>
        </w:rPr>
      </w:pPr>
      <w:bookmarkStart w:id="593" w:name="_Toc28785"/>
      <w:r>
        <w:rPr>
          <w:rFonts w:hint="eastAsia" w:ascii="宋体" w:hAnsi="宋体" w:eastAsia="宋体" w:cs="宋体"/>
          <w:kern w:val="2"/>
          <w:sz w:val="28"/>
          <w:szCs w:val="28"/>
          <w:highlight w:val="none"/>
          <w:lang w:val="zh-CN" w:eastAsia="zh-CN"/>
        </w:rPr>
        <w:t>七、</w:t>
      </w:r>
      <w:bookmarkEnd w:id="593"/>
      <w:r>
        <w:rPr>
          <w:rFonts w:hint="eastAsia" w:ascii="宋体" w:hAnsi="宋体" w:eastAsia="宋体" w:cs="宋体"/>
          <w:kern w:val="2"/>
          <w:sz w:val="28"/>
          <w:szCs w:val="28"/>
          <w:highlight w:val="none"/>
          <w:lang w:val="zh-CN" w:eastAsia="zh-CN"/>
        </w:rPr>
        <w:t>反商业贿赂承诺书</w:t>
      </w:r>
    </w:p>
    <w:p>
      <w:pPr>
        <w:tabs>
          <w:tab w:val="left" w:pos="65"/>
        </w:tabs>
        <w:spacing w:line="7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我公司承诺：在</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（项目名称）招标活动中，我公司保证做到：</w:t>
      </w:r>
    </w:p>
    <w:p>
      <w:pPr>
        <w:tabs>
          <w:tab w:val="left" w:pos="65"/>
        </w:tabs>
        <w:spacing w:line="7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一、公平竞争参加本次招标活动。</w:t>
      </w:r>
    </w:p>
    <w:p>
      <w:pPr>
        <w:tabs>
          <w:tab w:val="left" w:pos="65"/>
        </w:tabs>
        <w:spacing w:line="7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tabs>
          <w:tab w:val="left" w:pos="65"/>
        </w:tabs>
        <w:spacing w:line="7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三、若出现上述行为，我公司及参与投标的工作人员愿意接受按照国家法律法规等有关规定给予的处罚。</w:t>
      </w:r>
    </w:p>
    <w:p>
      <w:pPr>
        <w:widowControl/>
        <w:shd w:val="clear" w:color="auto" w:fill="FFFFFF"/>
        <w:spacing w:line="460" w:lineRule="atLeast"/>
        <w:jc w:val="left"/>
        <w:rPr>
          <w:rFonts w:hint="eastAsia" w:ascii="宋体" w:hAnsi="宋体" w:eastAsia="宋体" w:cs="宋体"/>
          <w:sz w:val="21"/>
          <w:szCs w:val="21"/>
          <w:highlight w:val="none"/>
          <w:shd w:val="clear" w:color="auto" w:fill="FFFFFF"/>
        </w:rPr>
      </w:pPr>
    </w:p>
    <w:p>
      <w:pPr>
        <w:adjustRightInd w:val="0"/>
        <w:snapToGrid w:val="0"/>
        <w:spacing w:line="480" w:lineRule="atLeast"/>
        <w:ind w:firstLine="440" w:firstLineChars="200"/>
        <w:jc w:val="left"/>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供应商：</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US" w:eastAsia="zh-CN"/>
        </w:rPr>
        <w:t>电子签</w:t>
      </w:r>
      <w:r>
        <w:rPr>
          <w:rFonts w:hint="eastAsia" w:ascii="宋体" w:hAnsi="宋体" w:eastAsia="宋体" w:cs="宋体"/>
          <w:sz w:val="22"/>
          <w:szCs w:val="22"/>
          <w:highlight w:val="none"/>
          <w:u w:val="single"/>
        </w:rPr>
        <w:t>章）</w:t>
      </w:r>
    </w:p>
    <w:p>
      <w:pPr>
        <w:adjustRightInd w:val="0"/>
        <w:snapToGrid w:val="0"/>
        <w:spacing w:line="480" w:lineRule="atLeast"/>
        <w:ind w:firstLine="440" w:firstLineChars="200"/>
        <w:jc w:val="left"/>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法定代表人或其授权代表：</w:t>
      </w:r>
      <w:r>
        <w:rPr>
          <w:rFonts w:hint="eastAsia" w:ascii="宋体" w:hAnsi="宋体" w:eastAsia="宋体" w:cs="宋体"/>
          <w:sz w:val="22"/>
          <w:szCs w:val="22"/>
          <w:highlight w:val="none"/>
          <w:u w:val="single"/>
        </w:rPr>
        <w:t xml:space="preserve">       （签字或</w:t>
      </w:r>
      <w:r>
        <w:rPr>
          <w:rFonts w:hint="eastAsia" w:ascii="宋体" w:hAnsi="宋体" w:eastAsia="宋体" w:cs="宋体"/>
          <w:sz w:val="22"/>
          <w:szCs w:val="22"/>
          <w:highlight w:val="none"/>
          <w:u w:val="single"/>
          <w:lang w:val="en-US" w:eastAsia="zh-CN"/>
        </w:rPr>
        <w:t>电子签</w:t>
      </w:r>
      <w:r>
        <w:rPr>
          <w:rFonts w:hint="eastAsia" w:ascii="宋体" w:hAnsi="宋体" w:eastAsia="宋体" w:cs="宋体"/>
          <w:sz w:val="22"/>
          <w:szCs w:val="22"/>
          <w:highlight w:val="none"/>
          <w:u w:val="single"/>
        </w:rPr>
        <w:t xml:space="preserve">章） </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日期：  年  月  日</w:t>
      </w:r>
    </w:p>
    <w:p>
      <w:pPr>
        <w:pStyle w:val="6"/>
        <w:ind w:firstLine="210"/>
        <w:rPr>
          <w:rFonts w:hint="eastAsia" w:ascii="宋体" w:hAnsi="宋体" w:eastAsia="宋体" w:cs="宋体"/>
          <w:sz w:val="20"/>
          <w:szCs w:val="22"/>
          <w:highlight w:val="none"/>
        </w:rPr>
      </w:pPr>
    </w:p>
    <w:p>
      <w:pPr>
        <w:pStyle w:val="2"/>
        <w:numPr>
          <w:ilvl w:val="0"/>
          <w:numId w:val="0"/>
        </w:numPr>
        <w:ind w:firstLine="241" w:firstLineChars="100"/>
        <w:jc w:val="center"/>
        <w:rPr>
          <w:rFonts w:hint="eastAsia" w:ascii="宋体" w:hAnsi="宋体" w:eastAsia="宋体" w:cs="宋体"/>
          <w:sz w:val="24"/>
          <w:highlight w:val="none"/>
        </w:rPr>
      </w:pPr>
    </w:p>
    <w:p>
      <w:pPr>
        <w:rPr>
          <w:rFonts w:hint="eastAsia" w:ascii="宋体" w:hAnsi="宋体" w:eastAsia="宋体" w:cs="宋体"/>
          <w:highlight w:val="none"/>
        </w:rPr>
      </w:pPr>
    </w:p>
    <w:p>
      <w:pPr>
        <w:adjustRightInd w:val="0"/>
        <w:snapToGrid w:val="0"/>
        <w:spacing w:line="520" w:lineRule="atLeast"/>
        <w:jc w:val="center"/>
        <w:rPr>
          <w:rFonts w:hint="eastAsia" w:ascii="宋体" w:hAnsi="宋体" w:eastAsia="宋体" w:cs="宋体"/>
          <w:b/>
          <w:bCs/>
          <w:sz w:val="28"/>
          <w:szCs w:val="28"/>
          <w:highlight w:val="none"/>
          <w:lang w:val="zh-CN"/>
        </w:rPr>
      </w:pPr>
      <w:r>
        <w:rPr>
          <w:rFonts w:hint="eastAsia" w:ascii="宋体" w:hAnsi="宋体" w:eastAsia="宋体" w:cs="宋体"/>
          <w:b/>
          <w:sz w:val="36"/>
          <w:highlight w:val="none"/>
        </w:rPr>
        <w:br w:type="page"/>
      </w:r>
      <w:r>
        <w:rPr>
          <w:rFonts w:hint="eastAsia" w:ascii="宋体" w:hAnsi="宋体" w:eastAsia="宋体" w:cs="宋体"/>
          <w:b/>
          <w:bCs/>
          <w:sz w:val="28"/>
          <w:szCs w:val="28"/>
          <w:highlight w:val="none"/>
          <w:lang w:val="zh-CN"/>
        </w:rPr>
        <w:t>八、承诺函</w:t>
      </w:r>
    </w:p>
    <w:p>
      <w:pPr>
        <w:adjustRightInd w:val="0"/>
        <w:snapToGrid w:val="0"/>
        <w:spacing w:line="480" w:lineRule="atLeas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（一）投标承诺函</w:t>
      </w:r>
    </w:p>
    <w:p>
      <w:pPr>
        <w:adjustRightInd w:val="0"/>
        <w:snapToGrid w:val="0"/>
        <w:spacing w:line="480" w:lineRule="atLeas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致：</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（采购人）</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我公司作为本次采购项目的</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，根据</w:t>
      </w:r>
      <w:r>
        <w:rPr>
          <w:rFonts w:hint="eastAsia" w:ascii="宋体" w:hAnsi="宋体" w:eastAsia="宋体" w:cs="宋体"/>
          <w:sz w:val="22"/>
          <w:szCs w:val="22"/>
          <w:highlight w:val="none"/>
          <w:lang w:eastAsia="zh-CN"/>
        </w:rPr>
        <w:t>采购文件</w:t>
      </w:r>
      <w:r>
        <w:rPr>
          <w:rFonts w:hint="eastAsia" w:ascii="宋体" w:hAnsi="宋体" w:eastAsia="宋体" w:cs="宋体"/>
          <w:sz w:val="22"/>
          <w:szCs w:val="22"/>
          <w:highlight w:val="none"/>
        </w:rPr>
        <w:t>要求，现郑重承诺如下：</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一、具备《中华人民共和国政府采购法》第二十二条第一款和本项目规定的条件：</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（一）具有独立承担民事责任的能力； 　　</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（二）具有良好的商业信誉和健全的财务会计制度； 　</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（三）具有履行合同所必需的设备和专业技术能力； 　　</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（四）有依法缴纳税收和社会保障资金的良好记录； 　　</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（五）参加政府采购活动前三年内，在经营活动中没有重大违法记录；</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（六）法律、行政法规规定的其他条件；</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（七）根据采购项目提出的特殊条件。</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二、完全接受和满足本项目</w:t>
      </w:r>
      <w:r>
        <w:rPr>
          <w:rFonts w:hint="eastAsia" w:ascii="宋体" w:hAnsi="宋体" w:eastAsia="宋体" w:cs="宋体"/>
          <w:sz w:val="22"/>
          <w:szCs w:val="22"/>
          <w:highlight w:val="none"/>
          <w:lang w:eastAsia="zh-CN"/>
        </w:rPr>
        <w:t>采购文件</w:t>
      </w:r>
      <w:r>
        <w:rPr>
          <w:rFonts w:hint="eastAsia" w:ascii="宋体" w:hAnsi="宋体" w:eastAsia="宋体" w:cs="宋体"/>
          <w:sz w:val="22"/>
          <w:szCs w:val="22"/>
          <w:highlight w:val="none"/>
        </w:rPr>
        <w:t>中规定的实质性要求，如对磋商文件有异议，已经在投标截止时间届满前依法进行维权救济，不存在对磋商文件有异议的同时又参加投标以求侥幸中标或者为实现其他非法目的的行为。</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三、参加本次招标活动，不存在与单位负责人为同一人或者存在直接控股、管理关系的其他供应商参与同一合同项下的政府采购活动的行为。    </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四、参加本次招标采购活动，不存在为本项目提供整体设计、规范编制或者项目管理、监理、检测等服务的行为。</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五、参加本次招标活动，不存在和其他供应商在同一合同项下的采购项目中，同时委托同一个自然人、同一家庭的人员、同一单位的人员作为代理人的行为。</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六、</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参加本次政府采购活动要求在近三年内</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和其法定代表人没有行贿犯罪行为。</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七、参加本次招标采购活动，不存在联合体投标。</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八、投标文件中提供的能够给予我公司带来优惠、好处的任何材料资料和技术、服务、商务等响应承诺情况都是真实的、有效的、合法的。</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九、存在以下行为之一的愿意接受相关部门的处理：</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（一）投标有效期内撤销投标文件的；</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（二）在采购人确定中标人以前放弃中标候选资格的；</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（三）由于中标人的原因未能按照</w:t>
      </w:r>
      <w:r>
        <w:rPr>
          <w:rFonts w:hint="eastAsia" w:ascii="宋体" w:hAnsi="宋体" w:eastAsia="宋体" w:cs="宋体"/>
          <w:sz w:val="22"/>
          <w:szCs w:val="22"/>
          <w:highlight w:val="none"/>
          <w:lang w:eastAsia="zh-CN"/>
        </w:rPr>
        <w:t>采购文件</w:t>
      </w:r>
      <w:r>
        <w:rPr>
          <w:rFonts w:hint="eastAsia" w:ascii="宋体" w:hAnsi="宋体" w:eastAsia="宋体" w:cs="宋体"/>
          <w:sz w:val="22"/>
          <w:szCs w:val="22"/>
          <w:highlight w:val="none"/>
        </w:rPr>
        <w:t>的规定与采购人签订合同；</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（四）在投标文件中提供虚假材料谋取中标；</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（五）与采购人、其他供应商或者采购代理机构恶意串通的；</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（六）投标有效期内，</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在政府采购活动中有违法、违规、违纪行为。</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由此产生的一切法律后果和责任由我公司承担。我公司声明放弃对此提出任何异议和追索的权利。</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本公司对上述承诺的内容事项真实性负责。如经查实上述承诺的内容事项存在虚假，我公司愿意接受以提供虚假材料谋取中标追究法律责任。</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w:t>
      </w:r>
    </w:p>
    <w:p>
      <w:pPr>
        <w:adjustRightInd w:val="0"/>
        <w:snapToGrid w:val="0"/>
        <w:spacing w:line="480" w:lineRule="atLeast"/>
        <w:ind w:firstLine="440" w:firstLineChars="200"/>
        <w:jc w:val="left"/>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供应商：</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US" w:eastAsia="zh-CN"/>
        </w:rPr>
        <w:t>电子签</w:t>
      </w:r>
      <w:r>
        <w:rPr>
          <w:rFonts w:hint="eastAsia" w:ascii="宋体" w:hAnsi="宋体" w:eastAsia="宋体" w:cs="宋体"/>
          <w:sz w:val="22"/>
          <w:szCs w:val="22"/>
          <w:highlight w:val="none"/>
          <w:u w:val="single"/>
        </w:rPr>
        <w:t>章）</w:t>
      </w:r>
    </w:p>
    <w:p>
      <w:pPr>
        <w:adjustRightInd w:val="0"/>
        <w:snapToGrid w:val="0"/>
        <w:spacing w:line="480" w:lineRule="atLeast"/>
        <w:ind w:firstLine="440" w:firstLineChars="200"/>
        <w:jc w:val="left"/>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法定代表人或其授权代表：</w:t>
      </w:r>
      <w:r>
        <w:rPr>
          <w:rFonts w:hint="eastAsia" w:ascii="宋体" w:hAnsi="宋体" w:eastAsia="宋体" w:cs="宋体"/>
          <w:sz w:val="22"/>
          <w:szCs w:val="22"/>
          <w:highlight w:val="none"/>
          <w:u w:val="single"/>
        </w:rPr>
        <w:t xml:space="preserve">       （签字或</w:t>
      </w:r>
      <w:r>
        <w:rPr>
          <w:rFonts w:hint="eastAsia" w:ascii="宋体" w:hAnsi="宋体" w:eastAsia="宋体" w:cs="宋体"/>
          <w:sz w:val="22"/>
          <w:szCs w:val="22"/>
          <w:highlight w:val="none"/>
          <w:u w:val="single"/>
          <w:lang w:val="en-US" w:eastAsia="zh-CN"/>
        </w:rPr>
        <w:t>电子签</w:t>
      </w:r>
      <w:r>
        <w:rPr>
          <w:rFonts w:hint="eastAsia" w:ascii="宋体" w:hAnsi="宋体" w:eastAsia="宋体" w:cs="宋体"/>
          <w:sz w:val="22"/>
          <w:szCs w:val="22"/>
          <w:highlight w:val="none"/>
          <w:u w:val="single"/>
        </w:rPr>
        <w:t xml:space="preserve">章） </w:t>
      </w:r>
    </w:p>
    <w:p>
      <w:pPr>
        <w:adjustRightInd w:val="0"/>
        <w:snapToGrid w:val="0"/>
        <w:spacing w:line="480" w:lineRule="atLeas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日期：  年  月  日</w:t>
      </w:r>
    </w:p>
    <w:p>
      <w:pPr>
        <w:adjustRightInd w:val="0"/>
        <w:snapToGrid w:val="0"/>
        <w:spacing w:line="520" w:lineRule="atLeast"/>
        <w:rPr>
          <w:rFonts w:hint="eastAsia" w:ascii="宋体" w:hAnsi="宋体" w:eastAsia="宋体" w:cs="宋体"/>
          <w:b/>
          <w:sz w:val="21"/>
          <w:szCs w:val="22"/>
          <w:highlight w:val="none"/>
        </w:rPr>
      </w:pPr>
    </w:p>
    <w:p>
      <w:pPr>
        <w:pStyle w:val="6"/>
        <w:ind w:firstLine="210"/>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rPr>
          <w:rFonts w:hint="eastAsia" w:ascii="宋体" w:hAnsi="宋体" w:eastAsia="宋体" w:cs="宋体"/>
          <w:highlight w:val="none"/>
        </w:rPr>
      </w:pPr>
    </w:p>
    <w:p>
      <w:pPr>
        <w:pStyle w:val="6"/>
        <w:rPr>
          <w:rFonts w:hint="eastAsia" w:ascii="宋体" w:hAnsi="宋体" w:eastAsia="宋体" w:cs="宋体"/>
          <w:highlight w:val="none"/>
        </w:rPr>
      </w:pPr>
    </w:p>
    <w:p>
      <w:pPr>
        <w:pStyle w:val="7"/>
        <w:rPr>
          <w:rFonts w:hint="eastAsia" w:ascii="宋体" w:hAnsi="宋体" w:eastAsia="宋体" w:cs="宋体"/>
          <w:highlight w:val="none"/>
        </w:rPr>
      </w:pPr>
    </w:p>
    <w:p>
      <w:pPr>
        <w:pStyle w:val="7"/>
        <w:ind w:left="0" w:lef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（二）实质性条款承诺函</w:t>
      </w:r>
    </w:p>
    <w:p>
      <w:pPr>
        <w:pStyle w:val="7"/>
        <w:ind w:firstLine="2319" w:firstLineChars="1100"/>
        <w:rPr>
          <w:rFonts w:hint="eastAsia" w:ascii="宋体" w:hAnsi="宋体" w:eastAsia="宋体" w:cs="宋体"/>
          <w:highlight w:val="none"/>
        </w:rPr>
      </w:pPr>
      <w:r>
        <w:rPr>
          <w:rFonts w:hint="eastAsia" w:ascii="宋体" w:hAnsi="宋体" w:eastAsia="宋体" w:cs="宋体"/>
          <w:b/>
          <w:bCs/>
          <w:highlight w:val="none"/>
        </w:rPr>
        <w:t>主要商务及技术实质性条款承诺函</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w:t>
      </w:r>
      <w:r>
        <w:rPr>
          <w:rFonts w:hint="eastAsia" w:ascii="宋体" w:hAnsi="宋体" w:eastAsia="宋体" w:cs="宋体"/>
          <w:highlight w:val="none"/>
          <w:u w:val="single"/>
          <w:lang w:val="en-US" w:eastAsia="zh-CN"/>
        </w:rPr>
        <w:t>采购人</w:t>
      </w:r>
      <w:r>
        <w:rPr>
          <w:rFonts w:hint="eastAsia" w:ascii="宋体" w:hAnsi="宋体" w:eastAsia="宋体" w:cs="宋体"/>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highlight w:val="none"/>
        </w:rPr>
      </w:pPr>
      <w:r>
        <w:rPr>
          <w:rFonts w:hint="eastAsia" w:ascii="宋体" w:hAnsi="宋体" w:eastAsia="宋体" w:cs="宋体"/>
          <w:highlight w:val="none"/>
        </w:rPr>
        <w:t>根据贵方</w:t>
      </w:r>
      <w:r>
        <w:rPr>
          <w:rFonts w:hint="eastAsia" w:ascii="宋体" w:hAnsi="宋体" w:eastAsia="宋体" w:cs="宋体"/>
          <w:highlight w:val="none"/>
          <w:u w:val="single"/>
        </w:rPr>
        <w:t xml:space="preserve">    （项目名称）      </w:t>
      </w:r>
      <w:r>
        <w:rPr>
          <w:rFonts w:hint="eastAsia" w:ascii="宋体" w:hAnsi="宋体" w:eastAsia="宋体" w:cs="宋体"/>
          <w:highlight w:val="none"/>
        </w:rPr>
        <w:t xml:space="preserve">的主要商务及技术实质性条款要求， </w:t>
      </w:r>
      <w:r>
        <w:rPr>
          <w:rFonts w:hint="eastAsia" w:ascii="宋体" w:hAnsi="宋体" w:eastAsia="宋体" w:cs="宋体"/>
          <w:highlight w:val="none"/>
          <w:u w:val="single"/>
        </w:rPr>
        <w:t xml:space="preserve">  （</w:t>
      </w:r>
      <w:r>
        <w:rPr>
          <w:rFonts w:hint="eastAsia" w:ascii="宋体" w:hAnsi="宋体" w:eastAsia="宋体" w:cs="宋体"/>
          <w:highlight w:val="none"/>
          <w:u w:val="single"/>
          <w:lang w:eastAsia="zh-CN"/>
        </w:rPr>
        <w:t>供应商</w:t>
      </w:r>
      <w:r>
        <w:rPr>
          <w:rFonts w:hint="eastAsia" w:ascii="宋体" w:hAnsi="宋体" w:eastAsia="宋体" w:cs="宋体"/>
          <w:highlight w:val="none"/>
          <w:u w:val="single"/>
        </w:rPr>
        <w:t>名称）</w:t>
      </w:r>
      <w:r>
        <w:rPr>
          <w:rFonts w:hint="eastAsia" w:ascii="宋体" w:hAnsi="宋体" w:eastAsia="宋体" w:cs="宋体"/>
          <w:highlight w:val="none"/>
        </w:rPr>
        <w:t>提交</w:t>
      </w:r>
      <w:r>
        <w:rPr>
          <w:rFonts w:hint="eastAsia" w:ascii="宋体" w:hAnsi="宋体" w:eastAsia="宋体" w:cs="宋体"/>
          <w:highlight w:val="none"/>
          <w:lang w:val="en-US" w:eastAsia="zh-CN"/>
        </w:rPr>
        <w:t>电子响应文件</w:t>
      </w:r>
      <w:r>
        <w:rPr>
          <w:rFonts w:hint="eastAsia" w:ascii="宋体" w:hAnsi="宋体" w:eastAsia="宋体" w:cs="宋体"/>
          <w:highlight w:val="none"/>
        </w:rPr>
        <w:t>，并对之负法律责任。据此函，我方承诺如下：</w:t>
      </w:r>
    </w:p>
    <w:p>
      <w:pPr>
        <w:pStyle w:val="7"/>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highlight w:val="none"/>
        </w:rPr>
      </w:pPr>
      <w:r>
        <w:rPr>
          <w:rFonts w:hint="eastAsia" w:ascii="宋体" w:hAnsi="宋体" w:eastAsia="宋体" w:cs="宋体"/>
          <w:highlight w:val="none"/>
        </w:rPr>
        <w:t>项目规模，建设内容、建设条件、建设工期、建设质量等实质性要求见</w:t>
      </w:r>
      <w:r>
        <w:rPr>
          <w:rFonts w:hint="eastAsia" w:ascii="宋体" w:hAnsi="宋体" w:eastAsia="宋体" w:cs="宋体"/>
          <w:highlight w:val="none"/>
          <w:lang w:eastAsia="zh-CN"/>
        </w:rPr>
        <w:t>供应商</w:t>
      </w:r>
      <w:r>
        <w:rPr>
          <w:rFonts w:hint="eastAsia" w:ascii="宋体" w:hAnsi="宋体" w:eastAsia="宋体" w:cs="宋体"/>
          <w:highlight w:val="none"/>
        </w:rPr>
        <w:t>须知前附表；</w:t>
      </w:r>
    </w:p>
    <w:p>
      <w:pPr>
        <w:pStyle w:val="7"/>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highlight w:val="none"/>
        </w:rPr>
      </w:pPr>
      <w:r>
        <w:rPr>
          <w:rFonts w:hint="eastAsia" w:ascii="宋体" w:hAnsi="宋体" w:eastAsia="宋体" w:cs="宋体"/>
          <w:highlight w:val="none"/>
        </w:rPr>
        <w:t>严格按照国家、省、市、县相关法律、法规、标准、地方规定等约束性文件要求及施工图纸要求，按期、按质、按量履行合同；</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22"/>
        <w:textAlignment w:val="auto"/>
        <w:rPr>
          <w:rFonts w:hint="eastAsia" w:ascii="宋体" w:hAnsi="宋体" w:eastAsia="宋体" w:cs="宋体"/>
          <w:b w:val="0"/>
          <w:bCs w:val="0"/>
          <w:highlight w:val="none"/>
        </w:rPr>
      </w:pPr>
      <w:r>
        <w:rPr>
          <w:rFonts w:hint="eastAsia" w:ascii="宋体" w:hAnsi="宋体" w:eastAsia="宋体" w:cs="宋体"/>
          <w:b w:val="0"/>
          <w:bCs w:val="0"/>
          <w:highlight w:val="none"/>
          <w:lang w:val="en-US" w:eastAsia="zh-CN"/>
        </w:rPr>
        <w:t>3、</w:t>
      </w:r>
      <w:r>
        <w:rPr>
          <w:rFonts w:hint="eastAsia" w:ascii="宋体" w:hAnsi="宋体" w:eastAsia="宋体" w:cs="宋体"/>
          <w:b w:val="0"/>
          <w:bCs w:val="0"/>
          <w:highlight w:val="none"/>
        </w:rPr>
        <w:t>本项目资金未完全到位，参与选取的施工单位必须具备经济实力，同意承诺在项目资金未到位情况下不停工、不拖欠农民工工资、保证按期交工，因项目资金问题造成的施工停工项目单位有权无条件解除合同，造成的任何上访事件均有施工方主动处理，否则将上报上级主管单位；</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highlight w:val="none"/>
        </w:rPr>
      </w:pPr>
      <w:r>
        <w:rPr>
          <w:rFonts w:hint="eastAsia" w:ascii="宋体" w:hAnsi="宋体" w:eastAsia="宋体" w:cs="宋体"/>
          <w:bCs/>
          <w:highlight w:val="none"/>
          <w:lang w:val="en-US" w:eastAsia="zh-CN"/>
        </w:rPr>
        <w:t>4、</w:t>
      </w:r>
      <w:r>
        <w:rPr>
          <w:rFonts w:hint="eastAsia" w:ascii="宋体" w:hAnsi="宋体" w:eastAsia="宋体" w:cs="宋体"/>
          <w:highlight w:val="none"/>
        </w:rPr>
        <w:t>施工企业应详细审查竞争性磋商文件，包括修改文件以及全部参考资料和有关附件；</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响应文件有效期为自磋商之日起</w:t>
      </w:r>
      <w:r>
        <w:rPr>
          <w:rFonts w:hint="eastAsia" w:ascii="宋体" w:hAnsi="宋体" w:eastAsia="宋体" w:cs="宋体"/>
          <w:highlight w:val="none"/>
          <w:lang w:val="en-US" w:eastAsia="zh-CN"/>
        </w:rPr>
        <w:t>90</w:t>
      </w:r>
      <w:r>
        <w:rPr>
          <w:rFonts w:hint="eastAsia" w:ascii="宋体" w:hAnsi="宋体" w:eastAsia="宋体" w:cs="宋体"/>
          <w:highlight w:val="none"/>
        </w:rPr>
        <w:t>日历天；</w:t>
      </w:r>
    </w:p>
    <w:p>
      <w:pPr>
        <w:pStyle w:val="7"/>
        <w:spacing w:line="360" w:lineRule="auto"/>
        <w:rPr>
          <w:rFonts w:hint="eastAsia" w:ascii="宋体" w:hAnsi="宋体" w:eastAsia="宋体" w:cs="宋体"/>
          <w:highlight w:val="none"/>
        </w:rPr>
      </w:pPr>
    </w:p>
    <w:p>
      <w:pPr>
        <w:pStyle w:val="7"/>
        <w:spacing w:line="360" w:lineRule="auto"/>
        <w:rPr>
          <w:rFonts w:hint="eastAsia" w:ascii="宋体" w:hAnsi="宋体" w:eastAsia="宋体" w:cs="宋体"/>
          <w:highlight w:val="none"/>
        </w:rPr>
      </w:pPr>
      <w:r>
        <w:rPr>
          <w:rFonts w:hint="eastAsia" w:ascii="宋体" w:hAnsi="宋体" w:eastAsia="宋体" w:cs="宋体"/>
          <w:highlight w:val="none"/>
        </w:rPr>
        <w:t>施工企业名称（</w:t>
      </w:r>
      <w:r>
        <w:rPr>
          <w:rFonts w:hint="eastAsia" w:ascii="宋体" w:hAnsi="宋体" w:eastAsia="宋体" w:cs="宋体"/>
          <w:highlight w:val="none"/>
          <w:lang w:val="en-US" w:eastAsia="zh-CN"/>
        </w:rPr>
        <w:t>电子签章</w:t>
      </w:r>
      <w:r>
        <w:rPr>
          <w:rFonts w:hint="eastAsia" w:ascii="宋体" w:hAnsi="宋体" w:eastAsia="宋体" w:cs="宋体"/>
          <w:highlight w:val="none"/>
        </w:rPr>
        <w:t>）：                     法定代表人（签字）：</w:t>
      </w:r>
    </w:p>
    <w:p>
      <w:pPr>
        <w:pStyle w:val="7"/>
        <w:spacing w:line="360" w:lineRule="auto"/>
        <w:rPr>
          <w:rFonts w:hint="eastAsia" w:ascii="宋体" w:hAnsi="宋体" w:eastAsia="宋体" w:cs="宋体"/>
          <w:highlight w:val="none"/>
        </w:rPr>
      </w:pPr>
      <w:r>
        <w:rPr>
          <w:rFonts w:hint="eastAsia" w:ascii="宋体" w:hAnsi="宋体" w:eastAsia="宋体" w:cs="宋体"/>
          <w:highlight w:val="none"/>
        </w:rPr>
        <w:t>法定代表人联系电话：</w:t>
      </w:r>
    </w:p>
    <w:p>
      <w:pPr>
        <w:pStyle w:val="7"/>
        <w:spacing w:line="360" w:lineRule="auto"/>
        <w:rPr>
          <w:rFonts w:hint="eastAsia" w:ascii="宋体" w:hAnsi="宋体" w:eastAsia="宋体" w:cs="宋体"/>
          <w:highlight w:val="none"/>
        </w:rPr>
      </w:pPr>
    </w:p>
    <w:p>
      <w:pPr>
        <w:pStyle w:val="7"/>
        <w:spacing w:line="360" w:lineRule="auto"/>
        <w:rPr>
          <w:rFonts w:hint="eastAsia" w:ascii="宋体" w:hAnsi="宋体" w:eastAsia="宋体" w:cs="宋体"/>
          <w:highlight w:val="none"/>
        </w:rPr>
      </w:pPr>
      <w:r>
        <w:rPr>
          <w:rFonts w:hint="eastAsia" w:ascii="宋体" w:hAnsi="宋体" w:eastAsia="宋体" w:cs="宋体"/>
          <w:highlight w:val="none"/>
        </w:rPr>
        <w:t>日  期：     年   月   日</w:t>
      </w:r>
    </w:p>
    <w:p>
      <w:pPr>
        <w:pStyle w:val="7"/>
        <w:ind w:left="0" w:leftChars="0" w:firstLine="0" w:firstLineChars="0"/>
        <w:rPr>
          <w:rFonts w:hint="eastAsia" w:ascii="宋体" w:hAnsi="宋体" w:eastAsia="宋体" w:cs="宋体"/>
          <w:highlight w:val="none"/>
        </w:rPr>
      </w:pPr>
    </w:p>
    <w:p>
      <w:pPr>
        <w:pStyle w:val="2"/>
        <w:numPr>
          <w:ilvl w:val="0"/>
          <w:numId w:val="0"/>
        </w:numPr>
        <w:jc w:val="both"/>
        <w:rPr>
          <w:rFonts w:hint="eastAsia" w:ascii="宋体" w:hAnsi="宋体" w:eastAsia="宋体" w:cs="宋体"/>
          <w:kern w:val="2"/>
          <w:sz w:val="28"/>
          <w:szCs w:val="28"/>
          <w:highlight w:val="none"/>
          <w:lang w:val="zh-CN" w:eastAsia="zh-CN"/>
        </w:rPr>
      </w:pPr>
      <w:bookmarkStart w:id="594" w:name="_Toc7001"/>
    </w:p>
    <w:p>
      <w:pPr>
        <w:pStyle w:val="2"/>
        <w:numPr>
          <w:ilvl w:val="0"/>
          <w:numId w:val="0"/>
        </w:numPr>
        <w:jc w:val="both"/>
        <w:rPr>
          <w:rFonts w:hint="eastAsia" w:ascii="宋体" w:hAnsi="宋体" w:eastAsia="宋体" w:cs="宋体"/>
          <w:kern w:val="2"/>
          <w:sz w:val="28"/>
          <w:szCs w:val="28"/>
          <w:highlight w:val="none"/>
          <w:lang w:val="zh-CN" w:eastAsia="zh-CN"/>
        </w:rPr>
      </w:pPr>
      <w:r>
        <w:rPr>
          <w:rFonts w:hint="eastAsia" w:ascii="宋体" w:hAnsi="宋体" w:eastAsia="宋体" w:cs="宋体"/>
          <w:kern w:val="2"/>
          <w:sz w:val="28"/>
          <w:szCs w:val="28"/>
          <w:highlight w:val="none"/>
          <w:lang w:val="zh-CN" w:eastAsia="zh-CN"/>
        </w:rPr>
        <w:t>九、竞争性磋商文件要求供应商提交的其它相关资料或供应商认为有必要提供的其它资料</w:t>
      </w:r>
      <w:bookmarkEnd w:id="594"/>
    </w:p>
    <w:p>
      <w:pPr>
        <w:pStyle w:val="43"/>
        <w:widowControl w:val="0"/>
        <w:adjustRightInd w:val="0"/>
        <w:snapToGrid w:val="0"/>
        <w:spacing w:before="0" w:after="0" w:line="400" w:lineRule="atLeast"/>
        <w:rPr>
          <w:rFonts w:hint="eastAsia" w:ascii="宋体" w:hAnsi="宋体" w:eastAsia="宋体" w:cs="宋体"/>
          <w:b/>
          <w:bCs/>
          <w:kern w:val="21"/>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both"/>
        <w:rPr>
          <w:rFonts w:hint="eastAsia" w:ascii="宋体" w:hAnsi="宋体" w:eastAsia="宋体" w:cs="宋体"/>
          <w:b/>
          <w:bCs/>
          <w:kern w:val="36"/>
          <w:sz w:val="36"/>
          <w:szCs w:val="36"/>
          <w:highlight w:val="none"/>
        </w:rPr>
      </w:pPr>
    </w:p>
    <w:p>
      <w:pPr>
        <w:pStyle w:val="2"/>
        <w:numPr>
          <w:ilvl w:val="0"/>
          <w:numId w:val="0"/>
        </w:numPr>
        <w:jc w:val="center"/>
        <w:rPr>
          <w:rFonts w:hint="eastAsia" w:ascii="宋体" w:hAnsi="宋体" w:eastAsia="宋体" w:cs="宋体"/>
          <w:kern w:val="2"/>
          <w:sz w:val="28"/>
          <w:szCs w:val="28"/>
          <w:highlight w:val="none"/>
          <w:lang w:val="zh-CN" w:eastAsia="zh-CN"/>
        </w:rPr>
      </w:pPr>
      <w:bookmarkStart w:id="595" w:name="_Toc13468"/>
      <w:r>
        <w:rPr>
          <w:rFonts w:hint="eastAsia" w:ascii="宋体" w:hAnsi="宋体" w:eastAsia="宋体" w:cs="宋体"/>
          <w:kern w:val="2"/>
          <w:sz w:val="28"/>
          <w:szCs w:val="28"/>
          <w:highlight w:val="none"/>
          <w:lang w:val="zh-CN" w:eastAsia="zh-CN"/>
        </w:rPr>
        <w:t>十、已标价的工程量清单</w:t>
      </w:r>
      <w:bookmarkEnd w:id="595"/>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both"/>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43"/>
        <w:widowControl w:val="0"/>
        <w:adjustRightInd w:val="0"/>
        <w:snapToGrid w:val="0"/>
        <w:spacing w:before="0" w:after="0" w:line="400" w:lineRule="atLeast"/>
        <w:jc w:val="center"/>
        <w:rPr>
          <w:rFonts w:hint="eastAsia" w:ascii="宋体" w:hAnsi="宋体" w:eastAsia="宋体" w:cs="宋体"/>
          <w:b/>
          <w:bCs/>
          <w:kern w:val="36"/>
          <w:sz w:val="36"/>
          <w:szCs w:val="36"/>
          <w:highlight w:val="none"/>
        </w:rPr>
      </w:pPr>
    </w:p>
    <w:p>
      <w:pPr>
        <w:pStyle w:val="2"/>
        <w:numPr>
          <w:ilvl w:val="0"/>
          <w:numId w:val="0"/>
        </w:numPr>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zh-CN" w:eastAsia="zh-CN"/>
        </w:rPr>
        <w:t>十</w:t>
      </w:r>
      <w:r>
        <w:rPr>
          <w:rFonts w:hint="eastAsia" w:ascii="宋体" w:hAnsi="宋体" w:eastAsia="宋体" w:cs="宋体"/>
          <w:kern w:val="2"/>
          <w:sz w:val="28"/>
          <w:szCs w:val="28"/>
          <w:highlight w:val="none"/>
          <w:lang w:val="en-US" w:eastAsia="zh-CN"/>
        </w:rPr>
        <w:t>一</w:t>
      </w:r>
      <w:r>
        <w:rPr>
          <w:rFonts w:hint="eastAsia" w:ascii="宋体" w:hAnsi="宋体" w:eastAsia="宋体" w:cs="宋体"/>
          <w:kern w:val="2"/>
          <w:sz w:val="28"/>
          <w:szCs w:val="28"/>
          <w:highlight w:val="none"/>
          <w:lang w:val="zh-CN" w:eastAsia="zh-CN"/>
        </w:rPr>
        <w:t>、</w:t>
      </w:r>
      <w:r>
        <w:rPr>
          <w:rFonts w:hint="eastAsia" w:ascii="宋体" w:hAnsi="宋体" w:eastAsia="宋体" w:cs="宋体"/>
          <w:kern w:val="2"/>
          <w:sz w:val="28"/>
          <w:szCs w:val="28"/>
          <w:highlight w:val="none"/>
          <w:lang w:val="en-US" w:eastAsia="zh-CN"/>
        </w:rPr>
        <w:t>综合信用标要求材料</w:t>
      </w:r>
    </w:p>
    <w:p>
      <w:pPr>
        <w:pStyle w:val="7"/>
        <w:ind w:left="0" w:leftChars="0" w:firstLine="0" w:firstLineChars="0"/>
        <w:rPr>
          <w:rFonts w:hint="eastAsia" w:ascii="宋体" w:hAnsi="宋体" w:eastAsia="宋体" w:cs="宋体"/>
          <w:szCs w:val="20"/>
          <w:highlight w:val="none"/>
        </w:rPr>
      </w:pPr>
    </w:p>
    <w:p>
      <w:pPr>
        <w:pStyle w:val="7"/>
        <w:rPr>
          <w:rFonts w:hint="eastAsia" w:ascii="宋体" w:hAnsi="宋体" w:eastAsia="宋体" w:cs="宋体"/>
          <w:szCs w:val="20"/>
          <w:highlight w:val="none"/>
        </w:rPr>
      </w:pPr>
    </w:p>
    <w:p>
      <w:pPr>
        <w:pStyle w:val="2"/>
        <w:numPr>
          <w:ilvl w:val="0"/>
          <w:numId w:val="0"/>
        </w:numPr>
        <w:spacing w:line="400" w:lineRule="exact"/>
        <w:rPr>
          <w:rFonts w:hint="eastAsia" w:ascii="宋体" w:hAnsi="宋体" w:eastAsia="宋体" w:cs="宋体"/>
          <w:b w:val="0"/>
          <w:bCs w:val="0"/>
          <w:sz w:val="28"/>
          <w:szCs w:val="28"/>
          <w:highlight w:val="none"/>
          <w:lang w:val="en-US" w:eastAsia="zh-CN"/>
        </w:rPr>
      </w:pPr>
      <w:bookmarkStart w:id="596" w:name="_Toc14204"/>
      <w:r>
        <w:rPr>
          <w:rFonts w:hint="eastAsia" w:ascii="宋体" w:hAnsi="宋体" w:eastAsia="宋体" w:cs="宋体"/>
          <w:b w:val="0"/>
          <w:bCs w:val="0"/>
          <w:sz w:val="28"/>
          <w:szCs w:val="28"/>
          <w:highlight w:val="none"/>
        </w:rPr>
        <w:br w:type="page"/>
      </w:r>
      <w:r>
        <w:rPr>
          <w:rFonts w:hint="eastAsia" w:ascii="宋体" w:hAnsi="宋体" w:eastAsia="宋体" w:cs="宋体"/>
          <w:b w:val="0"/>
          <w:bCs w:val="0"/>
          <w:sz w:val="28"/>
          <w:szCs w:val="28"/>
          <w:highlight w:val="none"/>
        </w:rPr>
        <w:t>附件：</w:t>
      </w:r>
      <w:bookmarkEnd w:id="596"/>
      <w:r>
        <w:rPr>
          <w:rFonts w:hint="eastAsia" w:ascii="宋体" w:hAnsi="宋体" w:eastAsia="宋体" w:cs="宋体"/>
          <w:b w:val="0"/>
          <w:bCs w:val="0"/>
          <w:sz w:val="28"/>
          <w:szCs w:val="28"/>
          <w:highlight w:val="none"/>
          <w:lang w:val="en-US" w:eastAsia="zh-CN"/>
        </w:rPr>
        <w:t xml:space="preserve">   </w:t>
      </w:r>
    </w:p>
    <w:p>
      <w:pPr>
        <w:pStyle w:val="2"/>
        <w:numPr>
          <w:ilvl w:val="0"/>
          <w:numId w:val="0"/>
        </w:numPr>
        <w:spacing w:line="400" w:lineRule="exact"/>
        <w:ind w:firstLine="301" w:firstLineChars="100"/>
        <w:jc w:val="center"/>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中小企业证明材料</w:t>
      </w:r>
    </w:p>
    <w:p>
      <w:pPr>
        <w:adjustRightInd w:val="0"/>
        <w:snapToGrid w:val="0"/>
        <w:spacing w:line="400" w:lineRule="atLeas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注：属于政府采购相关规定的中小微企业及提供其他中小微企业产品的供应商提供，如不属于可不提供。</w:t>
      </w:r>
    </w:p>
    <w:p>
      <w:pPr>
        <w:adjustRightInd w:val="0"/>
        <w:snapToGrid w:val="0"/>
        <w:spacing w:line="400" w:lineRule="atLeas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中小企业划分标准按照《关于印发中小企业划型标准规定的通知》（工信部联企业 [2011]300号）执行</w:t>
      </w:r>
    </w:p>
    <w:p>
      <w:pPr>
        <w:adjustRightInd w:val="0"/>
        <w:snapToGrid w:val="0"/>
        <w:spacing w:line="400" w:lineRule="atLeast"/>
        <w:jc w:val="center"/>
        <w:rPr>
          <w:rFonts w:hint="eastAsia" w:ascii="宋体" w:hAnsi="宋体" w:eastAsia="宋体" w:cs="宋体"/>
          <w:b/>
          <w:sz w:val="24"/>
          <w:highlight w:val="none"/>
        </w:rPr>
      </w:pPr>
    </w:p>
    <w:p>
      <w:pPr>
        <w:keepNext w:val="0"/>
        <w:keepLines w:val="0"/>
        <w:widowControl/>
        <w:suppressLineNumbers w:val="0"/>
        <w:jc w:val="center"/>
        <w:rPr>
          <w:rFonts w:hint="eastAsia" w:ascii="宋体" w:hAnsi="宋体" w:eastAsia="宋体"/>
          <w:b/>
          <w:bCs/>
          <w:color w:val="auto"/>
          <w:sz w:val="24"/>
          <w:szCs w:val="24"/>
          <w:highlight w:val="none"/>
          <w:lang w:val="en-US" w:eastAsia="zh-CN" w:bidi="ar-SA"/>
        </w:rPr>
      </w:pPr>
      <w:r>
        <w:rPr>
          <w:rFonts w:hint="eastAsia" w:ascii="宋体" w:hAnsi="宋体" w:eastAsia="宋体"/>
          <w:b/>
          <w:bCs/>
          <w:color w:val="auto"/>
          <w:sz w:val="24"/>
          <w:szCs w:val="24"/>
          <w:highlight w:val="none"/>
          <w:lang w:val="en-US" w:eastAsia="zh-CN" w:bidi="ar-SA"/>
        </w:rPr>
        <w:t>中小企业声明函（工程、服务）</w:t>
      </w:r>
    </w:p>
    <w:p>
      <w:pPr>
        <w:keepNext w:val="0"/>
        <w:keepLines w:val="0"/>
        <w:widowControl/>
        <w:suppressLineNumbers w:val="0"/>
        <w:ind w:firstLine="480" w:firstLineChars="200"/>
        <w:jc w:val="left"/>
        <w:rPr>
          <w:rFonts w:hint="eastAsia" w:ascii="宋体" w:hAnsi="宋体" w:eastAsia="宋体" w:cs="宋体"/>
          <w:sz w:val="24"/>
          <w:szCs w:val="24"/>
          <w:lang w:val="en-US" w:eastAsia="zh-CN"/>
        </w:rPr>
      </w:pPr>
    </w:p>
    <w:p>
      <w:pPr>
        <w:keepNext w:val="0"/>
        <w:keepLines w:val="0"/>
        <w:widowControl/>
        <w:suppressLineNumbers w:val="0"/>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sz w:val="24"/>
          <w:szCs w:val="24"/>
          <w:u w:val="single"/>
          <w:lang w:val="en-US" w:eastAsia="zh-CN"/>
        </w:rPr>
        <w:t>（单位名称）</w:t>
      </w:r>
      <w:r>
        <w:rPr>
          <w:rFonts w:hint="eastAsia" w:ascii="宋体" w:hAnsi="宋体" w:eastAsia="宋体" w:cs="宋体"/>
          <w:sz w:val="24"/>
          <w:szCs w:val="24"/>
          <w:u w:val="none"/>
          <w:lang w:val="en-US" w:eastAsia="zh-CN"/>
        </w:rPr>
        <w:t>的</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，属于</w:t>
      </w:r>
      <w:r>
        <w:rPr>
          <w:rFonts w:hint="eastAsia" w:ascii="宋体" w:hAnsi="宋体" w:eastAsia="宋体" w:cs="宋体"/>
          <w:sz w:val="24"/>
          <w:szCs w:val="24"/>
          <w:u w:val="single"/>
          <w:lang w:val="en-US" w:eastAsia="zh-CN"/>
        </w:rPr>
        <w:t>（采购采购文件中明确的所属行业）</w:t>
      </w:r>
      <w:r>
        <w:rPr>
          <w:rFonts w:hint="eastAsia" w:ascii="宋体" w:hAnsi="宋体" w:eastAsia="宋体" w:cs="宋体"/>
          <w:sz w:val="24"/>
          <w:szCs w:val="24"/>
          <w:u w:val="none"/>
          <w:lang w:val="en-US" w:eastAsia="zh-CN"/>
        </w:rPr>
        <w:t>行业；制造商为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u w:val="none"/>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万元，属于</w:t>
      </w:r>
      <w:r>
        <w:rPr>
          <w:rFonts w:hint="eastAsia" w:ascii="宋体" w:hAnsi="宋体" w:eastAsia="宋体" w:cs="宋体"/>
          <w:sz w:val="24"/>
          <w:szCs w:val="24"/>
          <w:u w:val="single"/>
          <w:lang w:val="en-US" w:eastAsia="zh-CN"/>
        </w:rPr>
        <w:t>（中型企业、小型企业、微型企业）</w:t>
      </w:r>
      <w:r>
        <w:rPr>
          <w:rFonts w:hint="eastAsia" w:ascii="宋体" w:hAnsi="宋体" w:eastAsia="宋体" w:cs="宋体"/>
          <w:sz w:val="24"/>
          <w:szCs w:val="24"/>
          <w:u w:val="none"/>
          <w:lang w:val="en-US" w:eastAsia="zh-CN"/>
        </w:rPr>
        <w:t>；</w:t>
      </w:r>
    </w:p>
    <w:p>
      <w:pPr>
        <w:keepNext w:val="0"/>
        <w:keepLines w:val="0"/>
        <w:widowControl/>
        <w:suppressLineNumbers w:val="0"/>
        <w:jc w:val="left"/>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，属于</w:t>
      </w:r>
      <w:r>
        <w:rPr>
          <w:rFonts w:hint="eastAsia" w:ascii="宋体" w:hAnsi="宋体" w:eastAsia="宋体" w:cs="宋体"/>
          <w:sz w:val="24"/>
          <w:szCs w:val="24"/>
          <w:u w:val="single"/>
          <w:lang w:val="en-US" w:eastAsia="zh-CN"/>
        </w:rPr>
        <w:t>（采购采购文件中明确的所属行业）</w:t>
      </w:r>
      <w:r>
        <w:rPr>
          <w:rFonts w:hint="eastAsia" w:ascii="宋体" w:hAnsi="宋体" w:eastAsia="宋体" w:cs="宋体"/>
          <w:sz w:val="24"/>
          <w:szCs w:val="24"/>
          <w:u w:val="none"/>
          <w:lang w:val="en-US" w:eastAsia="zh-CN"/>
        </w:rPr>
        <w:t>行业；制造商为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u w:val="none"/>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万元，属于</w:t>
      </w:r>
      <w:r>
        <w:rPr>
          <w:rFonts w:hint="eastAsia" w:ascii="宋体" w:hAnsi="宋体" w:eastAsia="宋体" w:cs="宋体"/>
          <w:sz w:val="24"/>
          <w:szCs w:val="24"/>
          <w:u w:val="single"/>
          <w:lang w:val="en-US" w:eastAsia="zh-CN"/>
        </w:rPr>
        <w:t>（中型企业、小型企业、微型企业）</w:t>
      </w:r>
    </w:p>
    <w:p>
      <w:pPr>
        <w:keepNext w:val="0"/>
        <w:keepLines w:val="0"/>
        <w:widowControl/>
        <w:suppressLineNumbers w:val="0"/>
        <w:jc w:val="left"/>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w:t>
      </w:r>
    </w:p>
    <w:p>
      <w:pPr>
        <w:keepNext w:val="0"/>
        <w:keepLines w:val="0"/>
        <w:widowControl/>
        <w:suppressLineNumbers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以上企业，不属于大企业的分支机构，不存在控股股东为大企业的情形，也不存在与大企业的负责人为同一人的情形。</w:t>
      </w:r>
    </w:p>
    <w:p>
      <w:pPr>
        <w:keepNext w:val="0"/>
        <w:keepLines w:val="0"/>
        <w:widowControl/>
        <w:suppressLineNumbers w:val="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本企业对上述声明内容的真实性负责。如有虚假，将依法承担相应责任。</w:t>
      </w:r>
    </w:p>
    <w:p>
      <w:pPr>
        <w:keepNext w:val="0"/>
        <w:keepLines w:val="0"/>
        <w:widowControl/>
        <w:suppressLineNumbers w:val="0"/>
        <w:ind w:firstLine="5040" w:firstLineChars="2100"/>
        <w:jc w:val="both"/>
        <w:rPr>
          <w:rFonts w:hint="eastAsia" w:ascii="宋体" w:hAnsi="宋体" w:eastAsia="宋体" w:cs="宋体"/>
          <w:sz w:val="24"/>
          <w:szCs w:val="24"/>
          <w:u w:val="none"/>
          <w:lang w:val="en-US" w:eastAsia="zh-CN"/>
        </w:rPr>
      </w:pPr>
    </w:p>
    <w:p>
      <w:pPr>
        <w:keepNext w:val="0"/>
        <w:keepLines w:val="0"/>
        <w:widowControl/>
        <w:suppressLineNumbers w:val="0"/>
        <w:ind w:firstLine="5040" w:firstLineChars="2100"/>
        <w:jc w:val="both"/>
        <w:rPr>
          <w:rFonts w:hint="eastAsia" w:ascii="宋体" w:hAnsi="宋体" w:eastAsia="宋体" w:cs="宋体"/>
          <w:sz w:val="24"/>
          <w:szCs w:val="24"/>
          <w:u w:val="none"/>
          <w:lang w:val="en-US" w:eastAsia="zh-CN"/>
        </w:rPr>
      </w:pPr>
    </w:p>
    <w:p>
      <w:pPr>
        <w:keepNext w:val="0"/>
        <w:keepLines w:val="0"/>
        <w:widowControl/>
        <w:suppressLineNumbers w:val="0"/>
        <w:ind w:firstLine="5520" w:firstLineChars="230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企业名称（盖章）： </w:t>
      </w:r>
    </w:p>
    <w:p>
      <w:pPr>
        <w:keepNext w:val="0"/>
        <w:keepLines w:val="0"/>
        <w:widowControl/>
        <w:suppressLineNumbers w:val="0"/>
        <w:ind w:firstLine="5520" w:firstLineChars="23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日 期：</w:t>
      </w:r>
    </w:p>
    <w:p>
      <w:pPr>
        <w:rPr>
          <w:rFonts w:ascii="宋体" w:hAnsi="宋体"/>
          <w:spacing w:val="14"/>
          <w:sz w:val="24"/>
          <w:szCs w:val="24"/>
        </w:rPr>
      </w:pPr>
      <w:r>
        <w:rPr>
          <w:rFonts w:hint="eastAsia" w:ascii="宋体" w:hAnsi="宋体"/>
          <w:spacing w:val="14"/>
          <w:sz w:val="24"/>
          <w:szCs w:val="24"/>
        </w:rPr>
        <w:t xml:space="preserve"> </w:t>
      </w:r>
    </w:p>
    <w:p>
      <w:pPr>
        <w:rPr>
          <w:rFonts w:hint="eastAsia"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hint="eastAsia" w:ascii="宋体" w:hAnsi="宋体"/>
          <w:spacing w:val="14"/>
          <w:sz w:val="21"/>
          <w:szCs w:val="21"/>
          <w:lang w:val="en-US" w:eastAsia="zh-CN"/>
        </w:rPr>
      </w:pPr>
      <w:r>
        <w:rPr>
          <w:rFonts w:hint="default" w:ascii="宋体" w:hAnsi="宋体"/>
          <w:spacing w:val="14"/>
          <w:sz w:val="21"/>
          <w:szCs w:val="21"/>
          <w:lang w:val="en-US" w:eastAsia="zh-CN"/>
        </w:rPr>
        <w:t>1</w:t>
      </w:r>
      <w:r>
        <w:rPr>
          <w:rFonts w:hint="eastAsia" w:ascii="宋体" w:hAnsi="宋体"/>
          <w:spacing w:val="14"/>
          <w:sz w:val="21"/>
          <w:szCs w:val="21"/>
          <w:lang w:val="en-US" w:eastAsia="zh-CN"/>
        </w:rPr>
        <w:t>从业人员、营业收入、资产总额填报上一年度数据，无上一年度数据的新成立企业可不填报。</w:t>
      </w:r>
    </w:p>
    <w:p>
      <w:pPr>
        <w:adjustRightInd w:val="0"/>
        <w:snapToGrid w:val="0"/>
        <w:spacing w:line="400" w:lineRule="atLeast"/>
        <w:ind w:firstLine="420" w:firstLineChars="200"/>
        <w:jc w:val="right"/>
        <w:rPr>
          <w:rFonts w:hint="eastAsia" w:ascii="宋体" w:hAnsi="宋体" w:eastAsia="宋体" w:cs="宋体"/>
          <w:highlight w:val="none"/>
        </w:rPr>
      </w:pPr>
    </w:p>
    <w:p>
      <w:pPr>
        <w:adjustRightInd w:val="0"/>
        <w:snapToGrid w:val="0"/>
        <w:spacing w:line="400" w:lineRule="atLeast"/>
        <w:ind w:firstLine="420" w:firstLineChars="200"/>
        <w:jc w:val="right"/>
        <w:rPr>
          <w:rFonts w:hint="eastAsia" w:ascii="宋体" w:hAnsi="宋体" w:eastAsia="宋体" w:cs="宋体"/>
          <w:highlight w:val="none"/>
        </w:rPr>
      </w:pPr>
    </w:p>
    <w:p>
      <w:pPr>
        <w:pStyle w:val="6"/>
        <w:ind w:firstLine="210"/>
        <w:rPr>
          <w:rFonts w:hint="eastAsia" w:ascii="宋体" w:hAnsi="宋体" w:eastAsia="宋体" w:cs="宋体"/>
          <w:highlight w:val="none"/>
        </w:rPr>
      </w:pPr>
    </w:p>
    <w:p>
      <w:pPr>
        <w:pStyle w:val="7"/>
        <w:rPr>
          <w:rFonts w:hint="eastAsia" w:ascii="宋体" w:hAnsi="宋体" w:eastAsia="宋体" w:cs="宋体"/>
          <w:highlight w:val="none"/>
        </w:rPr>
      </w:pPr>
    </w:p>
    <w:p>
      <w:pPr>
        <w:pStyle w:val="6"/>
        <w:ind w:firstLine="241"/>
        <w:jc w:val="center"/>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2. 监狱企业证明函（自行声明）</w:t>
      </w:r>
    </w:p>
    <w:p>
      <w:pPr>
        <w:pStyle w:val="6"/>
        <w:spacing w:line="500" w:lineRule="exact"/>
        <w:ind w:firstLine="630" w:firstLineChars="300"/>
        <w:rPr>
          <w:rFonts w:hint="eastAsia" w:ascii="宋体" w:hAnsi="宋体" w:eastAsia="宋体" w:cs="宋体"/>
          <w:highlight w:val="none"/>
        </w:rPr>
      </w:pPr>
      <w:r>
        <w:rPr>
          <w:rFonts w:hint="eastAsia" w:ascii="宋体" w:hAnsi="宋体" w:eastAsia="宋体" w:cs="宋体"/>
          <w:highlight w:val="none"/>
        </w:rPr>
        <w:t>根据《财政部司法部关于政府采购支持监狱企业发展有关问题的通知》（财库[2014]68号）的规定，（填写供应商法定全称）为监狱企业。</w:t>
      </w:r>
    </w:p>
    <w:p>
      <w:pPr>
        <w:pStyle w:val="6"/>
        <w:ind w:firstLine="210"/>
        <w:rPr>
          <w:rFonts w:hint="eastAsia" w:ascii="宋体" w:hAnsi="宋体" w:eastAsia="宋体" w:cs="宋体"/>
          <w:highlight w:val="none"/>
        </w:rPr>
      </w:pPr>
    </w:p>
    <w:p>
      <w:pPr>
        <w:pStyle w:val="6"/>
        <w:ind w:firstLine="630" w:firstLineChars="300"/>
        <w:rPr>
          <w:rFonts w:hint="eastAsia" w:ascii="宋体" w:hAnsi="宋体" w:eastAsia="宋体" w:cs="宋体"/>
          <w:highlight w:val="none"/>
        </w:rPr>
      </w:pPr>
      <w:r>
        <w:rPr>
          <w:rFonts w:hint="eastAsia" w:ascii="宋体" w:hAnsi="宋体" w:eastAsia="宋体" w:cs="宋体"/>
          <w:highlight w:val="none"/>
        </w:rPr>
        <w:t>特此声明。</w:t>
      </w:r>
    </w:p>
    <w:p>
      <w:pPr>
        <w:pStyle w:val="6"/>
        <w:ind w:firstLineChars="200"/>
        <w:rPr>
          <w:rFonts w:hint="eastAsia" w:ascii="宋体" w:hAnsi="宋体" w:eastAsia="宋体" w:cs="宋体"/>
          <w:highlight w:val="none"/>
        </w:rPr>
      </w:pPr>
    </w:p>
    <w:p>
      <w:pPr>
        <w:pStyle w:val="6"/>
        <w:ind w:firstLine="1680" w:firstLineChars="800"/>
        <w:rPr>
          <w:rFonts w:hint="eastAsia" w:ascii="宋体" w:hAnsi="宋体" w:eastAsia="宋体" w:cs="宋体"/>
          <w:highlight w:val="none"/>
        </w:rPr>
      </w:pPr>
      <w:r>
        <w:rPr>
          <w:rFonts w:hint="eastAsia" w:ascii="宋体" w:hAnsi="宋体" w:eastAsia="宋体" w:cs="宋体"/>
          <w:highlight w:val="none"/>
        </w:rPr>
        <w:t>省级以上监狱管理局、戒毒管理局（含新疆生产建设兵团）（盖章）：</w:t>
      </w:r>
    </w:p>
    <w:p>
      <w:pPr>
        <w:pStyle w:val="6"/>
        <w:ind w:firstLine="5250" w:firstLineChars="2500"/>
        <w:rPr>
          <w:rFonts w:hint="eastAsia" w:ascii="宋体" w:hAnsi="宋体" w:eastAsia="宋体" w:cs="宋体"/>
          <w:highlight w:val="none"/>
        </w:rPr>
      </w:pPr>
      <w:r>
        <w:rPr>
          <w:rFonts w:hint="eastAsia" w:ascii="宋体" w:hAnsi="宋体" w:eastAsia="宋体" w:cs="宋体"/>
          <w:highlight w:val="none"/>
        </w:rPr>
        <w:t>年    月    日</w:t>
      </w: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adjustRightInd w:val="0"/>
        <w:snapToGrid w:val="0"/>
        <w:spacing w:line="400" w:lineRule="atLeast"/>
        <w:rPr>
          <w:rFonts w:hint="eastAsia" w:ascii="宋体" w:hAnsi="宋体" w:eastAsia="宋体" w:cs="宋体"/>
          <w:highlight w:val="none"/>
        </w:rPr>
      </w:pPr>
    </w:p>
    <w:p>
      <w:pPr>
        <w:adjustRightInd w:val="0"/>
        <w:snapToGrid w:val="0"/>
        <w:spacing w:line="400" w:lineRule="atLeast"/>
        <w:jc w:val="center"/>
        <w:rPr>
          <w:rFonts w:hint="eastAsia" w:ascii="宋体" w:hAnsi="宋体" w:eastAsia="宋体" w:cs="宋体"/>
          <w:highlight w:val="none"/>
        </w:rPr>
      </w:pPr>
    </w:p>
    <w:p>
      <w:pPr>
        <w:pStyle w:val="43"/>
        <w:widowControl w:val="0"/>
        <w:adjustRightInd w:val="0"/>
        <w:snapToGrid w:val="0"/>
        <w:spacing w:before="0" w:after="0" w:line="400" w:lineRule="atLeast"/>
        <w:rPr>
          <w:rFonts w:hint="eastAsia" w:ascii="宋体" w:hAnsi="宋体" w:eastAsia="宋体" w:cs="宋体"/>
          <w:kern w:val="36"/>
          <w:sz w:val="28"/>
          <w:szCs w:val="28"/>
          <w:highlight w:val="none"/>
        </w:rPr>
      </w:pPr>
    </w:p>
    <w:p>
      <w:pPr>
        <w:adjustRightInd w:val="0"/>
        <w:snapToGrid w:val="0"/>
        <w:spacing w:line="400" w:lineRule="atLeast"/>
        <w:jc w:val="center"/>
        <w:rPr>
          <w:rFonts w:hint="eastAsia" w:ascii="宋体" w:hAnsi="宋体" w:eastAsia="宋体" w:cs="宋体"/>
          <w:b/>
          <w:sz w:val="24"/>
          <w:highlight w:val="none"/>
        </w:rPr>
      </w:pPr>
      <w:r>
        <w:rPr>
          <w:rFonts w:hint="eastAsia" w:ascii="宋体" w:hAnsi="宋体" w:eastAsia="宋体" w:cs="宋体"/>
          <w:b/>
          <w:sz w:val="24"/>
          <w:highlight w:val="none"/>
        </w:rPr>
        <w:t>3.残疾人福利性单位声明函（自行声明）</w:t>
      </w:r>
    </w:p>
    <w:p>
      <w:pPr>
        <w:adjustRightInd w:val="0"/>
        <w:snapToGrid w:val="0"/>
        <w:spacing w:line="400" w:lineRule="atLeast"/>
        <w:ind w:firstLine="420" w:firstLineChars="200"/>
        <w:rPr>
          <w:rFonts w:hint="eastAsia" w:ascii="宋体" w:hAnsi="宋体" w:eastAsia="宋体" w:cs="宋体"/>
          <w:highlight w:val="none"/>
        </w:rPr>
      </w:pPr>
    </w:p>
    <w:p>
      <w:pPr>
        <w:adjustRightInd w:val="0"/>
        <w:snapToGrid w:val="0"/>
        <w:spacing w:line="400" w:lineRule="atLeast"/>
        <w:ind w:firstLine="420" w:firstLineChars="200"/>
        <w:rPr>
          <w:rFonts w:hint="eastAsia" w:ascii="宋体" w:hAnsi="宋体" w:eastAsia="宋体" w:cs="宋体"/>
          <w:highlight w:val="none"/>
        </w:rPr>
      </w:pPr>
      <w:bookmarkStart w:id="597" w:name="_Hlk34909763"/>
      <w:r>
        <w:rPr>
          <w:rFonts w:hint="eastAsia" w:ascii="宋体" w:hAnsi="宋体" w:eastAsia="宋体" w:cs="宋体"/>
          <w:highlight w:val="none"/>
        </w:rPr>
        <w:t>本单位郑重声明，根据《财政部民政部中国残疾人联合会关于促进残疾人就业政府采购政策的通知》（财库〔2017〕141号）的规定，本单位为符合/不符合条件的残疾人福利性单位，且本单位参加</w:t>
      </w:r>
      <w:r>
        <w:rPr>
          <w:rFonts w:hint="eastAsia" w:ascii="宋体" w:hAnsi="宋体" w:eastAsia="宋体" w:cs="宋体"/>
          <w:highlight w:val="none"/>
          <w:u w:val="single"/>
        </w:rPr>
        <w:t>___   __</w:t>
      </w:r>
      <w:r>
        <w:rPr>
          <w:rFonts w:hint="eastAsia" w:ascii="宋体" w:hAnsi="宋体" w:eastAsia="宋体" w:cs="宋体"/>
          <w:highlight w:val="none"/>
        </w:rPr>
        <w:t>单位的</w:t>
      </w:r>
      <w:r>
        <w:rPr>
          <w:rFonts w:hint="eastAsia" w:ascii="宋体" w:hAnsi="宋体" w:eastAsia="宋体" w:cs="宋体"/>
          <w:highlight w:val="none"/>
          <w:u w:val="single"/>
        </w:rPr>
        <w:t xml:space="preserve">                </w:t>
      </w:r>
      <w:r>
        <w:rPr>
          <w:rFonts w:hint="eastAsia" w:ascii="宋体" w:hAnsi="宋体" w:eastAsia="宋体" w:cs="宋体"/>
          <w:highlight w:val="none"/>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400" w:lineRule="atLeast"/>
        <w:ind w:firstLine="420" w:firstLineChars="200"/>
        <w:rPr>
          <w:rFonts w:hint="eastAsia" w:ascii="宋体" w:hAnsi="宋体" w:eastAsia="宋体" w:cs="宋体"/>
          <w:highlight w:val="none"/>
        </w:rPr>
      </w:pPr>
      <w:r>
        <w:rPr>
          <w:rFonts w:hint="eastAsia" w:ascii="宋体" w:hAnsi="宋体" w:eastAsia="宋体" w:cs="宋体"/>
          <w:highlight w:val="none"/>
        </w:rPr>
        <w:t>本单位对上述声明的真实性负责。如有虚假，将依法承担相应责任。</w:t>
      </w:r>
    </w:p>
    <w:bookmarkEnd w:id="597"/>
    <w:p>
      <w:pPr>
        <w:adjustRightInd w:val="0"/>
        <w:snapToGrid w:val="0"/>
        <w:spacing w:line="400" w:lineRule="atLeast"/>
        <w:ind w:firstLine="420" w:firstLineChars="200"/>
        <w:rPr>
          <w:rFonts w:hint="eastAsia" w:ascii="宋体" w:hAnsi="宋体" w:eastAsia="宋体" w:cs="宋体"/>
          <w:highlight w:val="none"/>
        </w:rPr>
      </w:pPr>
    </w:p>
    <w:p>
      <w:pPr>
        <w:adjustRightInd w:val="0"/>
        <w:snapToGrid w:val="0"/>
        <w:spacing w:line="400" w:lineRule="atLeast"/>
        <w:ind w:firstLine="420" w:firstLineChars="200"/>
        <w:rPr>
          <w:rFonts w:hint="eastAsia" w:ascii="宋体" w:hAnsi="宋体" w:eastAsia="宋体" w:cs="宋体"/>
          <w:highlight w:val="none"/>
        </w:rPr>
      </w:pPr>
    </w:p>
    <w:p>
      <w:pPr>
        <w:adjustRightInd w:val="0"/>
        <w:snapToGrid w:val="0"/>
        <w:spacing w:line="400" w:lineRule="atLeast"/>
        <w:ind w:firstLine="420" w:firstLineChars="200"/>
        <w:rPr>
          <w:rFonts w:hint="eastAsia" w:ascii="宋体" w:hAnsi="宋体" w:eastAsia="宋体" w:cs="宋体"/>
          <w:highlight w:val="none"/>
        </w:rPr>
      </w:pPr>
    </w:p>
    <w:p>
      <w:pPr>
        <w:adjustRightInd w:val="0"/>
        <w:snapToGrid w:val="0"/>
        <w:spacing w:line="400" w:lineRule="atLeast"/>
        <w:ind w:right="-94" w:firstLine="420" w:firstLineChars="200"/>
        <w:jc w:val="right"/>
        <w:rPr>
          <w:rFonts w:hint="eastAsia" w:ascii="宋体" w:hAnsi="宋体" w:eastAsia="宋体" w:cs="宋体"/>
          <w:highlight w:val="none"/>
        </w:rPr>
      </w:pPr>
      <w:r>
        <w:rPr>
          <w:rFonts w:hint="eastAsia" w:ascii="宋体" w:hAnsi="宋体" w:eastAsia="宋体" w:cs="宋体"/>
          <w:highlight w:val="none"/>
        </w:rPr>
        <w:t xml:space="preserve"> 供应商：</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 xml:space="preserve">（盖章） </w:t>
      </w:r>
    </w:p>
    <w:p>
      <w:pPr>
        <w:adjustRightInd w:val="0"/>
        <w:snapToGrid w:val="0"/>
        <w:spacing w:line="400" w:lineRule="atLeast"/>
        <w:ind w:firstLine="420" w:firstLineChars="200"/>
        <w:jc w:val="right"/>
        <w:rPr>
          <w:rFonts w:hint="eastAsia" w:ascii="宋体" w:hAnsi="宋体" w:eastAsia="宋体" w:cs="宋体"/>
          <w:szCs w:val="20"/>
          <w:highlight w:val="none"/>
        </w:rPr>
      </w:pPr>
      <w:r>
        <w:rPr>
          <w:rFonts w:hint="eastAsia" w:ascii="宋体" w:hAnsi="宋体" w:eastAsia="宋体" w:cs="宋体"/>
          <w:highlight w:val="none"/>
        </w:rPr>
        <w:t xml:space="preserve">  年</w:t>
      </w:r>
      <w:r>
        <w:rPr>
          <w:rFonts w:hint="eastAsia" w:ascii="宋体" w:hAnsi="宋体" w:eastAsia="宋体" w:cs="宋体"/>
          <w:highlight w:val="none"/>
        </w:rPr>
        <w:tab/>
      </w:r>
      <w:r>
        <w:rPr>
          <w:rFonts w:hint="eastAsia" w:ascii="宋体" w:hAnsi="宋体" w:eastAsia="宋体" w:cs="宋体"/>
          <w:highlight w:val="none"/>
        </w:rPr>
        <w:t xml:space="preserve">  月</w:t>
      </w:r>
      <w:r>
        <w:rPr>
          <w:rFonts w:hint="eastAsia" w:ascii="宋体" w:hAnsi="宋体" w:eastAsia="宋体" w:cs="宋体"/>
          <w:highlight w:val="none"/>
        </w:rPr>
        <w:tab/>
      </w:r>
      <w:r>
        <w:rPr>
          <w:rFonts w:hint="eastAsia" w:ascii="宋体" w:hAnsi="宋体" w:eastAsia="宋体" w:cs="宋体"/>
          <w:highlight w:val="none"/>
        </w:rPr>
        <w:t xml:space="preserve">  日</w:t>
      </w:r>
    </w:p>
    <w:p>
      <w:pPr>
        <w:rPr>
          <w:rFonts w:hint="eastAsia" w:ascii="宋体" w:hAnsi="宋体" w:eastAsia="宋体" w:cs="宋体"/>
          <w:highlight w:val="none"/>
        </w:rPr>
      </w:pPr>
    </w:p>
    <w:p>
      <w:pPr>
        <w:rPr>
          <w:rFonts w:hint="eastAsia" w:ascii="宋体" w:hAnsi="宋体" w:eastAsia="宋体" w:cs="宋体"/>
          <w:highlight w:val="none"/>
        </w:rPr>
      </w:pPr>
    </w:p>
    <w:sectPr>
      <w:footerReference r:id="rId1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Style w:val="19"/>
        <w:rFonts w:hint="eastAsia"/>
      </w:rPr>
    </w:pPr>
  </w:p>
  <w:p>
    <w:pPr>
      <w:pStyle w:val="1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8pt;width:9.05pt;mso-position-horizontal:center;mso-position-horizontal-relative:margin;mso-wrap-style:none;z-index:251660288;mso-width-relative:page;mso-height-relative:page;" filled="f" stroked="f" coordsize="21600,21600" o:gfxdata="UEsDBAoAAAAAAIdO4kAAAAAAAAAAAAAAAAAEAAAAZHJzL1BLAwQUAAAACACHTuJABLUWtd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EtRa10QAAAAMBAAAPAAAAAAAAAAEAIAAAACIAAABkcnMvZG93&#10;bnJldi54bWxQSwECFAAUAAAACACHTuJAEcX2SM4BAACXAwAADgAAAAAAAAABACAAAAAgAQAAZHJz&#10;L2Uyb0RvYy54bWxQSwUGAAAAAAYABgBZAQAAYAU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Style w:val="19"/>
        <w:rFonts w:hint="eastAsia"/>
      </w:rPr>
    </w:pPr>
  </w:p>
  <w:p>
    <w:pPr>
      <w:pStyle w:val="12"/>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Style w:val="19"/>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pPr>
      <w:pStyle w:val="12"/>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Style w:val="19"/>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- 35 -</w:t>
                    </w:r>
                    <w:r>
                      <w:fldChar w:fldCharType="end"/>
                    </w:r>
                  </w:p>
                </w:txbxContent>
              </v:textbox>
            </v:shape>
          </w:pict>
        </mc:Fallback>
      </mc:AlternateContent>
    </w:r>
  </w:p>
  <w:p>
    <w:pPr>
      <w:pStyle w:val="12"/>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4082"/>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- 66 -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- 66 -</w:t>
                    </w:r>
                    <w:r>
                      <w:fldChar w:fldCharType="end"/>
                    </w:r>
                  </w:p>
                </w:txbxContent>
              </v:textbox>
            </v:shape>
          </w:pict>
        </mc:Fallback>
      </mc:AlternateContent>
    </w:r>
  </w:p>
  <w:p>
    <w:pPr>
      <w:pStyle w:val="12"/>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20" w:lineRule="atLea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C81F2"/>
    <w:multiLevelType w:val="singleLevel"/>
    <w:tmpl w:val="B8FC81F2"/>
    <w:lvl w:ilvl="0" w:tentative="0">
      <w:start w:val="1"/>
      <w:numFmt w:val="decimal"/>
      <w:suff w:val="nothing"/>
      <w:lvlText w:val="%1、"/>
      <w:lvlJc w:val="left"/>
    </w:lvl>
  </w:abstractNum>
  <w:abstractNum w:abstractNumId="1">
    <w:nsid w:val="F930F4A4"/>
    <w:multiLevelType w:val="singleLevel"/>
    <w:tmpl w:val="F930F4A4"/>
    <w:lvl w:ilvl="0" w:tentative="0">
      <w:start w:val="1"/>
      <w:numFmt w:val="decimal"/>
      <w:suff w:val="nothing"/>
      <w:lvlText w:val="%1、"/>
      <w:lvlJc w:val="left"/>
    </w:lvl>
  </w:abstractNum>
  <w:abstractNum w:abstractNumId="2">
    <w:nsid w:val="4B55583F"/>
    <w:multiLevelType w:val="singleLevel"/>
    <w:tmpl w:val="4B55583F"/>
    <w:lvl w:ilvl="0" w:tentative="0">
      <w:start w:val="1"/>
      <w:numFmt w:val="decimal"/>
      <w:suff w:val="nothing"/>
      <w:lvlText w:val="%1、"/>
      <w:lvlJc w:val="left"/>
    </w:lvl>
  </w:abstractNum>
  <w:abstractNum w:abstractNumId="3">
    <w:nsid w:val="5775E43C"/>
    <w:multiLevelType w:val="singleLevel"/>
    <w:tmpl w:val="5775E43C"/>
    <w:lvl w:ilvl="0" w:tentative="0">
      <w:start w:val="1"/>
      <w:numFmt w:val="chineseCounting"/>
      <w:suff w:val="nothing"/>
      <w:lvlText w:val="%1、"/>
      <w:lvlJc w:val="left"/>
      <w:pPr>
        <w:ind w:left="210"/>
      </w:pPr>
    </w:lvl>
  </w:abstractNum>
  <w:abstractNum w:abstractNumId="4">
    <w:nsid w:val="57A30493"/>
    <w:multiLevelType w:val="singleLevel"/>
    <w:tmpl w:val="57A30493"/>
    <w:lvl w:ilvl="0" w:tentative="0">
      <w:start w:val="6"/>
      <w:numFmt w:val="chineseCounting"/>
      <w:suff w:val="nothing"/>
      <w:lvlText w:val="%1、"/>
      <w:lvlJc w:val="left"/>
    </w:lvl>
  </w:abstractNum>
  <w:abstractNum w:abstractNumId="5">
    <w:nsid w:val="57C7F43A"/>
    <w:multiLevelType w:val="singleLevel"/>
    <w:tmpl w:val="57C7F43A"/>
    <w:lvl w:ilvl="0" w:tentative="0">
      <w:start w:val="1"/>
      <w:numFmt w:val="decimal"/>
      <w:suff w:val="nothing"/>
      <w:lvlText w:val="%1．"/>
      <w:lvlJc w:val="left"/>
      <w:pPr>
        <w:ind w:left="-190" w:firstLine="400"/>
      </w:pPr>
      <w:rPr>
        <w:rFonts w:hint="default"/>
      </w:rPr>
    </w:lvl>
  </w:abstractNum>
  <w:abstractNum w:abstractNumId="6">
    <w:nsid w:val="59A4C915"/>
    <w:multiLevelType w:val="singleLevel"/>
    <w:tmpl w:val="59A4C915"/>
    <w:lvl w:ilvl="0" w:tentative="0">
      <w:start w:val="1"/>
      <w:numFmt w:val="decimalEnclosedCircleChinese"/>
      <w:suff w:val="nothing"/>
      <w:lvlText w:val="%1　"/>
      <w:lvlJc w:val="left"/>
      <w:pPr>
        <w:ind w:left="0" w:firstLine="400"/>
      </w:pPr>
      <w:rPr>
        <w:rFonts w:hint="eastAsia"/>
      </w:rPr>
    </w:lvl>
  </w:abstractNum>
  <w:abstractNum w:abstractNumId="7">
    <w:nsid w:val="5DC2143C"/>
    <w:multiLevelType w:val="multilevel"/>
    <w:tmpl w:val="5DC2143C"/>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3"/>
      <w:lvlText w:val="%1.%2.%3"/>
      <w:lvlJc w:val="left"/>
      <w:pPr>
        <w:tabs>
          <w:tab w:val="left" w:pos="720"/>
        </w:tabs>
        <w:ind w:left="720" w:hanging="720"/>
      </w:pPr>
    </w:lvl>
    <w:lvl w:ilvl="3" w:tentative="0">
      <w:start w:val="1"/>
      <w:numFmt w:val="decimal"/>
      <w:pStyle w:val="4"/>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7"/>
  </w:num>
  <w:num w:numId="2">
    <w:abstractNumId w:val="6"/>
  </w:num>
  <w:num w:numId="3">
    <w:abstractNumId w:val="1"/>
  </w:num>
  <w:num w:numId="4">
    <w:abstractNumId w:val="2"/>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OTc2OWJlNWExMjhlNzUzYmU5ODkwNWJkNjFlMWIifQ=="/>
  </w:docVars>
  <w:rsids>
    <w:rsidRoot w:val="06574338"/>
    <w:rsid w:val="02223D56"/>
    <w:rsid w:val="02F40E9E"/>
    <w:rsid w:val="04221DC3"/>
    <w:rsid w:val="05092FAB"/>
    <w:rsid w:val="06574338"/>
    <w:rsid w:val="067C38A5"/>
    <w:rsid w:val="072B61E4"/>
    <w:rsid w:val="0C481C49"/>
    <w:rsid w:val="0CAC7760"/>
    <w:rsid w:val="0DEF1DAD"/>
    <w:rsid w:val="0E873A37"/>
    <w:rsid w:val="0F2F360E"/>
    <w:rsid w:val="12753A2E"/>
    <w:rsid w:val="14252EA5"/>
    <w:rsid w:val="166B5873"/>
    <w:rsid w:val="16FF63DB"/>
    <w:rsid w:val="19186533"/>
    <w:rsid w:val="1D1D719C"/>
    <w:rsid w:val="1DD77326"/>
    <w:rsid w:val="202F7912"/>
    <w:rsid w:val="230D433C"/>
    <w:rsid w:val="24B37F32"/>
    <w:rsid w:val="27BD3B31"/>
    <w:rsid w:val="2973086F"/>
    <w:rsid w:val="2CDA0C05"/>
    <w:rsid w:val="2D320A41"/>
    <w:rsid w:val="2FAC4ADB"/>
    <w:rsid w:val="305807BF"/>
    <w:rsid w:val="30DD0CC4"/>
    <w:rsid w:val="311961A0"/>
    <w:rsid w:val="312B5ED3"/>
    <w:rsid w:val="32D93AA2"/>
    <w:rsid w:val="342F7A89"/>
    <w:rsid w:val="348E2A01"/>
    <w:rsid w:val="36AA5AEC"/>
    <w:rsid w:val="37831865"/>
    <w:rsid w:val="38093DD6"/>
    <w:rsid w:val="3862667F"/>
    <w:rsid w:val="38C54415"/>
    <w:rsid w:val="391D4354"/>
    <w:rsid w:val="397C5534"/>
    <w:rsid w:val="399A59A4"/>
    <w:rsid w:val="3A2C6DA1"/>
    <w:rsid w:val="3B550BE8"/>
    <w:rsid w:val="3BF17A4F"/>
    <w:rsid w:val="3C333E29"/>
    <w:rsid w:val="3CBB635D"/>
    <w:rsid w:val="3E5720B6"/>
    <w:rsid w:val="3F133268"/>
    <w:rsid w:val="402E5098"/>
    <w:rsid w:val="41E82FDE"/>
    <w:rsid w:val="4208304A"/>
    <w:rsid w:val="428911B3"/>
    <w:rsid w:val="47D209FF"/>
    <w:rsid w:val="48B84099"/>
    <w:rsid w:val="4A19065F"/>
    <w:rsid w:val="4ABC418C"/>
    <w:rsid w:val="4C6B4F7E"/>
    <w:rsid w:val="4F1E0652"/>
    <w:rsid w:val="507A3901"/>
    <w:rsid w:val="5099655E"/>
    <w:rsid w:val="50CB4C3A"/>
    <w:rsid w:val="51DD3807"/>
    <w:rsid w:val="54FD53DE"/>
    <w:rsid w:val="56116B96"/>
    <w:rsid w:val="56D025AE"/>
    <w:rsid w:val="578D049F"/>
    <w:rsid w:val="58032E7C"/>
    <w:rsid w:val="58EB1921"/>
    <w:rsid w:val="5BC1388C"/>
    <w:rsid w:val="5EAC671F"/>
    <w:rsid w:val="5ECC6B94"/>
    <w:rsid w:val="5F4C10E1"/>
    <w:rsid w:val="5F6D7533"/>
    <w:rsid w:val="607E12CC"/>
    <w:rsid w:val="609D1CF7"/>
    <w:rsid w:val="61727618"/>
    <w:rsid w:val="63F6375E"/>
    <w:rsid w:val="65003C75"/>
    <w:rsid w:val="658A6069"/>
    <w:rsid w:val="66A15D14"/>
    <w:rsid w:val="6916132E"/>
    <w:rsid w:val="6B9D486E"/>
    <w:rsid w:val="6BDD159D"/>
    <w:rsid w:val="6D4457C8"/>
    <w:rsid w:val="6DAC56CB"/>
    <w:rsid w:val="714125CE"/>
    <w:rsid w:val="71520337"/>
    <w:rsid w:val="72C14AAB"/>
    <w:rsid w:val="72CC236B"/>
    <w:rsid w:val="75221698"/>
    <w:rsid w:val="76157686"/>
    <w:rsid w:val="77707769"/>
    <w:rsid w:val="79782905"/>
    <w:rsid w:val="7B5F2551"/>
    <w:rsid w:val="7DA84A05"/>
    <w:rsid w:val="7EA444F0"/>
    <w:rsid w:val="7FCC640F"/>
    <w:rsid w:val="7FD4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qFormat/>
    <w:uiPriority w:val="0"/>
    <w:pPr>
      <w:keepNext/>
      <w:keepLines/>
      <w:numPr>
        <w:ilvl w:val="0"/>
        <w:numId w:val="1"/>
      </w:numPr>
      <w:spacing w:before="340" w:after="330" w:line="576" w:lineRule="auto"/>
      <w:outlineLvl w:val="0"/>
    </w:pPr>
    <w:rPr>
      <w:b/>
      <w:bCs/>
      <w:kern w:val="44"/>
      <w:sz w:val="44"/>
      <w:szCs w:val="44"/>
    </w:rPr>
  </w:style>
  <w:style w:type="paragraph" w:styleId="3">
    <w:name w:val="heading 3"/>
    <w:basedOn w:val="1"/>
    <w:next w:val="1"/>
    <w:qFormat/>
    <w:uiPriority w:val="0"/>
    <w:pPr>
      <w:keepNext/>
      <w:keepLines/>
      <w:numPr>
        <w:ilvl w:val="2"/>
        <w:numId w:val="1"/>
      </w:numPr>
      <w:spacing w:before="260" w:after="260" w:line="412" w:lineRule="auto"/>
      <w:outlineLvl w:val="2"/>
    </w:pPr>
    <w:rPr>
      <w:b/>
      <w:bCs/>
      <w:sz w:val="32"/>
      <w:szCs w:val="32"/>
    </w:rPr>
  </w:style>
  <w:style w:type="paragraph" w:styleId="4">
    <w:name w:val="heading 4"/>
    <w:basedOn w:val="1"/>
    <w:next w:val="1"/>
    <w:qFormat/>
    <w:uiPriority w:val="0"/>
    <w:pPr>
      <w:keepNext/>
      <w:keepLines/>
      <w:numPr>
        <w:ilvl w:val="3"/>
        <w:numId w:val="1"/>
      </w:numPr>
      <w:spacing w:before="280" w:after="290" w:line="372"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Body Text First Indent"/>
    <w:basedOn w:val="5"/>
    <w:next w:val="7"/>
    <w:qFormat/>
    <w:uiPriority w:val="99"/>
    <w:pPr>
      <w:ind w:firstLine="420" w:firstLineChars="100"/>
    </w:pPr>
  </w:style>
  <w:style w:type="paragraph" w:styleId="7">
    <w:name w:val="Body Text First Indent 2"/>
    <w:basedOn w:val="5"/>
    <w:next w:val="1"/>
    <w:qFormat/>
    <w:uiPriority w:val="0"/>
    <w:pPr>
      <w:spacing w:after="120"/>
      <w:ind w:left="420" w:leftChars="200" w:firstLine="420" w:firstLineChars="200"/>
    </w:pPr>
    <w:rPr>
      <w:kern w:val="2"/>
      <w:sz w:val="21"/>
      <w:szCs w:val="24"/>
      <w:lang w:val="en-US" w:eastAsia="zh-CN"/>
    </w:rPr>
  </w:style>
  <w:style w:type="paragraph" w:styleId="8">
    <w:name w:val="Body Text Indent"/>
    <w:basedOn w:val="1"/>
    <w:next w:val="9"/>
    <w:qFormat/>
    <w:uiPriority w:val="0"/>
    <w:pPr>
      <w:spacing w:after="120"/>
      <w:ind w:left="420" w:leftChars="200"/>
    </w:pPr>
  </w:style>
  <w:style w:type="paragraph" w:styleId="9">
    <w:name w:val="envelope return"/>
    <w:basedOn w:val="1"/>
    <w:next w:val="10"/>
    <w:qFormat/>
    <w:uiPriority w:val="0"/>
    <w:rPr>
      <w:rFonts w:ascii="Arial" w:hAnsi="Arial"/>
    </w:rPr>
  </w:style>
  <w:style w:type="paragraph" w:styleId="10">
    <w:name w:val="Plain Text"/>
    <w:basedOn w:val="1"/>
    <w:next w:val="1"/>
    <w:qFormat/>
    <w:uiPriority w:val="0"/>
    <w:rPr>
      <w:rFonts w:ascii="宋体" w:hAnsi="Courier New"/>
      <w:kern w:val="2"/>
      <w:sz w:val="21"/>
    </w:rPr>
  </w:style>
  <w:style w:type="paragraph" w:styleId="11">
    <w:name w:val="Date"/>
    <w:basedOn w:val="1"/>
    <w:next w:val="1"/>
    <w:qFormat/>
    <w:uiPriority w:val="0"/>
    <w:rPr>
      <w:rFonts w:ascii="仿宋_GB2312" w:eastAsia="楷体_GB2312"/>
      <w:kern w:val="2"/>
      <w:sz w:val="32"/>
      <w:szCs w:val="3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pPr>
      <w:spacing w:after="120" w:line="480" w:lineRule="auto"/>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llowedHyperlink"/>
    <w:basedOn w:val="18"/>
    <w:qFormat/>
    <w:uiPriority w:val="0"/>
    <w:rPr>
      <w:color w:val="800080"/>
      <w:u w:val="none"/>
    </w:rPr>
  </w:style>
  <w:style w:type="character" w:styleId="21">
    <w:name w:val="HTML Definition"/>
    <w:basedOn w:val="18"/>
    <w:qFormat/>
    <w:uiPriority w:val="0"/>
  </w:style>
  <w:style w:type="character" w:styleId="22">
    <w:name w:val="HTML Typewriter"/>
    <w:basedOn w:val="18"/>
    <w:qFormat/>
    <w:uiPriority w:val="0"/>
    <w:rPr>
      <w:rFonts w:hint="default" w:ascii="monospace" w:hAnsi="monospace" w:eastAsia="monospace" w:cs="monospace"/>
      <w:sz w:val="20"/>
    </w:rPr>
  </w:style>
  <w:style w:type="character" w:styleId="23">
    <w:name w:val="HTML Acronym"/>
    <w:basedOn w:val="18"/>
    <w:qFormat/>
    <w:uiPriority w:val="0"/>
  </w:style>
  <w:style w:type="character" w:styleId="24">
    <w:name w:val="HTML Variable"/>
    <w:basedOn w:val="18"/>
    <w:qFormat/>
    <w:uiPriority w:val="0"/>
  </w:style>
  <w:style w:type="character" w:styleId="25">
    <w:name w:val="Hyperlink"/>
    <w:qFormat/>
    <w:uiPriority w:val="0"/>
    <w:rPr>
      <w:color w:val="333333"/>
      <w:sz w:val="18"/>
      <w:szCs w:val="18"/>
      <w:u w:val="none"/>
    </w:rPr>
  </w:style>
  <w:style w:type="character" w:styleId="26">
    <w:name w:val="HTML Code"/>
    <w:basedOn w:val="18"/>
    <w:qFormat/>
    <w:uiPriority w:val="0"/>
    <w:rPr>
      <w:rFonts w:ascii="monospace" w:hAnsi="monospace" w:eastAsia="monospace" w:cs="monospace"/>
      <w:sz w:val="20"/>
    </w:rPr>
  </w:style>
  <w:style w:type="character" w:styleId="27">
    <w:name w:val="HTML Cite"/>
    <w:basedOn w:val="18"/>
    <w:qFormat/>
    <w:uiPriority w:val="0"/>
  </w:style>
  <w:style w:type="character" w:styleId="28">
    <w:name w:val="HTML Keyboard"/>
    <w:basedOn w:val="18"/>
    <w:qFormat/>
    <w:uiPriority w:val="0"/>
    <w:rPr>
      <w:rFonts w:hint="default" w:ascii="monospace" w:hAnsi="monospace" w:eastAsia="monospace" w:cs="monospace"/>
      <w:sz w:val="20"/>
    </w:rPr>
  </w:style>
  <w:style w:type="character" w:styleId="29">
    <w:name w:val="HTML Sample"/>
    <w:basedOn w:val="18"/>
    <w:qFormat/>
    <w:uiPriority w:val="0"/>
    <w:rPr>
      <w:rFonts w:hint="default" w:ascii="monospace" w:hAnsi="monospace" w:eastAsia="monospace" w:cs="monospace"/>
    </w:rPr>
  </w:style>
  <w:style w:type="paragraph" w:customStyle="1" w:styleId="30">
    <w:name w:val="BodyText1I2"/>
    <w:basedOn w:val="31"/>
    <w:qFormat/>
    <w:uiPriority w:val="0"/>
    <w:pPr>
      <w:ind w:firstLine="420"/>
    </w:pPr>
    <w:rPr>
      <w:rFonts w:ascii="Calibri" w:hAnsi="Calibri" w:eastAsia="宋体" w:cs="Times New Roman"/>
    </w:rPr>
  </w:style>
  <w:style w:type="paragraph" w:customStyle="1" w:styleId="31">
    <w:name w:val="BodyTextIndent"/>
    <w:basedOn w:val="1"/>
    <w:qFormat/>
    <w:uiPriority w:val="0"/>
    <w:pPr>
      <w:spacing w:line="360" w:lineRule="auto"/>
      <w:ind w:firstLine="480" w:firstLineChars="200"/>
    </w:pPr>
    <w:rPr>
      <w:rFonts w:ascii="宋体" w:hAnsi="Calibri" w:eastAsia="宋体" w:cs="Times New Roman"/>
      <w:sz w:val="24"/>
      <w:szCs w:val="20"/>
    </w:rPr>
  </w:style>
  <w:style w:type="paragraph" w:customStyle="1" w:styleId="32">
    <w:name w:val="Default"/>
    <w:next w:val="3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3">
    <w:name w:val="大标题"/>
    <w:basedOn w:val="1"/>
    <w:next w:val="7"/>
    <w:qFormat/>
    <w:uiPriority w:val="0"/>
    <w:pPr>
      <w:jc w:val="center"/>
    </w:pPr>
    <w:rPr>
      <w:rFonts w:ascii="Arial" w:hAnsi="Arial" w:eastAsia="宋体"/>
      <w:b/>
      <w:sz w:val="28"/>
      <w:szCs w:val="24"/>
    </w:rPr>
  </w:style>
  <w:style w:type="paragraph" w:customStyle="1" w:styleId="34">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NormalCharacter"/>
    <w:qFormat/>
    <w:uiPriority w:val="0"/>
    <w:rPr>
      <w:rFonts w:ascii="Calibri" w:hAnsi="Calibri"/>
      <w:kern w:val="2"/>
      <w:sz w:val="21"/>
      <w:szCs w:val="24"/>
      <w:lang w:val="en-US" w:eastAsia="zh-CN" w:bidi="ar-SA"/>
    </w:rPr>
  </w:style>
  <w:style w:type="paragraph" w:customStyle="1" w:styleId="36">
    <w:name w:val="TOC1"/>
    <w:basedOn w:val="1"/>
    <w:next w:val="1"/>
    <w:semiHidden/>
    <w:qFormat/>
    <w:uiPriority w:val="0"/>
    <w:pPr>
      <w:tabs>
        <w:tab w:val="right" w:leader="dot" w:pos="8296"/>
      </w:tabs>
      <w:jc w:val="center"/>
      <w:textAlignment w:val="baseline"/>
    </w:pPr>
    <w:rPr>
      <w:rFonts w:ascii="宋体" w:hAnsi="宋体"/>
      <w:b/>
      <w:kern w:val="2"/>
      <w:sz w:val="21"/>
      <w:szCs w:val="24"/>
      <w:lang w:bidi="ar-SA"/>
    </w:rPr>
  </w:style>
  <w:style w:type="paragraph" w:customStyle="1" w:styleId="37">
    <w:name w:val="普通文字"/>
    <w:basedOn w:val="1"/>
    <w:qFormat/>
    <w:uiPriority w:val="99"/>
    <w:rPr>
      <w:rFonts w:ascii="宋体" w:hAnsi="Courier New"/>
    </w:rPr>
  </w:style>
  <w:style w:type="paragraph" w:customStyle="1" w:styleId="38">
    <w:name w:val="Table Paragraph"/>
    <w:basedOn w:val="1"/>
    <w:qFormat/>
    <w:uiPriority w:val="1"/>
  </w:style>
  <w:style w:type="paragraph" w:customStyle="1" w:styleId="3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标题 1 Char"/>
    <w:link w:val="2"/>
    <w:qFormat/>
    <w:uiPriority w:val="0"/>
    <w:rPr>
      <w:b/>
      <w:bCs/>
      <w:kern w:val="44"/>
      <w:sz w:val="44"/>
      <w:szCs w:val="44"/>
    </w:rPr>
  </w:style>
  <w:style w:type="paragraph" w:customStyle="1" w:styleId="41">
    <w:name w:val="_Style 21"/>
    <w:basedOn w:val="2"/>
    <w:next w:val="1"/>
    <w:qFormat/>
    <w:uiPriority w:val="0"/>
    <w:pPr>
      <w:numPr>
        <w:ilvl w:val="0"/>
        <w:numId w:val="0"/>
      </w:numPr>
      <w:tabs>
        <w:tab w:val="clear" w:pos="432"/>
      </w:tabs>
      <w:spacing w:line="578" w:lineRule="auto"/>
      <w:outlineLvl w:val="9"/>
    </w:pPr>
    <w:rPr>
      <w:rFonts w:ascii="Times New Roman" w:hAnsi="Times New Roman"/>
    </w:rPr>
  </w:style>
  <w:style w:type="table" w:customStyle="1" w:styleId="42">
    <w:name w:val="Table Normal"/>
    <w:semiHidden/>
    <w:unhideWhenUsed/>
    <w:qFormat/>
    <w:uiPriority w:val="2"/>
    <w:tblPr>
      <w:tblCellMar>
        <w:top w:w="0" w:type="dxa"/>
        <w:left w:w="0" w:type="dxa"/>
        <w:bottom w:w="0" w:type="dxa"/>
        <w:right w:w="0" w:type="dxa"/>
      </w:tblCellMar>
    </w:tblPr>
  </w:style>
  <w:style w:type="paragraph" w:customStyle="1" w:styleId="43">
    <w:name w:val="普通 (Web)"/>
    <w:basedOn w:val="1"/>
    <w:qFormat/>
    <w:uiPriority w:val="99"/>
    <w:pPr>
      <w:widowControl/>
      <w:suppressAutoHyphens/>
      <w:spacing w:before="280" w:after="280"/>
      <w:jc w:val="left"/>
    </w:pPr>
    <w:rPr>
      <w:rFonts w:ascii="宋体" w:hAnsi="宋体"/>
      <w:sz w:val="24"/>
    </w:rPr>
  </w:style>
  <w:style w:type="paragraph" w:customStyle="1" w:styleId="44">
    <w:name w:val="TOC 标题"/>
    <w:basedOn w:val="2"/>
    <w:next w:val="1"/>
    <w:qFormat/>
    <w:uiPriority w:val="0"/>
    <w:pPr>
      <w:outlineLvl w:val="9"/>
    </w:pPr>
  </w:style>
  <w:style w:type="character" w:customStyle="1" w:styleId="45">
    <w:name w:val="first-child1"/>
    <w:basedOn w:val="18"/>
    <w:qFormat/>
    <w:uiPriority w:val="0"/>
  </w:style>
  <w:style w:type="character" w:customStyle="1" w:styleId="46">
    <w:name w:val="nth-child(2)"/>
    <w:basedOn w:val="18"/>
    <w:qFormat/>
    <w:uiPriority w:val="0"/>
  </w:style>
  <w:style w:type="character" w:customStyle="1" w:styleId="47">
    <w:name w:val="nth-child(1)"/>
    <w:basedOn w:val="18"/>
    <w:qFormat/>
    <w:uiPriority w:val="0"/>
  </w:style>
  <w:style w:type="character" w:customStyle="1" w:styleId="48">
    <w:name w:val="nth-child(3)"/>
    <w:basedOn w:val="18"/>
    <w:qFormat/>
    <w:uiPriority w:val="0"/>
  </w:style>
  <w:style w:type="character" w:customStyle="1" w:styleId="49">
    <w:name w:val="nth-child(4)"/>
    <w:basedOn w:val="18"/>
    <w:qFormat/>
    <w:uiPriority w:val="0"/>
  </w:style>
  <w:style w:type="character" w:customStyle="1" w:styleId="50">
    <w:name w:val="nth-child(5)"/>
    <w:basedOn w:val="18"/>
    <w:qFormat/>
    <w:uiPriority w:val="0"/>
  </w:style>
  <w:style w:type="character" w:customStyle="1" w:styleId="51">
    <w:name w:val="layui-layer-tabnow"/>
    <w:basedOn w:val="1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39122</Words>
  <Characters>41900</Characters>
  <Lines>0</Lines>
  <Paragraphs>0</Paragraphs>
  <TotalTime>0</TotalTime>
  <ScaleCrop>false</ScaleCrop>
  <LinksUpToDate>false</LinksUpToDate>
  <CharactersWithSpaces>48853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2023-06-13T07:20:00Z</dcterms:created>
  <dc:creator>老六</dc:creator>
  <cp:lastModifiedBy>老六</cp:lastModifiedBy>
  <cp:lastPrinted>2023-09-06T01:18:00Z</cp:lastPrinted>
  <dcterms:modified xsi:type="dcterms:W3CDTF">2023-09-15T02:15:34Z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D1A8565F4A0E49B699E370DB867B01EF_13</vt:lpwstr>
  </property>
</Properties>
</file>