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BD9B5">
      <w:pPr>
        <w:jc w:val="center"/>
        <w:rPr>
          <w:rFonts w:hint="eastAsia" w:ascii="宋体" w:hAnsi="宋体" w:eastAsia="宋体" w:cs="Times New Roman"/>
          <w:b/>
          <w:bCs/>
          <w:color w:val="000000"/>
          <w:sz w:val="56"/>
          <w:szCs w:val="56"/>
          <w:lang w:val="en-US" w:eastAsia="zh-CN"/>
        </w:rPr>
      </w:pPr>
      <w:r>
        <w:rPr>
          <w:rFonts w:hint="eastAsia" w:ascii="宋体" w:hAnsi="宋体" w:eastAsia="宋体" w:cs="Times New Roman"/>
          <w:b/>
          <w:bCs/>
          <w:color w:val="000000"/>
          <w:sz w:val="56"/>
          <w:szCs w:val="56"/>
          <w:lang w:val="en-US" w:eastAsia="zh-CN"/>
        </w:rPr>
        <w:t>唐河县教育装备与技术保障中心2025年唐河县思源学校、桐寨铺中心小学等学校教学设备采购(二)项目</w:t>
      </w:r>
    </w:p>
    <w:p w14:paraId="17B6C6EE">
      <w:pPr>
        <w:pStyle w:val="44"/>
        <w:keepNext w:val="0"/>
        <w:keepLines w:val="0"/>
        <w:pageBreakBefore w:val="0"/>
        <w:widowControl w:val="0"/>
        <w:kinsoku/>
        <w:wordWrap/>
        <w:overflowPunct/>
        <w:topLinePunct w:val="0"/>
        <w:autoSpaceDE w:val="0"/>
        <w:autoSpaceDN w:val="0"/>
        <w:bidi w:val="0"/>
        <w:adjustRightInd/>
        <w:snapToGrid/>
        <w:spacing w:line="500" w:lineRule="exact"/>
        <w:textAlignment w:val="auto"/>
        <w:rPr>
          <w:sz w:val="16"/>
          <w:szCs w:val="16"/>
        </w:rPr>
      </w:pPr>
    </w:p>
    <w:p w14:paraId="086FDCE0">
      <w:pPr>
        <w:pStyle w:val="44"/>
      </w:pPr>
    </w:p>
    <w:p w14:paraId="3AF7E9D1">
      <w:pPr>
        <w:pStyle w:val="44"/>
      </w:pPr>
    </w:p>
    <w:p w14:paraId="74C35139">
      <w:pPr>
        <w:pStyle w:val="10"/>
        <w:spacing w:before="9"/>
        <w:jc w:val="center"/>
        <w:rPr>
          <w:rFonts w:hint="eastAsia"/>
          <w:b/>
          <w:sz w:val="96"/>
          <w:szCs w:val="32"/>
          <w:lang w:val="en-US" w:eastAsia="zh-CN"/>
        </w:rPr>
      </w:pPr>
      <w:r>
        <w:rPr>
          <w:rFonts w:hint="eastAsia"/>
          <w:b/>
          <w:sz w:val="96"/>
          <w:szCs w:val="32"/>
          <w:lang w:val="en-US" w:eastAsia="zh-CN"/>
        </w:rPr>
        <w:t>招标文件</w:t>
      </w:r>
    </w:p>
    <w:p w14:paraId="03A21D8B">
      <w:pPr>
        <w:pStyle w:val="10"/>
        <w:spacing w:before="9"/>
        <w:jc w:val="center"/>
        <w:rPr>
          <w:rFonts w:hint="eastAsia"/>
          <w:b/>
          <w:sz w:val="96"/>
          <w:szCs w:val="32"/>
          <w:lang w:val="en-US" w:eastAsia="zh-CN"/>
        </w:rPr>
      </w:pPr>
    </w:p>
    <w:p w14:paraId="7217C758">
      <w:pPr>
        <w:spacing w:before="0"/>
        <w:ind w:right="0"/>
        <w:jc w:val="center"/>
        <w:rPr>
          <w:rFonts w:hint="eastAsia" w:eastAsia="宋体"/>
          <w:sz w:val="32"/>
          <w:lang w:val="en-US" w:eastAsia="zh-CN"/>
        </w:rPr>
      </w:pPr>
      <w:r>
        <w:rPr>
          <w:spacing w:val="-1"/>
          <w:sz w:val="32"/>
        </w:rPr>
        <w:t>采购项目编号：</w:t>
      </w:r>
      <w:r>
        <w:rPr>
          <w:rFonts w:hint="eastAsia"/>
          <w:spacing w:val="-1"/>
          <w:sz w:val="32"/>
          <w:lang w:val="en-US" w:eastAsia="zh-CN"/>
        </w:rPr>
        <w:t>唐财采购公开-2025-22</w:t>
      </w:r>
    </w:p>
    <w:p w14:paraId="2F421046">
      <w:pPr>
        <w:pStyle w:val="10"/>
        <w:rPr>
          <w:sz w:val="20"/>
        </w:rPr>
      </w:pPr>
    </w:p>
    <w:p w14:paraId="2AE53829">
      <w:pPr>
        <w:pStyle w:val="10"/>
        <w:rPr>
          <w:sz w:val="20"/>
        </w:rPr>
      </w:pPr>
    </w:p>
    <w:p w14:paraId="1BA09AF1">
      <w:pPr>
        <w:pStyle w:val="10"/>
        <w:rPr>
          <w:sz w:val="20"/>
        </w:rPr>
      </w:pPr>
    </w:p>
    <w:p w14:paraId="1BB853E4">
      <w:pPr>
        <w:pStyle w:val="10"/>
        <w:rPr>
          <w:sz w:val="20"/>
        </w:rPr>
      </w:pPr>
    </w:p>
    <w:p w14:paraId="298C34E1">
      <w:pPr>
        <w:pStyle w:val="10"/>
        <w:spacing w:before="11"/>
      </w:pPr>
    </w:p>
    <w:p w14:paraId="5409AF01">
      <w:pPr>
        <w:pStyle w:val="41"/>
      </w:pPr>
    </w:p>
    <w:p w14:paraId="6EE2E228"/>
    <w:p w14:paraId="2E0A2646">
      <w:pPr>
        <w:pStyle w:val="24"/>
      </w:pPr>
    </w:p>
    <w:p w14:paraId="6863B7D9">
      <w:pPr>
        <w:pStyle w:val="25"/>
      </w:pPr>
    </w:p>
    <w:p w14:paraId="735CCFCA">
      <w:pPr>
        <w:rPr>
          <w:rFonts w:hint="eastAsia"/>
          <w:lang w:eastAsia="zh-CN"/>
        </w:rPr>
      </w:pPr>
    </w:p>
    <w:p w14:paraId="026DD4DF">
      <w:pPr>
        <w:pStyle w:val="24"/>
        <w:rPr>
          <w:rFonts w:hint="eastAsia"/>
          <w:lang w:eastAsia="zh-CN"/>
        </w:rPr>
      </w:pPr>
    </w:p>
    <w:p w14:paraId="11B49FAF">
      <w:pPr>
        <w:tabs>
          <w:tab w:val="left" w:pos="3655"/>
          <w:tab w:val="left" w:pos="5462"/>
          <w:tab w:val="left" w:pos="9881"/>
        </w:tabs>
        <w:spacing w:before="207" w:line="235" w:lineRule="auto"/>
        <w:ind w:right="322"/>
        <w:jc w:val="center"/>
        <w:rPr>
          <w:rFonts w:hint="eastAsia"/>
          <w:b/>
          <w:sz w:val="36"/>
          <w:u w:val="single"/>
          <w:lang w:val="en-US" w:eastAsia="zh-CN"/>
        </w:rPr>
      </w:pPr>
      <w:r>
        <w:rPr>
          <w:b/>
          <w:sz w:val="36"/>
        </w:rPr>
        <w:t>采</w:t>
      </w:r>
      <w:r>
        <w:rPr>
          <w:rFonts w:hint="eastAsia"/>
          <w:b/>
          <w:sz w:val="36"/>
          <w:lang w:val="en-US" w:eastAsia="zh-CN"/>
        </w:rPr>
        <w:t xml:space="preserve">   </w:t>
      </w:r>
      <w:r>
        <w:rPr>
          <w:b/>
          <w:sz w:val="36"/>
        </w:rPr>
        <w:t>购</w:t>
      </w:r>
      <w:r>
        <w:rPr>
          <w:rFonts w:hint="eastAsia"/>
          <w:b/>
          <w:sz w:val="36"/>
          <w:lang w:val="en-US" w:eastAsia="zh-CN"/>
        </w:rPr>
        <w:t xml:space="preserve">   </w:t>
      </w:r>
      <w:r>
        <w:rPr>
          <w:b/>
          <w:sz w:val="36"/>
        </w:rPr>
        <w:t>人：</w:t>
      </w:r>
      <w:r>
        <w:rPr>
          <w:rFonts w:hint="eastAsia"/>
          <w:b/>
          <w:bCs w:val="0"/>
          <w:i w:val="0"/>
          <w:iCs w:val="0"/>
          <w:sz w:val="36"/>
          <w:u w:val="single"/>
          <w:lang w:val="en-US" w:eastAsia="zh-CN"/>
        </w:rPr>
        <w:t>唐河县教育装备与技术保障中心</w:t>
      </w:r>
    </w:p>
    <w:p w14:paraId="636A3CC7">
      <w:pPr>
        <w:tabs>
          <w:tab w:val="left" w:pos="3655"/>
          <w:tab w:val="left" w:pos="5462"/>
          <w:tab w:val="left" w:pos="9881"/>
        </w:tabs>
        <w:spacing w:before="207" w:line="235" w:lineRule="auto"/>
        <w:ind w:right="322"/>
        <w:jc w:val="center"/>
        <w:rPr>
          <w:rFonts w:hint="eastAsia"/>
          <w:b/>
          <w:spacing w:val="-2"/>
          <w:sz w:val="36"/>
          <w:u w:val="single"/>
          <w:lang w:val="en-US" w:eastAsia="zh-CN"/>
        </w:rPr>
      </w:pPr>
      <w:r>
        <w:rPr>
          <w:b/>
          <w:sz w:val="36"/>
        </w:rPr>
        <w:t>采购代理机构：</w:t>
      </w:r>
      <w:r>
        <w:rPr>
          <w:rFonts w:hint="eastAsia"/>
          <w:b/>
          <w:spacing w:val="-2"/>
          <w:sz w:val="36"/>
          <w:u w:val="single"/>
          <w:lang w:val="en-US" w:eastAsia="zh-CN"/>
        </w:rPr>
        <w:t>唐河县唐兴工程造价咨询有限公司</w:t>
      </w:r>
    </w:p>
    <w:p w14:paraId="2B370CA1">
      <w:pPr>
        <w:tabs>
          <w:tab w:val="left" w:pos="3655"/>
          <w:tab w:val="left" w:pos="5462"/>
          <w:tab w:val="left" w:pos="9881"/>
        </w:tabs>
        <w:spacing w:before="207" w:line="235" w:lineRule="auto"/>
        <w:ind w:right="322"/>
        <w:jc w:val="center"/>
        <w:rPr>
          <w:b/>
          <w:sz w:val="36"/>
        </w:rPr>
      </w:pPr>
      <w:r>
        <w:rPr>
          <w:b/>
          <w:sz w:val="36"/>
        </w:rPr>
        <w:t>日</w:t>
      </w:r>
      <w:r>
        <w:rPr>
          <w:rFonts w:hint="eastAsia"/>
          <w:b/>
          <w:sz w:val="36"/>
          <w:lang w:val="en-US" w:eastAsia="zh-CN"/>
        </w:rPr>
        <w:t xml:space="preserve">        </w:t>
      </w:r>
      <w:r>
        <w:rPr>
          <w:b/>
          <w:sz w:val="36"/>
        </w:rPr>
        <w:t>期：</w:t>
      </w:r>
      <w:r>
        <w:rPr>
          <w:b/>
          <w:w w:val="95"/>
          <w:sz w:val="36"/>
          <w:u w:val="single"/>
        </w:rPr>
        <w:t>二零二</w:t>
      </w:r>
      <w:r>
        <w:rPr>
          <w:rFonts w:hint="eastAsia"/>
          <w:b/>
          <w:w w:val="95"/>
          <w:sz w:val="36"/>
          <w:u w:val="single"/>
          <w:lang w:val="en-US" w:eastAsia="zh-CN"/>
        </w:rPr>
        <w:t>五</w:t>
      </w:r>
      <w:r>
        <w:rPr>
          <w:b/>
          <w:w w:val="95"/>
          <w:sz w:val="36"/>
          <w:u w:val="single"/>
        </w:rPr>
        <w:t>年</w:t>
      </w:r>
      <w:r>
        <w:rPr>
          <w:rFonts w:hint="eastAsia" w:eastAsia="宋体"/>
          <w:b/>
          <w:w w:val="95"/>
          <w:sz w:val="36"/>
          <w:u w:val="single"/>
          <w:lang w:val="en-US" w:eastAsia="zh-CN"/>
        </w:rPr>
        <w:t>五</w:t>
      </w:r>
      <w:r>
        <w:rPr>
          <w:b/>
          <w:w w:val="95"/>
          <w:sz w:val="36"/>
          <w:u w:val="single"/>
        </w:rPr>
        <w:t>月</w:t>
      </w:r>
    </w:p>
    <w:p w14:paraId="7C03B2BC"/>
    <w:p w14:paraId="0205348C">
      <w:pPr>
        <w:spacing w:before="227" w:line="220" w:lineRule="auto"/>
        <w:jc w:val="center"/>
        <w:rPr>
          <w:rFonts w:hint="default" w:ascii="宋体" w:hAnsi="宋体" w:eastAsia="宋体" w:cs="宋体"/>
          <w:sz w:val="32"/>
          <w:szCs w:val="32"/>
          <w:lang w:val="en-US"/>
        </w:rPr>
      </w:pPr>
    </w:p>
    <w:p w14:paraId="04F6A2BD">
      <w:pPr>
        <w:sectPr>
          <w:headerReference r:id="rId3" w:type="default"/>
          <w:footerReference r:id="rId4" w:type="default"/>
          <w:pgSz w:w="11907" w:h="16839"/>
          <w:pgMar w:top="1431" w:right="1323" w:bottom="1175" w:left="1334" w:header="0" w:footer="1015" w:gutter="0"/>
          <w:cols w:space="720" w:num="1"/>
        </w:sectPr>
      </w:pPr>
    </w:p>
    <w:p w14:paraId="1EC3E4B3">
      <w:pPr>
        <w:jc w:val="center"/>
        <w:rPr>
          <w:rFonts w:eastAsia="宋体"/>
          <w:b/>
          <w:bCs/>
          <w:sz w:val="32"/>
          <w:szCs w:val="32"/>
        </w:rPr>
      </w:pPr>
      <w:r>
        <w:rPr>
          <w:rFonts w:hint="eastAsia" w:eastAsia="宋体"/>
          <w:b/>
          <w:bCs/>
          <w:sz w:val="32"/>
          <w:szCs w:val="32"/>
        </w:rPr>
        <w:t>目  录</w:t>
      </w:r>
    </w:p>
    <w:p w14:paraId="12516260">
      <w:pPr>
        <w:pStyle w:val="18"/>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_Toc14438 </w:instrText>
      </w:r>
      <w:r>
        <w:rPr>
          <w:rFonts w:hint="eastAsia" w:ascii="宋体" w:hAnsi="宋体" w:eastAsia="宋体" w:cs="宋体"/>
          <w:sz w:val="28"/>
          <w:szCs w:val="28"/>
        </w:rPr>
        <w:fldChar w:fldCharType="separate"/>
      </w:r>
      <w:r>
        <w:rPr>
          <w:rFonts w:hint="eastAsia" w:ascii="宋体" w:hAnsi="宋体" w:eastAsia="宋体" w:cs="宋体"/>
          <w:bCs/>
          <w:spacing w:val="9"/>
          <w:sz w:val="28"/>
          <w:szCs w:val="28"/>
        </w:rPr>
        <w:t>第一部分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_Toc14438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07E1176">
      <w:pPr>
        <w:pStyle w:val="18"/>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_Toc13794 </w:instrText>
      </w:r>
      <w:r>
        <w:rPr>
          <w:rFonts w:hint="eastAsia" w:ascii="宋体" w:hAnsi="宋体" w:eastAsia="宋体" w:cs="宋体"/>
          <w:sz w:val="28"/>
          <w:szCs w:val="28"/>
        </w:rPr>
        <w:fldChar w:fldCharType="separate"/>
      </w:r>
      <w:r>
        <w:rPr>
          <w:rFonts w:hint="eastAsia" w:ascii="宋体" w:hAnsi="宋体" w:eastAsia="宋体" w:cs="宋体"/>
          <w:bCs/>
          <w:spacing w:val="9"/>
          <w:sz w:val="28"/>
          <w:szCs w:val="28"/>
        </w:rPr>
        <w:t>第二部分</w:t>
      </w:r>
      <w:r>
        <w:rPr>
          <w:rFonts w:hint="eastAsia" w:ascii="宋体" w:hAnsi="宋体" w:eastAsia="宋体" w:cs="宋体"/>
          <w:bCs/>
          <w:spacing w:val="9"/>
          <w:sz w:val="28"/>
          <w:szCs w:val="28"/>
          <w:lang w:val="en-US" w:eastAsia="zh-CN"/>
        </w:rPr>
        <w:t xml:space="preserve"> </w:t>
      </w:r>
      <w:r>
        <w:rPr>
          <w:rFonts w:hint="eastAsia" w:ascii="宋体" w:hAnsi="宋体" w:eastAsia="宋体" w:cs="宋体"/>
          <w:bCs/>
          <w:spacing w:val="9"/>
          <w:sz w:val="28"/>
          <w:szCs w:val="28"/>
        </w:rPr>
        <w:t>投标人须</w:t>
      </w:r>
      <w:r>
        <w:rPr>
          <w:rFonts w:hint="eastAsia" w:ascii="宋体" w:hAnsi="宋体" w:eastAsia="宋体" w:cs="宋体"/>
          <w:bCs/>
          <w:spacing w:val="8"/>
          <w:sz w:val="28"/>
          <w:szCs w:val="28"/>
        </w:rPr>
        <w:t>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_Toc13794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88EEC9">
      <w:pPr>
        <w:pStyle w:val="18"/>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_Toc6801 </w:instrText>
      </w:r>
      <w:r>
        <w:rPr>
          <w:rFonts w:hint="eastAsia" w:ascii="宋体" w:hAnsi="宋体" w:eastAsia="宋体" w:cs="宋体"/>
          <w:sz w:val="28"/>
          <w:szCs w:val="28"/>
        </w:rPr>
        <w:fldChar w:fldCharType="separate"/>
      </w:r>
      <w:r>
        <w:rPr>
          <w:rFonts w:hint="eastAsia" w:ascii="宋体" w:hAnsi="宋体" w:eastAsia="宋体" w:cs="宋体"/>
          <w:bCs/>
          <w:spacing w:val="18"/>
          <w:sz w:val="28"/>
          <w:szCs w:val="28"/>
        </w:rPr>
        <w:t xml:space="preserve">第三部分 </w:t>
      </w:r>
      <w:r>
        <w:rPr>
          <w:rFonts w:hint="eastAsia" w:ascii="宋体" w:hAnsi="宋体" w:eastAsia="宋体" w:cs="宋体"/>
          <w:bCs/>
          <w:spacing w:val="18"/>
          <w:sz w:val="28"/>
          <w:szCs w:val="28"/>
          <w:highlight w:val="none"/>
        </w:rPr>
        <w:t>项目采购内容及要求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_Toc6801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097E8A">
      <w:pPr>
        <w:pStyle w:val="18"/>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_Toc2144 </w:instrText>
      </w:r>
      <w:r>
        <w:rPr>
          <w:rFonts w:hint="eastAsia" w:ascii="宋体" w:hAnsi="宋体" w:eastAsia="宋体" w:cs="宋体"/>
          <w:sz w:val="28"/>
          <w:szCs w:val="28"/>
        </w:rPr>
        <w:fldChar w:fldCharType="separate"/>
      </w:r>
      <w:r>
        <w:rPr>
          <w:rFonts w:hint="eastAsia" w:ascii="宋体" w:hAnsi="宋体" w:eastAsia="宋体" w:cs="宋体"/>
          <w:bCs/>
          <w:spacing w:val="18"/>
          <w:sz w:val="28"/>
          <w:szCs w:val="28"/>
        </w:rPr>
        <w:t>第</w:t>
      </w:r>
      <w:r>
        <w:rPr>
          <w:rFonts w:hint="eastAsia" w:ascii="宋体" w:hAnsi="宋体" w:eastAsia="宋体" w:cs="宋体"/>
          <w:bCs/>
          <w:spacing w:val="9"/>
          <w:sz w:val="28"/>
          <w:szCs w:val="28"/>
          <w:lang w:val="en-US" w:eastAsia="zh-CN"/>
        </w:rPr>
        <w:t>四</w:t>
      </w:r>
      <w:r>
        <w:rPr>
          <w:rFonts w:hint="eastAsia" w:ascii="宋体" w:hAnsi="宋体" w:eastAsia="宋体" w:cs="宋体"/>
          <w:bCs/>
          <w:spacing w:val="9"/>
          <w:sz w:val="28"/>
          <w:szCs w:val="28"/>
        </w:rPr>
        <w:t>部分</w:t>
      </w:r>
      <w:r>
        <w:rPr>
          <w:rFonts w:hint="eastAsia" w:ascii="宋体" w:hAnsi="宋体" w:eastAsia="宋体" w:cs="宋体"/>
          <w:bCs/>
          <w:spacing w:val="9"/>
          <w:sz w:val="28"/>
          <w:szCs w:val="28"/>
          <w:lang w:val="en-US" w:eastAsia="zh-CN"/>
        </w:rPr>
        <w:t xml:space="preserve"> </w:t>
      </w:r>
      <w:r>
        <w:rPr>
          <w:rFonts w:hint="eastAsia" w:ascii="宋体" w:hAnsi="宋体" w:eastAsia="宋体" w:cs="宋体"/>
          <w:bCs/>
          <w:spacing w:val="9"/>
          <w:sz w:val="28"/>
          <w:szCs w:val="28"/>
        </w:rPr>
        <w:t>投标人须知正文部分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_Toc2144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89CB40">
      <w:pPr>
        <w:pStyle w:val="18"/>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_Toc5561 </w:instrText>
      </w:r>
      <w:r>
        <w:rPr>
          <w:rFonts w:hint="eastAsia" w:ascii="宋体" w:hAnsi="宋体" w:eastAsia="宋体" w:cs="宋体"/>
          <w:sz w:val="28"/>
          <w:szCs w:val="28"/>
        </w:rPr>
        <w:fldChar w:fldCharType="separate"/>
      </w:r>
      <w:r>
        <w:rPr>
          <w:rFonts w:hint="eastAsia" w:ascii="宋体" w:hAnsi="宋体" w:eastAsia="宋体" w:cs="宋体"/>
          <w:bCs/>
          <w:spacing w:val="15"/>
          <w:sz w:val="28"/>
          <w:szCs w:val="28"/>
          <w:lang w:val="en-US" w:eastAsia="zh-CN"/>
        </w:rPr>
        <w:t xml:space="preserve">第五部分 </w:t>
      </w:r>
      <w:r>
        <w:rPr>
          <w:rFonts w:hint="eastAsia" w:ascii="宋体" w:hAnsi="宋体" w:eastAsia="宋体" w:cs="宋体"/>
          <w:bCs/>
          <w:spacing w:val="15"/>
          <w:sz w:val="28"/>
          <w:szCs w:val="28"/>
        </w:rPr>
        <w:t>评标办法(综合评分法)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_Toc5561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48FA494">
      <w:pPr>
        <w:pStyle w:val="18"/>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_Toc30608 </w:instrText>
      </w:r>
      <w:r>
        <w:rPr>
          <w:rFonts w:hint="eastAsia" w:ascii="宋体" w:hAnsi="宋体" w:eastAsia="宋体" w:cs="宋体"/>
          <w:sz w:val="28"/>
          <w:szCs w:val="28"/>
        </w:rPr>
        <w:fldChar w:fldCharType="separate"/>
      </w:r>
      <w:r>
        <w:rPr>
          <w:rFonts w:hint="eastAsia" w:ascii="宋体" w:hAnsi="宋体" w:eastAsia="宋体" w:cs="宋体"/>
          <w:bCs/>
          <w:spacing w:val="15"/>
          <w:sz w:val="28"/>
          <w:szCs w:val="28"/>
        </w:rPr>
        <w:t>第</w:t>
      </w:r>
      <w:r>
        <w:rPr>
          <w:rFonts w:hint="eastAsia" w:ascii="宋体" w:hAnsi="宋体" w:eastAsia="宋体" w:cs="宋体"/>
          <w:bCs/>
          <w:spacing w:val="8"/>
          <w:sz w:val="28"/>
          <w:szCs w:val="28"/>
          <w:lang w:val="en-US" w:eastAsia="zh-CN"/>
        </w:rPr>
        <w:t>六</w:t>
      </w:r>
      <w:r>
        <w:rPr>
          <w:rFonts w:hint="eastAsia" w:ascii="宋体" w:hAnsi="宋体" w:eastAsia="宋体" w:cs="宋体"/>
          <w:bCs/>
          <w:spacing w:val="8"/>
          <w:sz w:val="28"/>
          <w:szCs w:val="28"/>
        </w:rPr>
        <w:t>部分</w:t>
      </w:r>
      <w:r>
        <w:rPr>
          <w:rFonts w:hint="eastAsia" w:ascii="宋体" w:hAnsi="宋体" w:eastAsia="宋体" w:cs="宋体"/>
          <w:bCs/>
          <w:spacing w:val="8"/>
          <w:sz w:val="28"/>
          <w:szCs w:val="28"/>
          <w:lang w:val="en-US" w:eastAsia="zh-CN"/>
        </w:rPr>
        <w:t xml:space="preserve"> </w:t>
      </w:r>
      <w:r>
        <w:rPr>
          <w:rFonts w:hint="eastAsia" w:ascii="宋体" w:hAnsi="宋体" w:eastAsia="宋体" w:cs="宋体"/>
          <w:bCs/>
          <w:spacing w:val="8"/>
          <w:sz w:val="28"/>
          <w:szCs w:val="28"/>
        </w:rPr>
        <w:t>合同格式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_Toc30608 \h </w:instrText>
      </w:r>
      <w:r>
        <w:rPr>
          <w:rFonts w:hint="eastAsia" w:ascii="宋体" w:hAnsi="宋体" w:eastAsia="宋体" w:cs="宋体"/>
          <w:sz w:val="28"/>
          <w:szCs w:val="28"/>
        </w:rPr>
        <w:fldChar w:fldCharType="separate"/>
      </w:r>
      <w:r>
        <w:rPr>
          <w:rFonts w:hint="eastAsia" w:ascii="宋体" w:hAnsi="宋体" w:eastAsia="宋体" w:cs="宋体"/>
          <w:sz w:val="28"/>
          <w:szCs w:val="28"/>
        </w:rPr>
        <w:t>60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863AA5">
      <w:pPr>
        <w:pStyle w:val="18"/>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_Toc1427 </w:instrText>
      </w:r>
      <w:r>
        <w:rPr>
          <w:rFonts w:hint="eastAsia" w:ascii="宋体" w:hAnsi="宋体" w:eastAsia="宋体" w:cs="宋体"/>
          <w:sz w:val="28"/>
          <w:szCs w:val="28"/>
        </w:rPr>
        <w:fldChar w:fldCharType="separate"/>
      </w:r>
      <w:r>
        <w:rPr>
          <w:rFonts w:hint="eastAsia" w:ascii="宋体" w:hAnsi="宋体" w:eastAsia="宋体" w:cs="宋体"/>
          <w:bCs/>
          <w:spacing w:val="10"/>
          <w:sz w:val="28"/>
          <w:szCs w:val="28"/>
        </w:rPr>
        <w:t>第</w:t>
      </w:r>
      <w:r>
        <w:rPr>
          <w:rFonts w:hint="eastAsia" w:ascii="宋体" w:hAnsi="宋体" w:eastAsia="宋体" w:cs="宋体"/>
          <w:bCs/>
          <w:spacing w:val="9"/>
          <w:sz w:val="28"/>
          <w:szCs w:val="28"/>
          <w:lang w:val="en-US" w:eastAsia="zh-CN"/>
        </w:rPr>
        <w:t>七</w:t>
      </w:r>
      <w:r>
        <w:rPr>
          <w:rFonts w:hint="eastAsia" w:ascii="宋体" w:hAnsi="宋体" w:eastAsia="宋体" w:cs="宋体"/>
          <w:bCs/>
          <w:spacing w:val="9"/>
          <w:sz w:val="28"/>
          <w:szCs w:val="28"/>
        </w:rPr>
        <w:t>部分</w:t>
      </w:r>
      <w:r>
        <w:rPr>
          <w:rFonts w:hint="eastAsia" w:ascii="宋体" w:hAnsi="宋体" w:eastAsia="宋体" w:cs="宋体"/>
          <w:bCs/>
          <w:spacing w:val="9"/>
          <w:sz w:val="28"/>
          <w:szCs w:val="28"/>
          <w:lang w:val="en-US" w:eastAsia="zh-CN"/>
        </w:rPr>
        <w:t xml:space="preserve"> </w:t>
      </w:r>
      <w:r>
        <w:rPr>
          <w:rFonts w:hint="eastAsia" w:ascii="宋体" w:hAnsi="宋体" w:eastAsia="宋体" w:cs="宋体"/>
          <w:bCs/>
          <w:spacing w:val="9"/>
          <w:sz w:val="28"/>
          <w:szCs w:val="28"/>
        </w:rPr>
        <w:t>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_Toc1427 \h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05049F">
      <w:pPr>
        <w:pStyle w:val="4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eastAsia="宋体"/>
          <w:b/>
          <w:bCs/>
          <w:sz w:val="32"/>
          <w:szCs w:val="32"/>
        </w:rPr>
        <w:sectPr>
          <w:headerReference r:id="rId5" w:type="default"/>
          <w:footerReference r:id="rId6" w:type="default"/>
          <w:pgSz w:w="11907" w:h="16839"/>
          <w:pgMar w:top="1476" w:right="1049" w:bottom="1226" w:left="1051" w:header="1155" w:footer="958" w:gutter="0"/>
          <w:cols w:space="720" w:num="1"/>
        </w:sectPr>
      </w:pPr>
      <w:r>
        <w:rPr>
          <w:rFonts w:hint="eastAsia" w:ascii="宋体" w:hAnsi="宋体" w:eastAsia="宋体" w:cs="宋体"/>
          <w:sz w:val="28"/>
          <w:szCs w:val="28"/>
        </w:rPr>
        <w:fldChar w:fldCharType="end"/>
      </w:r>
    </w:p>
    <w:p w14:paraId="5C3D76E3">
      <w:pPr>
        <w:pStyle w:val="44"/>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ascii="宋体" w:hAnsi="宋体" w:eastAsia="宋体" w:cs="宋体"/>
          <w:b/>
          <w:bCs/>
          <w:spacing w:val="9"/>
          <w:sz w:val="31"/>
          <w:szCs w:val="31"/>
        </w:rPr>
      </w:pPr>
      <w:bookmarkStart w:id="0" w:name="_Toc14438"/>
      <w:r>
        <w:rPr>
          <w:rFonts w:ascii="宋体" w:hAnsi="宋体" w:eastAsia="宋体" w:cs="宋体"/>
          <w:b/>
          <w:bCs/>
          <w:spacing w:val="9"/>
          <w:sz w:val="31"/>
          <w:szCs w:val="31"/>
        </w:rPr>
        <w:t>第一部分 招标公告</w:t>
      </w:r>
      <w:bookmarkEnd w:id="0"/>
    </w:p>
    <w:p w14:paraId="600CDF47">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ascii="微软雅黑" w:hAnsi="微软雅黑" w:eastAsia="微软雅黑" w:cs="微软雅黑"/>
          <w:b/>
          <w:bCs/>
          <w:i w:val="0"/>
          <w:iCs w:val="0"/>
          <w:caps w:val="0"/>
          <w:color w:val="000000"/>
          <w:spacing w:val="0"/>
          <w:sz w:val="45"/>
          <w:szCs w:val="45"/>
        </w:rPr>
      </w:pPr>
      <w:r>
        <w:rPr>
          <w:rFonts w:hint="eastAsia" w:ascii="微软雅黑" w:hAnsi="微软雅黑" w:eastAsia="微软雅黑" w:cs="微软雅黑"/>
          <w:b/>
          <w:bCs/>
          <w:i w:val="0"/>
          <w:iCs w:val="0"/>
          <w:caps w:val="0"/>
          <w:snapToGrid w:val="0"/>
          <w:color w:val="000000"/>
          <w:spacing w:val="0"/>
          <w:kern w:val="0"/>
          <w:sz w:val="45"/>
          <w:szCs w:val="45"/>
          <w:bdr w:val="none" w:color="auto" w:sz="0" w:space="0"/>
          <w:shd w:val="clear" w:fill="FFFFFF"/>
          <w:lang w:val="en-US" w:eastAsia="zh-CN" w:bidi="ar"/>
        </w:rPr>
        <w:t>唐河县教育装备与技术保障中心2025年唐河县思源学校、桐寨铺中心小学等学校教学设备采购(二)项目-公开招标公告</w:t>
      </w:r>
    </w:p>
    <w:tbl>
      <w:tblPr>
        <w:tblW w:w="1012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069"/>
        <w:gridCol w:w="51"/>
      </w:tblGrid>
      <w:tr w14:paraId="70DC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25E3ABD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b w:val="0"/>
                <w:bCs w:val="0"/>
                <w:i w:val="0"/>
                <w:iCs w:val="0"/>
                <w:color w:val="FFFFFF"/>
                <w:sz w:val="24"/>
                <w:szCs w:val="24"/>
                <w:u w:val="none"/>
                <w:bdr w:val="single" w:color="1890FF" w:sz="6" w:space="0"/>
                <w:shd w:val="clear" w:fill="007BFF"/>
              </w:rPr>
              <w:fldChar w:fldCharType="begin"/>
            </w:r>
            <w:r>
              <w:rPr>
                <w:rFonts w:hint="eastAsia" w:ascii="宋体" w:hAnsi="宋体" w:eastAsia="宋体" w:cs="宋体"/>
                <w:b w:val="0"/>
                <w:bCs w:val="0"/>
                <w:i w:val="0"/>
                <w:iCs w:val="0"/>
                <w:color w:val="FFFFFF"/>
                <w:sz w:val="24"/>
                <w:szCs w:val="24"/>
                <w:u w:val="none"/>
                <w:bdr w:val="single" w:color="1890FF" w:sz="6" w:space="0"/>
                <w:shd w:val="clear" w:fill="007BFF"/>
              </w:rPr>
              <w:instrText xml:space="preserve"> HYPERLINK "https://zfcg.henan.gov.cn/xygh/egp/jd/rzjg/rzjgxx/ShowPicListNew.html" \t "https://jingji.zfcg.henan.gov.cn/cgpt/egp/cz/gggl/ggfb/_blank" </w:instrText>
            </w:r>
            <w:r>
              <w:rPr>
                <w:rFonts w:hint="eastAsia" w:ascii="宋体" w:hAnsi="宋体" w:eastAsia="宋体" w:cs="宋体"/>
                <w:b w:val="0"/>
                <w:bCs w:val="0"/>
                <w:i w:val="0"/>
                <w:iCs w:val="0"/>
                <w:color w:val="FFFFFF"/>
                <w:sz w:val="24"/>
                <w:szCs w:val="24"/>
                <w:u w:val="none"/>
                <w:bdr w:val="single" w:color="1890FF" w:sz="6" w:space="0"/>
                <w:shd w:val="clear" w:fill="007BFF"/>
              </w:rPr>
              <w:fldChar w:fldCharType="separate"/>
            </w:r>
            <w:r>
              <w:rPr>
                <w:rStyle w:val="36"/>
                <w:rFonts w:hint="eastAsia" w:ascii="宋体" w:hAnsi="宋体" w:eastAsia="宋体" w:cs="宋体"/>
                <w:b w:val="0"/>
                <w:bCs w:val="0"/>
                <w:i w:val="0"/>
                <w:iCs w:val="0"/>
                <w:color w:val="FFFFFF"/>
                <w:sz w:val="24"/>
                <w:szCs w:val="24"/>
                <w:u w:val="none"/>
                <w:bdr w:val="single" w:color="1890FF" w:sz="6" w:space="0"/>
                <w:shd w:val="clear" w:fill="007BFF"/>
              </w:rPr>
              <w:t>中小微企业融资申请</w:t>
            </w:r>
            <w:r>
              <w:rPr>
                <w:rFonts w:hint="eastAsia" w:ascii="宋体" w:hAnsi="宋体" w:eastAsia="宋体" w:cs="宋体"/>
                <w:b w:val="0"/>
                <w:bCs w:val="0"/>
                <w:i w:val="0"/>
                <w:iCs w:val="0"/>
                <w:color w:val="FFFFFF"/>
                <w:sz w:val="24"/>
                <w:szCs w:val="24"/>
                <w:u w:val="none"/>
                <w:bdr w:val="single" w:color="1890FF" w:sz="6" w:space="0"/>
                <w:shd w:val="clear" w:fill="007BFF"/>
              </w:rPr>
              <w:fldChar w:fldCharType="end"/>
            </w:r>
          </w:p>
        </w:tc>
      </w:tr>
      <w:tr w14:paraId="0006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B9D87A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firstLine="420"/>
              <w:rPr>
                <w:rFonts w:hint="eastAsia" w:ascii="宋体" w:hAnsi="宋体" w:eastAsia="宋体" w:cs="宋体"/>
                <w:b/>
                <w:bCs/>
                <w:color w:val="000000"/>
                <w:sz w:val="24"/>
                <w:szCs w:val="24"/>
              </w:rPr>
            </w:pPr>
            <w:r>
              <w:rPr>
                <w:rFonts w:hint="eastAsia" w:ascii="宋体" w:hAnsi="宋体" w:eastAsia="宋体" w:cs="宋体"/>
                <w:b/>
                <w:bCs/>
                <w:i w:val="0"/>
                <w:iCs w:val="0"/>
                <w:color w:val="000000"/>
                <w:sz w:val="24"/>
                <w:szCs w:val="24"/>
                <w:bdr w:val="none" w:color="auto" w:sz="0" w:space="0"/>
              </w:rPr>
              <w:t>项目概况</w:t>
            </w:r>
          </w:p>
          <w:p w14:paraId="3B839C1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firstLine="420"/>
              <w:rPr>
                <w:rFonts w:hint="eastAsia" w:ascii="宋体" w:hAnsi="宋体" w:eastAsia="宋体" w:cs="宋体"/>
                <w:color w:val="000000"/>
                <w:sz w:val="24"/>
                <w:szCs w:val="24"/>
              </w:rPr>
            </w:pPr>
            <w:r>
              <w:rPr>
                <w:rFonts w:hint="eastAsia" w:ascii="宋体" w:hAnsi="宋体" w:eastAsia="宋体" w:cs="宋体"/>
                <w:b/>
                <w:bCs/>
                <w:i w:val="0"/>
                <w:iCs w:val="0"/>
                <w:color w:val="000000"/>
                <w:sz w:val="24"/>
                <w:szCs w:val="24"/>
                <w:u w:val="single"/>
                <w:bdr w:val="none" w:color="auto" w:sz="0" w:space="0"/>
              </w:rPr>
              <w:t>唐河县教育装备与技术保障中心2025年唐河县思源学校、桐寨铺中心小学等学校教学设备采购(二)项目</w:t>
            </w:r>
            <w:r>
              <w:rPr>
                <w:rFonts w:hint="eastAsia" w:ascii="宋体" w:hAnsi="宋体" w:eastAsia="宋体" w:cs="宋体"/>
                <w:b w:val="0"/>
                <w:bCs w:val="0"/>
                <w:i w:val="0"/>
                <w:iCs w:val="0"/>
                <w:color w:val="000000"/>
                <w:sz w:val="24"/>
                <w:szCs w:val="24"/>
                <w:bdr w:val="none" w:color="auto" w:sz="0" w:space="0"/>
              </w:rPr>
              <w:t>招标项目的潜在投标人应在</w:t>
            </w:r>
            <w:r>
              <w:rPr>
                <w:rFonts w:hint="eastAsia" w:ascii="宋体" w:hAnsi="宋体" w:eastAsia="宋体" w:cs="宋体"/>
                <w:b/>
                <w:bCs/>
                <w:i w:val="0"/>
                <w:iCs w:val="0"/>
                <w:color w:val="000000"/>
                <w:sz w:val="24"/>
                <w:szCs w:val="24"/>
                <w:u w:val="single"/>
                <w:bdr w:val="none" w:color="auto" w:sz="0" w:space="0"/>
              </w:rPr>
              <w:t>唐河县公共资源交易中心网站（http://ggzyjy.tanghe.gov.cn）</w:t>
            </w:r>
            <w:r>
              <w:rPr>
                <w:rFonts w:hint="eastAsia" w:ascii="宋体" w:hAnsi="宋体" w:eastAsia="宋体" w:cs="宋体"/>
                <w:b w:val="0"/>
                <w:bCs w:val="0"/>
                <w:i w:val="0"/>
                <w:iCs w:val="0"/>
                <w:color w:val="000000"/>
                <w:sz w:val="24"/>
                <w:szCs w:val="24"/>
                <w:bdr w:val="none" w:color="auto" w:sz="0" w:space="0"/>
              </w:rPr>
              <w:t>获取招标文件，并于</w:t>
            </w:r>
            <w:r>
              <w:rPr>
                <w:rFonts w:hint="eastAsia" w:ascii="宋体" w:hAnsi="宋体" w:eastAsia="宋体" w:cs="宋体"/>
                <w:b/>
                <w:bCs/>
                <w:i w:val="0"/>
                <w:iCs w:val="0"/>
                <w:color w:val="000000"/>
                <w:sz w:val="24"/>
                <w:szCs w:val="24"/>
                <w:u w:val="single"/>
                <w:bdr w:val="none" w:color="auto" w:sz="0" w:space="0"/>
              </w:rPr>
              <w:t>2025年06月26日09时30分</w:t>
            </w:r>
            <w:r>
              <w:rPr>
                <w:rFonts w:hint="eastAsia" w:ascii="宋体" w:hAnsi="宋体" w:eastAsia="宋体" w:cs="宋体"/>
                <w:b w:val="0"/>
                <w:bCs w:val="0"/>
                <w:i w:val="0"/>
                <w:iCs w:val="0"/>
                <w:color w:val="000000"/>
                <w:sz w:val="24"/>
                <w:szCs w:val="24"/>
                <w:bdr w:val="none" w:color="auto" w:sz="0" w:space="0"/>
              </w:rPr>
              <w:t>（北京时间）前递交投标文件。</w:t>
            </w:r>
          </w:p>
        </w:tc>
      </w:tr>
      <w:tr w14:paraId="0A96A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13F28E33">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一、项目基本情况</w:t>
            </w:r>
          </w:p>
        </w:tc>
      </w:tr>
      <w:tr w14:paraId="329B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2F3CCCE">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1、项目编号：唐财采购公开-2025-22</w:t>
            </w:r>
          </w:p>
        </w:tc>
      </w:tr>
      <w:tr w14:paraId="0DAA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55C2B12D">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2、项目名称：唐河县教育装备与技术保障中心2025年唐河县思源学校、桐寨铺中心小学等学校教学设备采购(二)项目</w:t>
            </w:r>
          </w:p>
        </w:tc>
      </w:tr>
      <w:tr w14:paraId="6499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34CFF749">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3、采购方式：公开招标</w:t>
            </w:r>
          </w:p>
        </w:tc>
      </w:tr>
      <w:tr w14:paraId="77EB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2DDC452E">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4、预算金额：4,785,186.00元</w:t>
            </w:r>
          </w:p>
        </w:tc>
      </w:tr>
      <w:tr w14:paraId="5A3C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20FDE6DC">
            <w:pPr>
              <w:keepNext w:val="0"/>
              <w:keepLines w:val="0"/>
              <w:pageBreakBefore w:val="0"/>
              <w:widowControl/>
              <w:suppressLineNumbers w:val="0"/>
              <w:overflowPunct/>
              <w:topLinePunct w:val="0"/>
              <w:bidi w:val="0"/>
              <w:spacing w:before="0" w:beforeAutospacing="0" w:after="0" w:afterAutospacing="0" w:line="360" w:lineRule="auto"/>
              <w:ind w:left="0" w:right="0" w:firstLine="84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最高限价：4785186元</w:t>
            </w:r>
          </w:p>
        </w:tc>
      </w:tr>
      <w:tr w14:paraId="05DD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9"/>
              <w:gridCol w:w="1358"/>
              <w:gridCol w:w="5517"/>
              <w:gridCol w:w="1077"/>
              <w:gridCol w:w="1294"/>
            </w:tblGrid>
            <w:tr w14:paraId="32B490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704BCB9C">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序号</w:t>
                  </w:r>
                </w:p>
              </w:tc>
              <w:tc>
                <w:tcPr>
                  <w:tcW w:w="0" w:type="auto"/>
                  <w:shd w:val="clear"/>
                  <w:tcMar>
                    <w:top w:w="120" w:type="dxa"/>
                  </w:tcMar>
                  <w:vAlign w:val="center"/>
                </w:tcPr>
                <w:p w14:paraId="760CBEBA">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包号</w:t>
                  </w:r>
                </w:p>
              </w:tc>
              <w:tc>
                <w:tcPr>
                  <w:tcW w:w="0" w:type="auto"/>
                  <w:shd w:val="clear"/>
                  <w:tcMar>
                    <w:top w:w="120" w:type="dxa"/>
                  </w:tcMar>
                  <w:vAlign w:val="center"/>
                </w:tcPr>
                <w:p w14:paraId="34DE28B7">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包名称</w:t>
                  </w:r>
                </w:p>
              </w:tc>
              <w:tc>
                <w:tcPr>
                  <w:tcW w:w="0" w:type="auto"/>
                  <w:shd w:val="clear"/>
                  <w:tcMar>
                    <w:top w:w="120" w:type="dxa"/>
                  </w:tcMar>
                  <w:vAlign w:val="center"/>
                </w:tcPr>
                <w:p w14:paraId="487513AE">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包预算（元）</w:t>
                  </w:r>
                </w:p>
              </w:tc>
              <w:tc>
                <w:tcPr>
                  <w:tcW w:w="0" w:type="auto"/>
                  <w:shd w:val="clear"/>
                  <w:tcMar>
                    <w:top w:w="120" w:type="dxa"/>
                  </w:tcMar>
                  <w:vAlign w:val="center"/>
                </w:tcPr>
                <w:p w14:paraId="25AF1225">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包最高限价（元）</w:t>
                  </w:r>
                </w:p>
              </w:tc>
            </w:tr>
            <w:tr w14:paraId="3AA7AE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tcMar>
                    <w:top w:w="120" w:type="dxa"/>
                  </w:tcMar>
                  <w:vAlign w:val="center"/>
                </w:tcPr>
                <w:p w14:paraId="7E10E3D3">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w:t>
                  </w:r>
                </w:p>
              </w:tc>
              <w:tc>
                <w:tcPr>
                  <w:tcW w:w="0" w:type="auto"/>
                  <w:shd w:val="clear"/>
                  <w:tcMar>
                    <w:top w:w="120" w:type="dxa"/>
                  </w:tcMar>
                  <w:vAlign w:val="center"/>
                </w:tcPr>
                <w:p w14:paraId="336D9F7E">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唐财采购公开-2025-22-1</w:t>
                  </w:r>
                </w:p>
              </w:tc>
              <w:tc>
                <w:tcPr>
                  <w:tcW w:w="0" w:type="auto"/>
                  <w:shd w:val="clear"/>
                  <w:tcMar>
                    <w:top w:w="120" w:type="dxa"/>
                  </w:tcMar>
                  <w:vAlign w:val="center"/>
                </w:tcPr>
                <w:p w14:paraId="31CBEDB1">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唐河县教育装备与技术保障中心2025年唐河县思源学校、桐寨铺中心小学等学校教学设备采购(二)项目一标段</w:t>
                  </w:r>
                </w:p>
              </w:tc>
              <w:tc>
                <w:tcPr>
                  <w:tcW w:w="0" w:type="auto"/>
                  <w:shd w:val="clear"/>
                  <w:tcMar>
                    <w:top w:w="120" w:type="dxa"/>
                  </w:tcMar>
                  <w:vAlign w:val="center"/>
                </w:tcPr>
                <w:p w14:paraId="484CFA14">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341750</w:t>
                  </w:r>
                </w:p>
              </w:tc>
              <w:tc>
                <w:tcPr>
                  <w:tcW w:w="0" w:type="auto"/>
                  <w:shd w:val="clear"/>
                  <w:tcMar>
                    <w:top w:w="120" w:type="dxa"/>
                  </w:tcMar>
                  <w:vAlign w:val="center"/>
                </w:tcPr>
                <w:p w14:paraId="4B4E42CE">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341750</w:t>
                  </w:r>
                </w:p>
              </w:tc>
            </w:tr>
            <w:tr w14:paraId="40419C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tcMar>
                    <w:top w:w="120" w:type="dxa"/>
                  </w:tcMar>
                  <w:vAlign w:val="center"/>
                </w:tcPr>
                <w:p w14:paraId="767E5B7A">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w:t>
                  </w:r>
                </w:p>
              </w:tc>
              <w:tc>
                <w:tcPr>
                  <w:tcW w:w="0" w:type="auto"/>
                  <w:shd w:val="clear"/>
                  <w:tcMar>
                    <w:top w:w="120" w:type="dxa"/>
                  </w:tcMar>
                  <w:vAlign w:val="center"/>
                </w:tcPr>
                <w:p w14:paraId="0C171B7B">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唐财采购公开-2025-22-2</w:t>
                  </w:r>
                </w:p>
              </w:tc>
              <w:tc>
                <w:tcPr>
                  <w:tcW w:w="0" w:type="auto"/>
                  <w:shd w:val="clear"/>
                  <w:tcMar>
                    <w:top w:w="120" w:type="dxa"/>
                  </w:tcMar>
                  <w:vAlign w:val="center"/>
                </w:tcPr>
                <w:p w14:paraId="585A3ED6">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唐河县教育装备与技术保障中心2025年唐河县思源学校、桐寨铺中心小学等学校教学设备采购(二)项目二标段</w:t>
                  </w:r>
                </w:p>
              </w:tc>
              <w:tc>
                <w:tcPr>
                  <w:tcW w:w="0" w:type="auto"/>
                  <w:shd w:val="clear"/>
                  <w:tcMar>
                    <w:top w:w="120" w:type="dxa"/>
                  </w:tcMar>
                  <w:vAlign w:val="center"/>
                </w:tcPr>
                <w:p w14:paraId="0F33E9C5">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2472930</w:t>
                  </w:r>
                </w:p>
              </w:tc>
              <w:tc>
                <w:tcPr>
                  <w:tcW w:w="0" w:type="auto"/>
                  <w:shd w:val="clear"/>
                  <w:tcMar>
                    <w:top w:w="120" w:type="dxa"/>
                  </w:tcMar>
                  <w:vAlign w:val="center"/>
                </w:tcPr>
                <w:p w14:paraId="1898EB64">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2472930</w:t>
                  </w:r>
                </w:p>
              </w:tc>
            </w:tr>
            <w:tr w14:paraId="314721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tcMar>
                    <w:top w:w="120" w:type="dxa"/>
                  </w:tcMar>
                  <w:vAlign w:val="center"/>
                </w:tcPr>
                <w:p w14:paraId="7D6A0526">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w:t>
                  </w:r>
                </w:p>
              </w:tc>
              <w:tc>
                <w:tcPr>
                  <w:tcW w:w="0" w:type="auto"/>
                  <w:shd w:val="clear"/>
                  <w:tcMar>
                    <w:top w:w="120" w:type="dxa"/>
                  </w:tcMar>
                  <w:vAlign w:val="center"/>
                </w:tcPr>
                <w:p w14:paraId="50817CB2">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唐财采购公开-2025-22-3</w:t>
                  </w:r>
                </w:p>
              </w:tc>
              <w:tc>
                <w:tcPr>
                  <w:tcW w:w="0" w:type="auto"/>
                  <w:shd w:val="clear"/>
                  <w:tcMar>
                    <w:top w:w="120" w:type="dxa"/>
                  </w:tcMar>
                  <w:vAlign w:val="center"/>
                </w:tcPr>
                <w:p w14:paraId="1BE6E929">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唐河县教育装备与技术保障中心2025年唐河县思源学校、桐寨铺中心小学等学校教学设备采购(二)项目三标段</w:t>
                  </w:r>
                </w:p>
              </w:tc>
              <w:tc>
                <w:tcPr>
                  <w:tcW w:w="0" w:type="auto"/>
                  <w:shd w:val="clear"/>
                  <w:tcMar>
                    <w:top w:w="120" w:type="dxa"/>
                  </w:tcMar>
                  <w:vAlign w:val="center"/>
                </w:tcPr>
                <w:p w14:paraId="42C5CE63">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1970506</w:t>
                  </w:r>
                </w:p>
              </w:tc>
              <w:tc>
                <w:tcPr>
                  <w:tcW w:w="0" w:type="auto"/>
                  <w:shd w:val="clear"/>
                  <w:tcMar>
                    <w:top w:w="120" w:type="dxa"/>
                  </w:tcMar>
                  <w:vAlign w:val="center"/>
                </w:tcPr>
                <w:p w14:paraId="079F7F23">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1970506</w:t>
                  </w:r>
                </w:p>
              </w:tc>
            </w:tr>
          </w:tbl>
          <w:p w14:paraId="705086A5">
            <w:pPr>
              <w:keepNext w:val="0"/>
              <w:keepLines w:val="0"/>
              <w:pageBreakBefore w:val="0"/>
              <w:widowControl/>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p>
        </w:tc>
      </w:tr>
      <w:tr w14:paraId="5E8B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971FC60">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5、采购需求（包括但不限于标的的名称、数量、简要技术需求或服务要求等）</w:t>
            </w:r>
          </w:p>
        </w:tc>
        <w:tc>
          <w:tcPr>
            <w:tcW w:w="0" w:type="auto"/>
            <w:shd w:val="clear"/>
            <w:vAlign w:val="center"/>
          </w:tcPr>
          <w:p w14:paraId="45D13136">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780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494CB3FA">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（1）采购内容：本项目共分为三个标段。一标段明厨亮灶设备，二标段食堂设备，三标段校园安防、网络、广播系统等（详见采购清单）</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（2）项目实施地点：唐河县境内；</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（3）资金来源：财政资金，已落实；</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（4）标段划分：划分为3个标段；</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（5）交货时间及服务期限：合同签订后 30 日内交货完毕；</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（6）质量要求：合格，符合国家相关质量标准；</w:t>
            </w:r>
          </w:p>
        </w:tc>
        <w:tc>
          <w:tcPr>
            <w:tcW w:w="0" w:type="auto"/>
            <w:shd w:val="clear"/>
            <w:vAlign w:val="center"/>
          </w:tcPr>
          <w:p w14:paraId="78D052F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6DB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039AFD4">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6、合同履行期限：详见采购需求</w:t>
            </w:r>
          </w:p>
        </w:tc>
        <w:tc>
          <w:tcPr>
            <w:tcW w:w="0" w:type="auto"/>
            <w:shd w:val="clear"/>
            <w:vAlign w:val="center"/>
          </w:tcPr>
          <w:p w14:paraId="11010E2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53D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16391A5">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7、本项目是否接受联合体投标：否</w:t>
            </w:r>
          </w:p>
        </w:tc>
        <w:tc>
          <w:tcPr>
            <w:tcW w:w="0" w:type="auto"/>
            <w:shd w:val="clear"/>
            <w:vAlign w:val="center"/>
          </w:tcPr>
          <w:p w14:paraId="53BE9F5C">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885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8236F38">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8、是否接受进口产品：否</w:t>
            </w:r>
          </w:p>
        </w:tc>
        <w:tc>
          <w:tcPr>
            <w:tcW w:w="0" w:type="auto"/>
            <w:shd w:val="clear"/>
            <w:vAlign w:val="center"/>
          </w:tcPr>
          <w:p w14:paraId="70AF5362">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2F1B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6F7B19C">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9、是否专门面向中小企业：否</w:t>
            </w:r>
          </w:p>
        </w:tc>
        <w:tc>
          <w:tcPr>
            <w:tcW w:w="0" w:type="auto"/>
            <w:shd w:val="clear"/>
            <w:vAlign w:val="center"/>
          </w:tcPr>
          <w:p w14:paraId="57CF1A4A">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914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32C8FDA">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二、申请人资格要求：</w:t>
            </w:r>
          </w:p>
        </w:tc>
        <w:tc>
          <w:tcPr>
            <w:tcW w:w="0" w:type="auto"/>
            <w:shd w:val="clear"/>
            <w:vAlign w:val="center"/>
          </w:tcPr>
          <w:p w14:paraId="02C2779C">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7D6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5C112EF">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1、满足《中华人民共和国政府采购法》第二十二条规定；</w:t>
            </w:r>
          </w:p>
        </w:tc>
        <w:tc>
          <w:tcPr>
            <w:tcW w:w="0" w:type="auto"/>
            <w:shd w:val="clear"/>
            <w:vAlign w:val="center"/>
          </w:tcPr>
          <w:p w14:paraId="69413C6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9A3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9B7E06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2、落实政府采购政策满足的资格要求：</w:t>
            </w:r>
          </w:p>
        </w:tc>
        <w:tc>
          <w:tcPr>
            <w:tcW w:w="0" w:type="auto"/>
            <w:shd w:val="clear"/>
            <w:vAlign w:val="center"/>
          </w:tcPr>
          <w:p w14:paraId="04A4921F">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11F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053BEC6E">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本项目执行节能产品、环保标志产品、扶持中小企业、监狱企业和残疾人福利性单位发展等相关采购政策。</w:t>
            </w:r>
          </w:p>
        </w:tc>
        <w:tc>
          <w:tcPr>
            <w:tcW w:w="0" w:type="auto"/>
            <w:shd w:val="clear"/>
            <w:vAlign w:val="center"/>
          </w:tcPr>
          <w:p w14:paraId="527BF09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341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E0758D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3、本项目的特定资格要求</w:t>
            </w:r>
          </w:p>
        </w:tc>
        <w:tc>
          <w:tcPr>
            <w:tcW w:w="0" w:type="auto"/>
            <w:shd w:val="clear"/>
            <w:vAlign w:val="center"/>
          </w:tcPr>
          <w:p w14:paraId="7B68C8F4">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2C7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6816FBD1">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3.1供应商须具有独立承担民事责任的能力。</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3.2供应商须具有依法缴纳税收和社会保障资金的良好记录（2024年内任意3个月）；</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3.3供应商须具有良好的商业信誉和健全的财务会计制度：供应商需提供近一年的财务审计报告或财务报表（若成立不足一年的公司，则提供成立月份以来的企业财务报表）；</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3.4具有履行合同所必需的设备和专业技术能力，提供供应商书面声明；</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3.5参加本次政府采购活动前三年内，在经营活动中没有重大违法犯罪记录；</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3.6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3.7本项目不接受联合体投标，不允许转包和分包；</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p>
        </w:tc>
        <w:tc>
          <w:tcPr>
            <w:tcW w:w="0" w:type="auto"/>
            <w:shd w:val="clear"/>
            <w:vAlign w:val="center"/>
          </w:tcPr>
          <w:p w14:paraId="08C4AD9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F87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6001E8C">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三、获取招标文件</w:t>
            </w:r>
          </w:p>
        </w:tc>
        <w:tc>
          <w:tcPr>
            <w:tcW w:w="0" w:type="auto"/>
            <w:shd w:val="clear"/>
            <w:vAlign w:val="center"/>
          </w:tcPr>
          <w:p w14:paraId="403C062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90D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C94AC78">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1.时间：2025年06月04日 至 2025年06月20日，每天上午00:00至12:00，下午12:00至23:59（北京时间，法定节假日除外。）</w:t>
            </w:r>
          </w:p>
        </w:tc>
        <w:tc>
          <w:tcPr>
            <w:tcW w:w="0" w:type="auto"/>
            <w:shd w:val="clear"/>
            <w:vAlign w:val="center"/>
          </w:tcPr>
          <w:p w14:paraId="763B3189">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3C2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9B88EAE">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2.地点：唐河县公共资源交易中心网站（http://ggzyjy.tanghe.gov.cn）</w:t>
            </w:r>
          </w:p>
        </w:tc>
        <w:tc>
          <w:tcPr>
            <w:tcW w:w="0" w:type="auto"/>
            <w:shd w:val="clear"/>
            <w:vAlign w:val="center"/>
          </w:tcPr>
          <w:p w14:paraId="46AE5A8B">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328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A19B0B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3.方式：网上下载。潜在供应商在唐河县公共资源交易中心网站首页“交易平台登录”中的“交易主体登录/注册”进行网上下载采购文件。</w:t>
            </w:r>
          </w:p>
        </w:tc>
        <w:tc>
          <w:tcPr>
            <w:tcW w:w="0" w:type="auto"/>
            <w:shd w:val="clear"/>
            <w:vAlign w:val="center"/>
          </w:tcPr>
          <w:p w14:paraId="5F0FC6DF">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48F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64722E4">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4.售价：0元</w:t>
            </w:r>
          </w:p>
        </w:tc>
        <w:tc>
          <w:tcPr>
            <w:tcW w:w="0" w:type="auto"/>
            <w:shd w:val="clear"/>
            <w:vAlign w:val="center"/>
          </w:tcPr>
          <w:p w14:paraId="351506B4">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185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263EC11">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四、投标截止时间及地点</w:t>
            </w:r>
          </w:p>
        </w:tc>
        <w:tc>
          <w:tcPr>
            <w:tcW w:w="0" w:type="auto"/>
            <w:shd w:val="clear"/>
            <w:vAlign w:val="center"/>
          </w:tcPr>
          <w:p w14:paraId="17C3DEA2">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0A9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30C30F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1.时间：2025年06月26日09时30分（北京时间）</w:t>
            </w:r>
          </w:p>
        </w:tc>
        <w:tc>
          <w:tcPr>
            <w:tcW w:w="0" w:type="auto"/>
            <w:shd w:val="clear"/>
            <w:vAlign w:val="center"/>
          </w:tcPr>
          <w:p w14:paraId="5A677519">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CCC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5FE1766">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2.地点：唐河县公共资源交易中心网站（http://ggzyjy.tanghe.gov.cn）</w:t>
            </w:r>
          </w:p>
        </w:tc>
        <w:tc>
          <w:tcPr>
            <w:tcW w:w="0" w:type="auto"/>
            <w:shd w:val="clear"/>
            <w:vAlign w:val="center"/>
          </w:tcPr>
          <w:p w14:paraId="69272843">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CB6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7D0AC63">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五、开标时间及地点</w:t>
            </w:r>
          </w:p>
        </w:tc>
        <w:tc>
          <w:tcPr>
            <w:tcW w:w="0" w:type="auto"/>
            <w:shd w:val="clear"/>
            <w:vAlign w:val="center"/>
          </w:tcPr>
          <w:p w14:paraId="40C75205">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F6C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E178A77">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1.时间：2025年06月26日09时30分（北京时间）</w:t>
            </w:r>
          </w:p>
        </w:tc>
        <w:tc>
          <w:tcPr>
            <w:tcW w:w="0" w:type="auto"/>
            <w:shd w:val="clear"/>
            <w:vAlign w:val="center"/>
          </w:tcPr>
          <w:p w14:paraId="4CEDAE34">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1DDC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F8E87D8">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2.地点：唐河县公共资源交易中心网站（http://ggzyjy.tanghe.gov.cn）</w:t>
            </w:r>
          </w:p>
        </w:tc>
        <w:tc>
          <w:tcPr>
            <w:tcW w:w="0" w:type="auto"/>
            <w:shd w:val="clear"/>
            <w:vAlign w:val="center"/>
          </w:tcPr>
          <w:p w14:paraId="4ABCA085">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B19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47E2BBD">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六、发布公告的媒介及招标公告期限</w:t>
            </w:r>
          </w:p>
        </w:tc>
        <w:tc>
          <w:tcPr>
            <w:tcW w:w="0" w:type="auto"/>
            <w:shd w:val="clear"/>
            <w:vAlign w:val="center"/>
          </w:tcPr>
          <w:p w14:paraId="6F998D3C">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F9C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E465D2C">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本次招标公告在《河南省政府采购网》、《南阳市政府采购网》、《唐河县公共资源交易中心》上发布， 招标公告期限为五个工作日 。</w:t>
            </w:r>
          </w:p>
        </w:tc>
        <w:tc>
          <w:tcPr>
            <w:tcW w:w="0" w:type="auto"/>
            <w:shd w:val="clear"/>
            <w:vAlign w:val="center"/>
          </w:tcPr>
          <w:p w14:paraId="53F05EA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B1B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CAAB0FC">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七、其他补充事宜</w:t>
            </w:r>
          </w:p>
        </w:tc>
        <w:tc>
          <w:tcPr>
            <w:tcW w:w="0" w:type="auto"/>
            <w:shd w:val="clear"/>
            <w:vAlign w:val="center"/>
          </w:tcPr>
          <w:p w14:paraId="399A8D91">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4FA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72B82FE1">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本项目为电子评标项目，供应商须上传加密电子投标文件。电子投标文件需要使用“新点投标文件制作软件(南阳版)”制作(加密电子投标文件格式后缀为.nytf)。制作工具及操作手册可在南阳市公共资源交易中心网站下载专区下载。</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2、该项目需要使用不见面开标，供应商无需前往现场来参与投标。各供应商根据手册要求，提前做好相关准备工作。附件：操作手册地址(下载中心或办事指南中自行下载)、不见面开标大厅地址：唐河县公共资源交易中心网站首页“不见面开标大厅”模块。</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3、该项目自行上传投标文件，无需寄送和递交非加密投标文件光盘等。</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4、因供应商无需现场参与开标，所有准备工作需自行准备到位。开标过程中如遇到紧急事项，可在不见面开标大厅中进行提出异议或文字交流，严重问题可拨打现场技术电话：0377-68513077。</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5、网上不见面开标过程中，如供应商准备不到位，造成无法及时解密、网络问题等情况使开标无法继续的，视为该投标人自动放弃投标(30分钟内)，将被退回响应文件，后果由投标企业自行承担。</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6、电子投标文件应在招标文件规定的投标截止时间前到达交易系统。逾期到达交易系统的电子投标文件视为放弃本次投标。</w:t>
            </w:r>
          </w:p>
        </w:tc>
        <w:tc>
          <w:tcPr>
            <w:tcW w:w="0" w:type="auto"/>
            <w:shd w:val="clear"/>
            <w:vAlign w:val="center"/>
          </w:tcPr>
          <w:p w14:paraId="1C05634D">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863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D8867BB">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八、凡对本次招标提出询问，请按照以下方式联系</w:t>
            </w:r>
          </w:p>
        </w:tc>
        <w:tc>
          <w:tcPr>
            <w:tcW w:w="0" w:type="auto"/>
            <w:shd w:val="clear"/>
            <w:vAlign w:val="center"/>
          </w:tcPr>
          <w:p w14:paraId="53FD974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5DA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40C7FFC7">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 采购人信息</w:t>
            </w:r>
          </w:p>
        </w:tc>
        <w:tc>
          <w:tcPr>
            <w:tcW w:w="0" w:type="auto"/>
            <w:shd w:val="clear"/>
            <w:vAlign w:val="center"/>
          </w:tcPr>
          <w:p w14:paraId="4321FD65">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ED5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5D8650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名称：唐河县教育装备与技术保障中心</w:t>
            </w:r>
          </w:p>
        </w:tc>
        <w:tc>
          <w:tcPr>
            <w:tcW w:w="0" w:type="auto"/>
            <w:shd w:val="clear"/>
            <w:vAlign w:val="center"/>
          </w:tcPr>
          <w:p w14:paraId="4FA5B31C">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F62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8912DA0">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地址：河南省唐河县城关镇新华街624号</w:t>
            </w:r>
          </w:p>
        </w:tc>
        <w:tc>
          <w:tcPr>
            <w:tcW w:w="0" w:type="auto"/>
            <w:shd w:val="clear"/>
            <w:vAlign w:val="center"/>
          </w:tcPr>
          <w:p w14:paraId="4EDD2515">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7CC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0EFD3BF">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联系人：张先生</w:t>
            </w:r>
          </w:p>
        </w:tc>
        <w:tc>
          <w:tcPr>
            <w:tcW w:w="0" w:type="auto"/>
            <w:shd w:val="clear"/>
            <w:vAlign w:val="center"/>
          </w:tcPr>
          <w:p w14:paraId="79613C3F">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43B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299DFF7">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联系方式：0377-68955268</w:t>
            </w:r>
          </w:p>
        </w:tc>
        <w:tc>
          <w:tcPr>
            <w:tcW w:w="0" w:type="auto"/>
            <w:shd w:val="clear"/>
            <w:vAlign w:val="center"/>
          </w:tcPr>
          <w:p w14:paraId="6AC76836">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0CB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48E29B42">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2.采购代理机构信息（如有）</w:t>
            </w:r>
          </w:p>
        </w:tc>
        <w:tc>
          <w:tcPr>
            <w:tcW w:w="0" w:type="auto"/>
            <w:shd w:val="clear"/>
            <w:vAlign w:val="center"/>
          </w:tcPr>
          <w:p w14:paraId="4879D813">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24E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E4696D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名称：唐河县唐兴工程造价咨询有限公司</w:t>
            </w:r>
          </w:p>
        </w:tc>
        <w:tc>
          <w:tcPr>
            <w:tcW w:w="0" w:type="auto"/>
            <w:shd w:val="clear"/>
            <w:vAlign w:val="center"/>
          </w:tcPr>
          <w:p w14:paraId="392A8F9A">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2CB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94FDDA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地址：河南省南阳市唐河县滨河街道凤山路财政局院内</w:t>
            </w:r>
          </w:p>
        </w:tc>
        <w:tc>
          <w:tcPr>
            <w:tcW w:w="0" w:type="auto"/>
            <w:shd w:val="clear"/>
            <w:vAlign w:val="center"/>
          </w:tcPr>
          <w:p w14:paraId="1D5B01B5">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A3D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67F35D8">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联系人：杨女士</w:t>
            </w:r>
          </w:p>
        </w:tc>
        <w:tc>
          <w:tcPr>
            <w:tcW w:w="0" w:type="auto"/>
            <w:shd w:val="clear"/>
            <w:vAlign w:val="center"/>
          </w:tcPr>
          <w:p w14:paraId="55E0EA00">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FB4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6549F9D">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联系方式：15138633581</w:t>
            </w:r>
          </w:p>
        </w:tc>
        <w:tc>
          <w:tcPr>
            <w:tcW w:w="0" w:type="auto"/>
            <w:shd w:val="clear"/>
            <w:vAlign w:val="center"/>
          </w:tcPr>
          <w:p w14:paraId="2D3B4CB2">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E58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47FF736F">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3.项目联系方式</w:t>
            </w:r>
          </w:p>
        </w:tc>
        <w:tc>
          <w:tcPr>
            <w:tcW w:w="0" w:type="auto"/>
            <w:shd w:val="clear"/>
            <w:vAlign w:val="center"/>
          </w:tcPr>
          <w:p w14:paraId="1E6ABA8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1F23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0B518A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项目联系人：杨女士</w:t>
            </w:r>
          </w:p>
        </w:tc>
        <w:tc>
          <w:tcPr>
            <w:tcW w:w="0" w:type="auto"/>
            <w:shd w:val="clear"/>
            <w:vAlign w:val="center"/>
          </w:tcPr>
          <w:p w14:paraId="581BB15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85F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0774C05">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联系方式：15138633581</w:t>
            </w:r>
          </w:p>
        </w:tc>
        <w:tc>
          <w:tcPr>
            <w:tcW w:w="0" w:type="auto"/>
            <w:shd w:val="clear"/>
            <w:vAlign w:val="center"/>
          </w:tcPr>
          <w:p w14:paraId="45538A4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bl>
    <w:p w14:paraId="2A80C3A8">
      <w:pPr>
        <w:rPr>
          <w:rFonts w:hint="eastAsia" w:ascii="微软雅黑" w:hAnsi="微软雅黑" w:eastAsia="宋体" w:cs="微软雅黑"/>
          <w:snapToGrid w:val="0"/>
          <w:color w:val="000000"/>
          <w:kern w:val="0"/>
          <w:sz w:val="24"/>
          <w:szCs w:val="21"/>
          <w:lang w:val="en-US" w:eastAsia="zh-CN" w:bidi="ar"/>
        </w:rPr>
      </w:pPr>
      <w:r>
        <w:rPr>
          <w:rFonts w:hint="eastAsia" w:ascii="微软雅黑" w:hAnsi="微软雅黑" w:eastAsia="宋体" w:cs="微软雅黑"/>
          <w:snapToGrid w:val="0"/>
          <w:color w:val="000000"/>
          <w:kern w:val="0"/>
          <w:sz w:val="24"/>
          <w:szCs w:val="21"/>
          <w:lang w:val="en-US" w:eastAsia="zh-CN" w:bidi="ar"/>
        </w:rPr>
        <w:br w:type="page"/>
      </w:r>
    </w:p>
    <w:p w14:paraId="6B426147">
      <w:pPr>
        <w:spacing w:before="218" w:line="225" w:lineRule="auto"/>
        <w:jc w:val="center"/>
        <w:outlineLvl w:val="0"/>
      </w:pPr>
      <w:bookmarkStart w:id="1" w:name="_Toc13794"/>
      <w:r>
        <w:rPr>
          <w:rFonts w:ascii="宋体" w:hAnsi="宋体" w:eastAsia="宋体" w:cs="宋体"/>
          <w:b/>
          <w:bCs/>
          <w:spacing w:val="9"/>
          <w:sz w:val="31"/>
          <w:szCs w:val="31"/>
        </w:rPr>
        <w:t>第二部分</w:t>
      </w:r>
      <w:r>
        <w:rPr>
          <w:rFonts w:hint="eastAsia" w:ascii="宋体" w:hAnsi="宋体" w:eastAsia="宋体" w:cs="宋体"/>
          <w:b/>
          <w:bCs/>
          <w:spacing w:val="9"/>
          <w:sz w:val="31"/>
          <w:szCs w:val="31"/>
          <w:lang w:val="en-US" w:eastAsia="zh-CN"/>
        </w:rPr>
        <w:t xml:space="preserve"> </w:t>
      </w:r>
      <w:r>
        <w:rPr>
          <w:rFonts w:ascii="宋体" w:hAnsi="宋体" w:eastAsia="宋体" w:cs="宋体"/>
          <w:b/>
          <w:bCs/>
          <w:spacing w:val="9"/>
          <w:sz w:val="31"/>
          <w:szCs w:val="31"/>
        </w:rPr>
        <w:t>投标人须</w:t>
      </w:r>
      <w:r>
        <w:rPr>
          <w:rFonts w:ascii="宋体" w:hAnsi="宋体" w:eastAsia="宋体" w:cs="宋体"/>
          <w:b/>
          <w:bCs/>
          <w:spacing w:val="8"/>
          <w:sz w:val="31"/>
          <w:szCs w:val="31"/>
        </w:rPr>
        <w:t>知</w:t>
      </w:r>
      <w:bookmarkEnd w:id="1"/>
    </w:p>
    <w:p w14:paraId="1563238B">
      <w:pPr>
        <w:spacing w:before="69" w:line="220" w:lineRule="auto"/>
        <w:ind w:left="157"/>
        <w:jc w:val="center"/>
        <w:outlineLvl w:val="9"/>
        <w:rPr>
          <w:rFonts w:ascii="宋体" w:hAnsi="宋体" w:eastAsia="宋体" w:cs="宋体"/>
          <w:b/>
          <w:bCs/>
        </w:rPr>
      </w:pPr>
      <w:r>
        <w:rPr>
          <w:rFonts w:ascii="宋体" w:hAnsi="宋体" w:eastAsia="宋体" w:cs="宋体"/>
          <w:b/>
          <w:bCs/>
          <w:spacing w:val="-1"/>
        </w:rPr>
        <w:t>投标</w:t>
      </w:r>
      <w:r>
        <w:rPr>
          <w:rFonts w:ascii="宋体" w:hAnsi="宋体" w:eastAsia="宋体" w:cs="宋体"/>
          <w:b/>
          <w:bCs/>
        </w:rPr>
        <w:t>人须知前附表</w:t>
      </w:r>
    </w:p>
    <w:p w14:paraId="5F42CD66">
      <w:pPr>
        <w:spacing w:line="128" w:lineRule="exact"/>
      </w:pPr>
    </w:p>
    <w:tbl>
      <w:tblPr>
        <w:tblStyle w:val="45"/>
        <w:tblW w:w="101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051"/>
        <w:gridCol w:w="7260"/>
      </w:tblGrid>
      <w:tr w14:paraId="71D69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23" w:type="dxa"/>
            <w:vAlign w:val="center"/>
          </w:tcPr>
          <w:p w14:paraId="015E88B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b/>
                <w:bCs/>
                <w:i w:val="0"/>
                <w:iCs w:val="0"/>
                <w:sz w:val="21"/>
                <w:szCs w:val="21"/>
              </w:rPr>
            </w:pPr>
            <w:r>
              <w:rPr>
                <w:rFonts w:ascii="宋体" w:hAnsi="宋体" w:eastAsia="宋体" w:cs="宋体"/>
                <w:b/>
                <w:bCs/>
                <w:i w:val="0"/>
                <w:iCs w:val="0"/>
                <w:spacing w:val="-2"/>
                <w:sz w:val="21"/>
                <w:szCs w:val="21"/>
              </w:rPr>
              <w:t>序</w:t>
            </w:r>
            <w:r>
              <w:rPr>
                <w:rFonts w:ascii="宋体" w:hAnsi="宋体" w:eastAsia="宋体" w:cs="宋体"/>
                <w:b/>
                <w:bCs/>
                <w:i w:val="0"/>
                <w:iCs w:val="0"/>
                <w:spacing w:val="-1"/>
                <w:sz w:val="21"/>
                <w:szCs w:val="21"/>
              </w:rPr>
              <w:t>号</w:t>
            </w:r>
          </w:p>
        </w:tc>
        <w:tc>
          <w:tcPr>
            <w:tcW w:w="2051" w:type="dxa"/>
            <w:vAlign w:val="center"/>
          </w:tcPr>
          <w:p w14:paraId="1C90507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b/>
                <w:bCs/>
                <w:i w:val="0"/>
                <w:iCs w:val="0"/>
                <w:sz w:val="21"/>
                <w:szCs w:val="21"/>
              </w:rPr>
            </w:pPr>
            <w:r>
              <w:rPr>
                <w:rFonts w:ascii="宋体" w:hAnsi="宋体" w:eastAsia="宋体" w:cs="宋体"/>
                <w:b/>
                <w:bCs/>
                <w:i w:val="0"/>
                <w:iCs w:val="0"/>
                <w:spacing w:val="-2"/>
                <w:sz w:val="21"/>
                <w:szCs w:val="21"/>
              </w:rPr>
              <w:t>条款名</w:t>
            </w:r>
            <w:r>
              <w:rPr>
                <w:rFonts w:ascii="宋体" w:hAnsi="宋体" w:eastAsia="宋体" w:cs="宋体"/>
                <w:b/>
                <w:bCs/>
                <w:i w:val="0"/>
                <w:iCs w:val="0"/>
                <w:spacing w:val="-1"/>
                <w:sz w:val="21"/>
                <w:szCs w:val="21"/>
              </w:rPr>
              <w:t>称</w:t>
            </w:r>
          </w:p>
        </w:tc>
        <w:tc>
          <w:tcPr>
            <w:tcW w:w="7260" w:type="dxa"/>
            <w:vAlign w:val="center"/>
          </w:tcPr>
          <w:p w14:paraId="65C0B72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b/>
                <w:bCs/>
                <w:i w:val="0"/>
                <w:iCs w:val="0"/>
                <w:sz w:val="21"/>
                <w:szCs w:val="21"/>
              </w:rPr>
            </w:pPr>
            <w:r>
              <w:rPr>
                <w:rFonts w:ascii="宋体" w:hAnsi="宋体" w:eastAsia="宋体" w:cs="宋体"/>
                <w:b/>
                <w:bCs/>
                <w:i w:val="0"/>
                <w:iCs w:val="0"/>
                <w:spacing w:val="-2"/>
                <w:sz w:val="21"/>
                <w:szCs w:val="21"/>
              </w:rPr>
              <w:t>编列内</w:t>
            </w:r>
            <w:r>
              <w:rPr>
                <w:rFonts w:ascii="宋体" w:hAnsi="宋体" w:eastAsia="宋体" w:cs="宋体"/>
                <w:b/>
                <w:bCs/>
                <w:i w:val="0"/>
                <w:iCs w:val="0"/>
                <w:spacing w:val="-1"/>
                <w:sz w:val="21"/>
                <w:szCs w:val="21"/>
              </w:rPr>
              <w:t>容</w:t>
            </w:r>
          </w:p>
        </w:tc>
      </w:tr>
      <w:tr w14:paraId="436B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14:paraId="3F87521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1</w:t>
            </w:r>
          </w:p>
        </w:tc>
        <w:tc>
          <w:tcPr>
            <w:tcW w:w="2051" w:type="dxa"/>
            <w:vAlign w:val="center"/>
          </w:tcPr>
          <w:p w14:paraId="2A482C80">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7260" w:type="dxa"/>
          </w:tcPr>
          <w:p w14:paraId="31052F19">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eastAsia="zh-CN"/>
              </w:rPr>
            </w:pPr>
            <w:r>
              <w:rPr>
                <w:rFonts w:hint="eastAsia" w:cs="宋体"/>
                <w:sz w:val="21"/>
                <w:szCs w:val="21"/>
                <w:lang w:val="en-US" w:eastAsia="zh-CN"/>
              </w:rPr>
              <w:t xml:space="preserve">唐河县教育装备与技术保障中心2025年唐河县思源学校、桐寨铺中心小学等学校教学设备采购(二)项目 </w:t>
            </w:r>
          </w:p>
        </w:tc>
      </w:tr>
      <w:tr w14:paraId="194A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045368A6">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2</w:t>
            </w:r>
          </w:p>
        </w:tc>
        <w:tc>
          <w:tcPr>
            <w:tcW w:w="2051" w:type="dxa"/>
            <w:vAlign w:val="center"/>
          </w:tcPr>
          <w:p w14:paraId="1028851C">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采购人(招标人)</w:t>
            </w:r>
          </w:p>
        </w:tc>
        <w:tc>
          <w:tcPr>
            <w:tcW w:w="7260" w:type="dxa"/>
            <w:vAlign w:val="top"/>
          </w:tcPr>
          <w:p w14:paraId="56EF2EBE">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r>
              <w:rPr>
                <w:rFonts w:hint="eastAsia" w:cs="宋体"/>
                <w:sz w:val="21"/>
                <w:szCs w:val="21"/>
                <w:lang w:val="en-US" w:eastAsia="zh-CN"/>
              </w:rPr>
              <w:t>唐河县教育装备与技术保障中心</w:t>
            </w:r>
          </w:p>
          <w:p w14:paraId="2806375D">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w:t>
            </w:r>
            <w:r>
              <w:rPr>
                <w:rFonts w:hint="eastAsia" w:ascii="宋体" w:hAnsi="宋体" w:eastAsia="宋体" w:cs="宋体"/>
                <w:snapToGrid w:val="0"/>
                <w:color w:val="000000"/>
                <w:kern w:val="0"/>
                <w:sz w:val="21"/>
                <w:szCs w:val="21"/>
                <w:lang w:val="en-US" w:eastAsia="zh-CN" w:bidi="ar"/>
              </w:rPr>
              <w:t>河南省唐河县城关镇新华街624号</w:t>
            </w:r>
          </w:p>
          <w:p w14:paraId="0CBC3EF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w:t>
            </w:r>
            <w:r>
              <w:rPr>
                <w:rFonts w:hint="eastAsia" w:ascii="宋体" w:hAnsi="宋体" w:eastAsia="宋体" w:cs="宋体"/>
                <w:snapToGrid w:val="0"/>
                <w:color w:val="000000"/>
                <w:kern w:val="0"/>
                <w:sz w:val="21"/>
                <w:szCs w:val="21"/>
                <w:lang w:val="en-US" w:eastAsia="zh-CN" w:bidi="ar"/>
              </w:rPr>
              <w:t>张先生</w:t>
            </w:r>
          </w:p>
          <w:p w14:paraId="37A9202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w:t>
            </w:r>
            <w:r>
              <w:rPr>
                <w:rFonts w:hint="eastAsia" w:ascii="宋体" w:hAnsi="宋体" w:eastAsia="宋体" w:cs="宋体"/>
                <w:snapToGrid w:val="0"/>
                <w:color w:val="000000"/>
                <w:kern w:val="0"/>
                <w:sz w:val="21"/>
                <w:szCs w:val="21"/>
                <w:lang w:val="en-US" w:eastAsia="zh-CN" w:bidi="ar"/>
              </w:rPr>
              <w:t>0377-68955268</w:t>
            </w:r>
          </w:p>
        </w:tc>
      </w:tr>
      <w:tr w14:paraId="5C8D4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23" w:type="dxa"/>
            <w:vAlign w:val="center"/>
          </w:tcPr>
          <w:p w14:paraId="2DA8D200">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3</w:t>
            </w:r>
          </w:p>
        </w:tc>
        <w:tc>
          <w:tcPr>
            <w:tcW w:w="2051" w:type="dxa"/>
            <w:vAlign w:val="center"/>
          </w:tcPr>
          <w:p w14:paraId="32C834C7">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pacing w:val="-1"/>
                <w:sz w:val="21"/>
                <w:szCs w:val="21"/>
              </w:rPr>
            </w:pPr>
            <w:r>
              <w:rPr>
                <w:rFonts w:hint="eastAsia" w:ascii="宋体" w:hAnsi="宋体" w:eastAsia="宋体" w:cs="宋体"/>
                <w:spacing w:val="-1"/>
                <w:sz w:val="21"/>
                <w:szCs w:val="21"/>
              </w:rPr>
              <w:t>采购代理机构</w:t>
            </w:r>
          </w:p>
        </w:tc>
        <w:tc>
          <w:tcPr>
            <w:tcW w:w="7260" w:type="dxa"/>
            <w:vAlign w:val="top"/>
          </w:tcPr>
          <w:p w14:paraId="64D3595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名称：唐河县唐兴工程造价咨询有限公司</w:t>
            </w:r>
          </w:p>
          <w:p w14:paraId="309CC4B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地址：河南省南阳市唐河县滨河街道凤山路财政局院内</w:t>
            </w:r>
          </w:p>
          <w:p w14:paraId="226D89E7">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联系人：杨女士</w:t>
            </w:r>
          </w:p>
          <w:p w14:paraId="44C6BEF8">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联系方式：15138633581</w:t>
            </w:r>
            <w:bookmarkStart w:id="120" w:name="_GoBack"/>
            <w:bookmarkEnd w:id="120"/>
          </w:p>
        </w:tc>
      </w:tr>
      <w:tr w14:paraId="74753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823" w:type="dxa"/>
            <w:vAlign w:val="center"/>
          </w:tcPr>
          <w:p w14:paraId="1DE56C40">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4</w:t>
            </w:r>
          </w:p>
        </w:tc>
        <w:tc>
          <w:tcPr>
            <w:tcW w:w="2051" w:type="dxa"/>
            <w:vAlign w:val="center"/>
          </w:tcPr>
          <w:p w14:paraId="401E1248">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pacing w:val="-1"/>
                <w:sz w:val="21"/>
                <w:szCs w:val="21"/>
              </w:rPr>
            </w:pPr>
            <w:r>
              <w:rPr>
                <w:rFonts w:hint="eastAsia" w:ascii="宋体" w:hAnsi="宋体" w:eastAsia="宋体" w:cs="宋体"/>
                <w:spacing w:val="-1"/>
                <w:sz w:val="21"/>
                <w:szCs w:val="21"/>
              </w:rPr>
              <w:t>供货地点</w:t>
            </w:r>
          </w:p>
        </w:tc>
        <w:tc>
          <w:tcPr>
            <w:tcW w:w="7260" w:type="dxa"/>
            <w:vAlign w:val="center"/>
          </w:tcPr>
          <w:p w14:paraId="34A4186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采购人指定地点</w:t>
            </w:r>
          </w:p>
        </w:tc>
      </w:tr>
      <w:tr w14:paraId="2CCBA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23" w:type="dxa"/>
            <w:vAlign w:val="center"/>
          </w:tcPr>
          <w:p w14:paraId="27C3D33D">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5</w:t>
            </w:r>
          </w:p>
        </w:tc>
        <w:tc>
          <w:tcPr>
            <w:tcW w:w="2051" w:type="dxa"/>
            <w:vAlign w:val="center"/>
          </w:tcPr>
          <w:p w14:paraId="0F0B9318">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pacing w:val="-1"/>
                <w:sz w:val="21"/>
                <w:szCs w:val="21"/>
              </w:rPr>
            </w:pPr>
            <w:r>
              <w:rPr>
                <w:rFonts w:hint="eastAsia" w:ascii="宋体" w:hAnsi="宋体" w:eastAsia="宋体" w:cs="宋体"/>
                <w:spacing w:val="-1"/>
                <w:sz w:val="21"/>
                <w:szCs w:val="21"/>
              </w:rPr>
              <w:t>投标人的资格条件</w:t>
            </w:r>
          </w:p>
        </w:tc>
        <w:tc>
          <w:tcPr>
            <w:tcW w:w="7260" w:type="dxa"/>
          </w:tcPr>
          <w:p w14:paraId="4B6CE0E9">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详见招标公告</w:t>
            </w:r>
          </w:p>
        </w:tc>
      </w:tr>
      <w:tr w14:paraId="385F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4FEEAB8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6</w:t>
            </w:r>
          </w:p>
        </w:tc>
        <w:tc>
          <w:tcPr>
            <w:tcW w:w="2051" w:type="dxa"/>
            <w:vAlign w:val="center"/>
          </w:tcPr>
          <w:p w14:paraId="4BBEC654">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采购内容</w:t>
            </w:r>
          </w:p>
        </w:tc>
        <w:tc>
          <w:tcPr>
            <w:tcW w:w="7260" w:type="dxa"/>
          </w:tcPr>
          <w:p w14:paraId="6F3C81C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详见招标公告</w:t>
            </w:r>
          </w:p>
        </w:tc>
      </w:tr>
      <w:tr w14:paraId="425BC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23" w:type="dxa"/>
            <w:vAlign w:val="center"/>
          </w:tcPr>
          <w:p w14:paraId="4482DD91">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7</w:t>
            </w:r>
          </w:p>
        </w:tc>
        <w:tc>
          <w:tcPr>
            <w:tcW w:w="2051" w:type="dxa"/>
            <w:vAlign w:val="center"/>
          </w:tcPr>
          <w:p w14:paraId="5A5574E2">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供货期</w:t>
            </w:r>
          </w:p>
        </w:tc>
        <w:tc>
          <w:tcPr>
            <w:tcW w:w="7260" w:type="dxa"/>
          </w:tcPr>
          <w:p w14:paraId="58A0A5CD">
            <w:pPr>
              <w:keepNext w:val="0"/>
              <w:keepLines w:val="0"/>
              <w:pageBreakBefore w:val="0"/>
              <w:wordWrap w:val="0"/>
              <w:overflowPunct/>
              <w:topLinePunct w:val="0"/>
              <w:autoSpaceDE w:val="0"/>
              <w:autoSpaceDN w:val="0"/>
              <w:bidi w:val="0"/>
              <w:snapToGrid/>
              <w:spacing w:line="360" w:lineRule="exact"/>
              <w:ind w:right="0" w:rightChars="0"/>
              <w:jc w:val="left"/>
              <w:rPr>
                <w:rFonts w:hint="default" w:ascii="宋体" w:hAnsi="宋体" w:eastAsia="宋体" w:cs="宋体"/>
                <w:snapToGrid w:val="0"/>
                <w:color w:val="000000"/>
                <w:sz w:val="21"/>
                <w:szCs w:val="21"/>
                <w:lang w:val="en-US" w:eastAsia="zh-CN" w:bidi="ar-SA"/>
              </w:rPr>
            </w:pPr>
            <w:r>
              <w:rPr>
                <w:rFonts w:hint="default" w:ascii="宋体" w:hAnsi="宋体" w:eastAsia="宋体" w:cs="宋体"/>
                <w:snapToGrid w:val="0"/>
                <w:color w:val="000000"/>
                <w:sz w:val="21"/>
                <w:szCs w:val="21"/>
                <w:lang w:val="en-US" w:eastAsia="zh-CN" w:bidi="ar-SA"/>
              </w:rPr>
              <w:t xml:space="preserve">合同签订后 </w:t>
            </w:r>
            <w:r>
              <w:rPr>
                <w:rFonts w:hint="eastAsia" w:ascii="宋体" w:hAnsi="宋体" w:eastAsia="宋体" w:cs="宋体"/>
                <w:snapToGrid w:val="0"/>
                <w:color w:val="000000"/>
                <w:sz w:val="21"/>
                <w:szCs w:val="21"/>
                <w:lang w:val="en-US" w:eastAsia="zh-CN" w:bidi="ar-SA"/>
              </w:rPr>
              <w:t>30</w:t>
            </w:r>
            <w:r>
              <w:rPr>
                <w:rFonts w:hint="default" w:ascii="宋体" w:hAnsi="宋体" w:eastAsia="宋体" w:cs="宋体"/>
                <w:snapToGrid w:val="0"/>
                <w:color w:val="000000"/>
                <w:sz w:val="21"/>
                <w:szCs w:val="21"/>
                <w:lang w:val="en-US" w:eastAsia="zh-CN" w:bidi="ar-SA"/>
              </w:rPr>
              <w:t xml:space="preserve"> 日内交货完毕</w:t>
            </w:r>
          </w:p>
        </w:tc>
      </w:tr>
      <w:tr w14:paraId="6214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6D60B242">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8</w:t>
            </w:r>
          </w:p>
        </w:tc>
        <w:tc>
          <w:tcPr>
            <w:tcW w:w="2051" w:type="dxa"/>
            <w:vAlign w:val="center"/>
          </w:tcPr>
          <w:p w14:paraId="33ED63D8">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质量要求</w:t>
            </w:r>
          </w:p>
        </w:tc>
        <w:tc>
          <w:tcPr>
            <w:tcW w:w="7260" w:type="dxa"/>
          </w:tcPr>
          <w:p w14:paraId="5ED54D9D">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cs="宋体"/>
                <w:color w:val="auto"/>
                <w:szCs w:val="21"/>
              </w:rPr>
              <w:t>合格，符合国家相关质量标准</w:t>
            </w:r>
            <w:r>
              <w:rPr>
                <w:rFonts w:hint="eastAsia" w:ascii="宋体" w:hAnsi="宋体" w:cs="宋体"/>
                <w:color w:val="auto"/>
                <w:szCs w:val="21"/>
                <w:lang w:eastAsia="zh-CN"/>
              </w:rPr>
              <w:t>；</w:t>
            </w:r>
          </w:p>
        </w:tc>
      </w:tr>
      <w:tr w14:paraId="2E962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center"/>
          </w:tcPr>
          <w:p w14:paraId="2031992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9</w:t>
            </w:r>
          </w:p>
        </w:tc>
        <w:tc>
          <w:tcPr>
            <w:tcW w:w="2051" w:type="dxa"/>
            <w:vAlign w:val="center"/>
          </w:tcPr>
          <w:p w14:paraId="6376278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napToGrid w:val="0"/>
                <w:color w:val="000000"/>
                <w:sz w:val="21"/>
                <w:szCs w:val="21"/>
                <w:lang w:val="en-US" w:eastAsia="zh-CN" w:bidi="ar-SA"/>
              </w:rPr>
              <w:t>资金来源</w:t>
            </w:r>
          </w:p>
        </w:tc>
        <w:tc>
          <w:tcPr>
            <w:tcW w:w="7260" w:type="dxa"/>
          </w:tcPr>
          <w:p w14:paraId="7BD04C8A">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财政资金，已落实</w:t>
            </w:r>
          </w:p>
        </w:tc>
      </w:tr>
      <w:tr w14:paraId="778D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center"/>
          </w:tcPr>
          <w:p w14:paraId="62A958F9">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10</w:t>
            </w:r>
          </w:p>
        </w:tc>
        <w:tc>
          <w:tcPr>
            <w:tcW w:w="2051" w:type="dxa"/>
            <w:vAlign w:val="center"/>
          </w:tcPr>
          <w:p w14:paraId="4AE7FC4B">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是否接受联合体标</w:t>
            </w:r>
          </w:p>
        </w:tc>
        <w:tc>
          <w:tcPr>
            <w:tcW w:w="7260" w:type="dxa"/>
            <w:vAlign w:val="center"/>
          </w:tcPr>
          <w:p w14:paraId="75421776">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不接受</w:t>
            </w:r>
          </w:p>
        </w:tc>
      </w:tr>
      <w:tr w14:paraId="0F44B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454E8686">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11</w:t>
            </w:r>
          </w:p>
        </w:tc>
        <w:tc>
          <w:tcPr>
            <w:tcW w:w="2051" w:type="dxa"/>
            <w:vAlign w:val="center"/>
          </w:tcPr>
          <w:p w14:paraId="155C297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踏勘现场</w:t>
            </w:r>
          </w:p>
        </w:tc>
        <w:tc>
          <w:tcPr>
            <w:tcW w:w="7260" w:type="dxa"/>
          </w:tcPr>
          <w:p w14:paraId="2D6B5426">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不组织</w:t>
            </w:r>
          </w:p>
        </w:tc>
      </w:tr>
      <w:tr w14:paraId="17A66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vAlign w:val="center"/>
          </w:tcPr>
          <w:p w14:paraId="709CCE6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12</w:t>
            </w:r>
          </w:p>
        </w:tc>
        <w:tc>
          <w:tcPr>
            <w:tcW w:w="2051" w:type="dxa"/>
            <w:vAlign w:val="center"/>
          </w:tcPr>
          <w:p w14:paraId="505E32F4">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投标预备会</w:t>
            </w:r>
          </w:p>
        </w:tc>
        <w:tc>
          <w:tcPr>
            <w:tcW w:w="7260" w:type="dxa"/>
          </w:tcPr>
          <w:p w14:paraId="0C239472">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ascii="宋体" w:hAnsi="宋体" w:eastAsia="宋体" w:cs="宋体"/>
                <w:snapToGrid w:val="0"/>
                <w:color w:val="000000"/>
                <w:sz w:val="21"/>
                <w:szCs w:val="21"/>
                <w:lang w:val="en-US" w:eastAsia="zh-CN" w:bidi="ar-SA"/>
              </w:rPr>
            </w:pPr>
            <w:r>
              <w:rPr>
                <w:rFonts w:ascii="宋体" w:hAnsi="宋体" w:eastAsia="宋体" w:cs="宋体"/>
                <w:snapToGrid w:val="0"/>
                <w:color w:val="000000"/>
                <w:sz w:val="21"/>
                <w:szCs w:val="21"/>
                <w:lang w:val="en-US" w:eastAsia="zh-CN" w:bidi="ar-SA"/>
              </w:rPr>
              <w:t>不召开</w:t>
            </w:r>
          </w:p>
        </w:tc>
      </w:tr>
      <w:tr w14:paraId="2E550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vAlign w:val="center"/>
          </w:tcPr>
          <w:p w14:paraId="45078BE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13</w:t>
            </w:r>
          </w:p>
        </w:tc>
        <w:tc>
          <w:tcPr>
            <w:tcW w:w="2051" w:type="dxa"/>
            <w:vAlign w:val="center"/>
          </w:tcPr>
          <w:p w14:paraId="0BDD3A0E">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分包</w:t>
            </w:r>
          </w:p>
        </w:tc>
        <w:tc>
          <w:tcPr>
            <w:tcW w:w="7260" w:type="dxa"/>
            <w:vAlign w:val="center"/>
          </w:tcPr>
          <w:p w14:paraId="6215A39D">
            <w:pPr>
              <w:keepNext w:val="0"/>
              <w:keepLines w:val="0"/>
              <w:pageBreakBefore w:val="0"/>
              <w:overflowPunct/>
              <w:topLinePunct w:val="0"/>
              <w:autoSpaceDE w:val="0"/>
              <w:autoSpaceDN w:val="0"/>
              <w:bidi w:val="0"/>
              <w:snapToGrid/>
              <w:spacing w:line="360" w:lineRule="exact"/>
              <w:ind w:right="0" w:rightChars="0"/>
              <w:jc w:val="lef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中标人必须承担总包责任，必须独立完成项目，不得以任何形式转包，否则采购人有权终止合同并追究中标人的责任。</w:t>
            </w:r>
          </w:p>
        </w:tc>
      </w:tr>
      <w:tr w14:paraId="3BDCC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23" w:type="dxa"/>
            <w:vAlign w:val="center"/>
          </w:tcPr>
          <w:p w14:paraId="29859749">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14</w:t>
            </w:r>
          </w:p>
        </w:tc>
        <w:tc>
          <w:tcPr>
            <w:tcW w:w="2051" w:type="dxa"/>
            <w:vAlign w:val="center"/>
          </w:tcPr>
          <w:p w14:paraId="1A4BE39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投标承诺函</w:t>
            </w:r>
          </w:p>
        </w:tc>
        <w:tc>
          <w:tcPr>
            <w:tcW w:w="7260" w:type="dxa"/>
            <w:vAlign w:val="center"/>
          </w:tcPr>
          <w:p w14:paraId="4AA6C2E1">
            <w:pPr>
              <w:keepNext w:val="0"/>
              <w:keepLines w:val="0"/>
              <w:pageBreakBefore w:val="0"/>
              <w:wordWrap w:val="0"/>
              <w:overflowPunct/>
              <w:topLinePunct w:val="0"/>
              <w:autoSpaceDE w:val="0"/>
              <w:autoSpaceDN w:val="0"/>
              <w:bidi w:val="0"/>
              <w:snapToGrid/>
              <w:spacing w:line="360" w:lineRule="exact"/>
              <w:ind w:right="0" w:rightChars="0"/>
              <w:jc w:val="lef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本项目不收取投标保证金，供应商自行提供投标承诺函，供应商应对本次项目进行承诺，主要内容包括投标时不会提供虚假材料、中标后应及时与采购人签订合同、在投标有效期内不会随意撤回、撤销投标，中标通知书发出后在规定时间内与采购人签订政府采购合同等，以及如果违背此承诺，应由供应商自行承担相关后果，给采购人造成损失的，由供应商赔偿采购人相关的损失等。</w:t>
            </w:r>
          </w:p>
        </w:tc>
      </w:tr>
      <w:tr w14:paraId="35C65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43BC2BCE">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15</w:t>
            </w:r>
          </w:p>
        </w:tc>
        <w:tc>
          <w:tcPr>
            <w:tcW w:w="2051" w:type="dxa"/>
            <w:vAlign w:val="center"/>
          </w:tcPr>
          <w:p w14:paraId="54DDF408">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是否允许递交备选投标方案</w:t>
            </w:r>
          </w:p>
        </w:tc>
        <w:tc>
          <w:tcPr>
            <w:tcW w:w="7260" w:type="dxa"/>
            <w:vAlign w:val="center"/>
          </w:tcPr>
          <w:p w14:paraId="5C115088">
            <w:pPr>
              <w:keepNext w:val="0"/>
              <w:keepLines w:val="0"/>
              <w:pageBreakBefore w:val="0"/>
              <w:wordWrap w:val="0"/>
              <w:overflowPunct/>
              <w:topLinePunct w:val="0"/>
              <w:autoSpaceDE w:val="0"/>
              <w:autoSpaceDN w:val="0"/>
              <w:bidi w:val="0"/>
              <w:snapToGrid/>
              <w:spacing w:line="360" w:lineRule="exact"/>
              <w:ind w:right="0" w:rightChars="0"/>
              <w:jc w:val="lef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不允许</w:t>
            </w:r>
          </w:p>
        </w:tc>
      </w:tr>
      <w:tr w14:paraId="6FC9F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23" w:type="dxa"/>
            <w:vAlign w:val="center"/>
          </w:tcPr>
          <w:p w14:paraId="29C63A86">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16</w:t>
            </w:r>
          </w:p>
        </w:tc>
        <w:tc>
          <w:tcPr>
            <w:tcW w:w="2051" w:type="dxa"/>
            <w:vAlign w:val="center"/>
          </w:tcPr>
          <w:p w14:paraId="3AE79833">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构成招标文件的其他材料</w:t>
            </w:r>
          </w:p>
        </w:tc>
        <w:tc>
          <w:tcPr>
            <w:tcW w:w="7260" w:type="dxa"/>
          </w:tcPr>
          <w:p w14:paraId="57CFD68D">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除招标文件内容外，招标人在招标期间发出的有编号的补遗书和其它有效正式函件，均是招标文件的组成部分，请各投标单位及时关注以下网站《河南省政府采购网》、《中国政府采购网》和《唐河县公共资源交易中心》上发布的有关本项目的信息。</w:t>
            </w:r>
          </w:p>
        </w:tc>
      </w:tr>
      <w:tr w14:paraId="46547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823" w:type="dxa"/>
            <w:vAlign w:val="center"/>
          </w:tcPr>
          <w:p w14:paraId="6A72B1FB">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17</w:t>
            </w:r>
          </w:p>
        </w:tc>
        <w:tc>
          <w:tcPr>
            <w:tcW w:w="2051" w:type="dxa"/>
            <w:vAlign w:val="center"/>
          </w:tcPr>
          <w:p w14:paraId="3286DD5C">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招标控制价</w:t>
            </w:r>
          </w:p>
        </w:tc>
        <w:tc>
          <w:tcPr>
            <w:tcW w:w="7260" w:type="dxa"/>
          </w:tcPr>
          <w:p w14:paraId="3A280DB1">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b/>
                <w:bCs/>
                <w:lang w:val="en-US" w:eastAsia="zh-CN"/>
              </w:rPr>
            </w:pPr>
            <w:r>
              <w:rPr>
                <w:rFonts w:hint="eastAsia" w:cs="宋体"/>
                <w:b/>
                <w:bCs/>
                <w:lang w:val="en-US" w:eastAsia="zh-CN"/>
              </w:rPr>
              <w:t>一标段：</w:t>
            </w:r>
            <w:r>
              <w:rPr>
                <w:rFonts w:hint="eastAsia" w:ascii="宋体" w:hAnsi="宋体" w:eastAsia="宋体" w:cs="宋体"/>
                <w:b/>
                <w:bCs/>
                <w:lang w:val="en-US" w:eastAsia="zh-CN"/>
              </w:rPr>
              <w:t>小写：341750元</w:t>
            </w:r>
          </w:p>
          <w:p w14:paraId="6A621817">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cs="宋体"/>
                <w:b/>
                <w:bCs/>
                <w:lang w:val="en-US" w:eastAsia="zh-CN"/>
              </w:rPr>
            </w:pPr>
            <w:r>
              <w:rPr>
                <w:rFonts w:hint="eastAsia" w:ascii="宋体" w:hAnsi="宋体" w:eastAsia="宋体" w:cs="宋体"/>
                <w:b/>
                <w:bCs/>
                <w:lang w:val="en-US" w:eastAsia="zh-CN"/>
              </w:rPr>
              <w:t>大写：</w:t>
            </w:r>
            <w:r>
              <w:rPr>
                <w:rFonts w:hint="eastAsia" w:cs="宋体"/>
                <w:b/>
                <w:bCs/>
                <w:lang w:val="en-US" w:eastAsia="zh-CN"/>
              </w:rPr>
              <w:t>叁拾肆万壹仟柒佰伍拾元</w:t>
            </w:r>
          </w:p>
          <w:p w14:paraId="51462E9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b/>
                <w:bCs/>
                <w:lang w:val="en-US" w:eastAsia="zh-CN"/>
              </w:rPr>
            </w:pPr>
            <w:r>
              <w:rPr>
                <w:rFonts w:hint="eastAsia" w:cs="宋体"/>
                <w:b/>
                <w:bCs/>
                <w:lang w:val="en-US" w:eastAsia="zh-CN"/>
              </w:rPr>
              <w:t>二标段：</w:t>
            </w:r>
            <w:r>
              <w:rPr>
                <w:rFonts w:hint="eastAsia" w:ascii="宋体" w:hAnsi="宋体" w:eastAsia="宋体" w:cs="宋体"/>
                <w:b/>
                <w:bCs/>
                <w:lang w:val="en-US" w:eastAsia="zh-CN"/>
              </w:rPr>
              <w:t>小写：2472930元</w:t>
            </w:r>
          </w:p>
          <w:p w14:paraId="768B22CE">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cs="宋体"/>
                <w:b/>
                <w:bCs/>
                <w:lang w:val="en-US" w:eastAsia="zh-CN"/>
              </w:rPr>
            </w:pPr>
            <w:r>
              <w:rPr>
                <w:rFonts w:hint="eastAsia" w:ascii="宋体" w:hAnsi="宋体" w:eastAsia="宋体" w:cs="宋体"/>
                <w:b/>
                <w:bCs/>
                <w:lang w:val="en-US" w:eastAsia="zh-CN"/>
              </w:rPr>
              <w:t>大写：</w:t>
            </w:r>
            <w:r>
              <w:rPr>
                <w:rFonts w:hint="eastAsia" w:cs="宋体"/>
                <w:b/>
                <w:bCs/>
                <w:lang w:val="en-US" w:eastAsia="zh-CN"/>
              </w:rPr>
              <w:t>贰佰肆拾柒万贰仟玖佰叁拾元</w:t>
            </w:r>
          </w:p>
          <w:p w14:paraId="174DB33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default" w:ascii="宋体" w:hAnsi="宋体" w:eastAsia="宋体" w:cs="宋体"/>
                <w:b/>
                <w:bCs/>
                <w:lang w:val="en-US" w:eastAsia="zh-CN"/>
              </w:rPr>
            </w:pPr>
            <w:r>
              <w:rPr>
                <w:rFonts w:hint="eastAsia" w:cs="宋体"/>
                <w:b/>
                <w:bCs/>
                <w:lang w:val="en-US" w:eastAsia="zh-CN"/>
              </w:rPr>
              <w:t>三标段：</w:t>
            </w:r>
            <w:r>
              <w:rPr>
                <w:rFonts w:hint="eastAsia" w:ascii="宋体" w:hAnsi="宋体" w:eastAsia="宋体" w:cs="宋体"/>
                <w:b/>
                <w:bCs/>
                <w:lang w:val="en-US" w:eastAsia="zh-CN"/>
              </w:rPr>
              <w:t>小写：1970506</w:t>
            </w:r>
            <w:r>
              <w:rPr>
                <w:rFonts w:hint="eastAsia" w:cs="宋体"/>
                <w:b/>
                <w:bCs/>
                <w:lang w:val="en-US" w:eastAsia="zh-CN"/>
              </w:rPr>
              <w:t>元</w:t>
            </w:r>
          </w:p>
          <w:p w14:paraId="653995ED">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default" w:cs="宋体"/>
                <w:b/>
                <w:bCs/>
                <w:lang w:val="en-US" w:eastAsia="zh-CN"/>
              </w:rPr>
            </w:pPr>
            <w:r>
              <w:rPr>
                <w:rFonts w:hint="eastAsia" w:ascii="宋体" w:hAnsi="宋体" w:eastAsia="宋体" w:cs="宋体"/>
                <w:b/>
                <w:bCs/>
                <w:lang w:val="en-US" w:eastAsia="zh-CN"/>
              </w:rPr>
              <w:t>大写：</w:t>
            </w:r>
            <w:r>
              <w:rPr>
                <w:rFonts w:hint="eastAsia" w:cs="宋体"/>
                <w:b/>
                <w:bCs/>
                <w:lang w:val="en-US" w:eastAsia="zh-CN"/>
              </w:rPr>
              <w:t>壹佰玖拾柒万零伍佰零陆元</w:t>
            </w:r>
          </w:p>
          <w:p w14:paraId="275EBDA9">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注：投标报价不得超过招标控制价，否则按废标处理。</w:t>
            </w:r>
          </w:p>
        </w:tc>
      </w:tr>
      <w:tr w14:paraId="1251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23" w:type="dxa"/>
            <w:vAlign w:val="center"/>
          </w:tcPr>
          <w:p w14:paraId="17F8D39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18</w:t>
            </w:r>
          </w:p>
        </w:tc>
        <w:tc>
          <w:tcPr>
            <w:tcW w:w="2051" w:type="dxa"/>
            <w:vAlign w:val="center"/>
          </w:tcPr>
          <w:p w14:paraId="4A98A07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招标文件的发售方式及领取时间、地点</w:t>
            </w:r>
          </w:p>
        </w:tc>
        <w:tc>
          <w:tcPr>
            <w:tcW w:w="7260" w:type="dxa"/>
          </w:tcPr>
          <w:p w14:paraId="0A88F6BB">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详见招标公告</w:t>
            </w:r>
          </w:p>
        </w:tc>
      </w:tr>
      <w:tr w14:paraId="6F84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23" w:type="dxa"/>
            <w:vAlign w:val="center"/>
          </w:tcPr>
          <w:p w14:paraId="5B7F729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19</w:t>
            </w:r>
          </w:p>
        </w:tc>
        <w:tc>
          <w:tcPr>
            <w:tcW w:w="2051" w:type="dxa"/>
            <w:vAlign w:val="center"/>
          </w:tcPr>
          <w:p w14:paraId="2568B25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电子标投标文件递交</w:t>
            </w:r>
          </w:p>
          <w:p w14:paraId="30F1AE12">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截止时间(同开标时间)</w:t>
            </w:r>
          </w:p>
        </w:tc>
        <w:tc>
          <w:tcPr>
            <w:tcW w:w="7260" w:type="dxa"/>
          </w:tcPr>
          <w:p w14:paraId="4C62090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详见招标公告</w:t>
            </w:r>
          </w:p>
        </w:tc>
      </w:tr>
      <w:tr w14:paraId="0E7B8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14:paraId="73CBA4DC">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20</w:t>
            </w:r>
          </w:p>
        </w:tc>
        <w:tc>
          <w:tcPr>
            <w:tcW w:w="2051" w:type="dxa"/>
            <w:vAlign w:val="center"/>
          </w:tcPr>
          <w:p w14:paraId="7025159C">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开标时间和地点</w:t>
            </w:r>
          </w:p>
        </w:tc>
        <w:tc>
          <w:tcPr>
            <w:tcW w:w="7260" w:type="dxa"/>
          </w:tcPr>
          <w:p w14:paraId="197AC07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详见招标公告</w:t>
            </w:r>
          </w:p>
        </w:tc>
      </w:tr>
      <w:tr w14:paraId="09B97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23" w:type="dxa"/>
            <w:vAlign w:val="center"/>
          </w:tcPr>
          <w:p w14:paraId="0C3113B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21</w:t>
            </w:r>
          </w:p>
        </w:tc>
        <w:tc>
          <w:tcPr>
            <w:tcW w:w="2051" w:type="dxa"/>
            <w:vAlign w:val="center"/>
          </w:tcPr>
          <w:p w14:paraId="42CDDD8E">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投标保证金</w:t>
            </w:r>
          </w:p>
        </w:tc>
        <w:tc>
          <w:tcPr>
            <w:tcW w:w="7260" w:type="dxa"/>
          </w:tcPr>
          <w:p w14:paraId="4346066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pacing w:val="-7"/>
                <w:sz w:val="21"/>
                <w:szCs w:val="21"/>
              </w:rPr>
            </w:pPr>
            <w:r>
              <w:rPr>
                <w:spacing w:val="-7"/>
                <w:sz w:val="21"/>
                <w:szCs w:val="21"/>
              </w:rPr>
              <w:t>本项目不收取投标保证金</w:t>
            </w:r>
          </w:p>
        </w:tc>
      </w:tr>
      <w:tr w14:paraId="22AA8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23" w:type="dxa"/>
            <w:vAlign w:val="center"/>
          </w:tcPr>
          <w:p w14:paraId="66102145">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22</w:t>
            </w:r>
          </w:p>
        </w:tc>
        <w:tc>
          <w:tcPr>
            <w:tcW w:w="2051" w:type="dxa"/>
            <w:vAlign w:val="center"/>
          </w:tcPr>
          <w:p w14:paraId="43FB0CD0">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投标有效期</w:t>
            </w:r>
          </w:p>
        </w:tc>
        <w:tc>
          <w:tcPr>
            <w:tcW w:w="7260" w:type="dxa"/>
          </w:tcPr>
          <w:p w14:paraId="31EAF710">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自投标截止之日起 60 天</w:t>
            </w:r>
          </w:p>
        </w:tc>
      </w:tr>
      <w:tr w14:paraId="3E64E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14:paraId="13FB1599">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23</w:t>
            </w:r>
          </w:p>
        </w:tc>
        <w:tc>
          <w:tcPr>
            <w:tcW w:w="2051" w:type="dxa"/>
            <w:vAlign w:val="center"/>
          </w:tcPr>
          <w:p w14:paraId="1F5C6A28">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是否允许递交备选投标文件</w:t>
            </w:r>
          </w:p>
        </w:tc>
        <w:tc>
          <w:tcPr>
            <w:tcW w:w="7260" w:type="dxa"/>
          </w:tcPr>
          <w:p w14:paraId="16D673C6">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不允许</w:t>
            </w:r>
          </w:p>
        </w:tc>
      </w:tr>
      <w:tr w14:paraId="30835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23" w:type="dxa"/>
            <w:vAlign w:val="center"/>
          </w:tcPr>
          <w:p w14:paraId="682F0B4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24</w:t>
            </w:r>
          </w:p>
        </w:tc>
        <w:tc>
          <w:tcPr>
            <w:tcW w:w="2051" w:type="dxa"/>
            <w:vAlign w:val="center"/>
          </w:tcPr>
          <w:p w14:paraId="6DF7A96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签字和盖章要求</w:t>
            </w:r>
          </w:p>
        </w:tc>
        <w:tc>
          <w:tcPr>
            <w:tcW w:w="7260" w:type="dxa"/>
          </w:tcPr>
          <w:p w14:paraId="3A10F64C">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投标人需按招标文件的格式，在规定的地方进行法定代表人电子签名、加盖投标人电子公章</w:t>
            </w:r>
          </w:p>
        </w:tc>
      </w:tr>
      <w:tr w14:paraId="6CA91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23" w:type="dxa"/>
            <w:vAlign w:val="center"/>
          </w:tcPr>
          <w:p w14:paraId="74292D0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25</w:t>
            </w:r>
          </w:p>
        </w:tc>
        <w:tc>
          <w:tcPr>
            <w:tcW w:w="2051" w:type="dxa"/>
            <w:vAlign w:val="center"/>
          </w:tcPr>
          <w:p w14:paraId="4B9BB51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color w:val="0C0C0C"/>
                <w:spacing w:val="-4"/>
                <w:sz w:val="21"/>
                <w:szCs w:val="21"/>
              </w:rPr>
              <w:t>电子投标文件递</w:t>
            </w:r>
            <w:r>
              <w:rPr>
                <w:rFonts w:ascii="宋体" w:hAnsi="宋体" w:eastAsia="宋体" w:cs="宋体"/>
                <w:color w:val="0C0C0C"/>
                <w:spacing w:val="-3"/>
                <w:sz w:val="21"/>
                <w:szCs w:val="21"/>
              </w:rPr>
              <w:t>交</w:t>
            </w:r>
          </w:p>
        </w:tc>
        <w:tc>
          <w:tcPr>
            <w:tcW w:w="7260" w:type="dxa"/>
          </w:tcPr>
          <w:p w14:paraId="57613EBA">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lang w:eastAsia="zh-CN"/>
              </w:rPr>
            </w:pPr>
            <w:r>
              <w:rPr>
                <w:sz w:val="21"/>
                <w:szCs w:val="21"/>
              </w:rPr>
              <w:t>1、投标人应在唐河县公共资源交易系统下载“电子投标文件制作工具”，并按照招标文件要求编制和上传递交加密的电子投标文件</w:t>
            </w:r>
            <w:r>
              <w:rPr>
                <w:rFonts w:hint="eastAsia"/>
                <w:sz w:val="21"/>
                <w:szCs w:val="21"/>
              </w:rPr>
              <w:t>(.nytf格式)</w:t>
            </w:r>
            <w:r>
              <w:rPr>
                <w:sz w:val="21"/>
                <w:szCs w:val="21"/>
              </w:rPr>
              <w:t>。投标人上传时必须得到系统“上传成功”的确认回复，并认真检查电子投标文件是否完整、正确。递交网址：</w:t>
            </w:r>
            <w:r>
              <w:rPr>
                <w:rFonts w:hint="eastAsia"/>
                <w:sz w:val="21"/>
                <w:szCs w:val="21"/>
                <w:lang w:eastAsia="zh-CN"/>
              </w:rPr>
              <w:t>http://ggzyjy.tanghe.gov.cn</w:t>
            </w:r>
          </w:p>
          <w:p w14:paraId="19C42F2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2、投标人的电子投标文件应在招标文件规定的投标截止时间前到达交易系统。逾期到达交易系统的电子投标文件视为放弃本次投标。</w:t>
            </w:r>
          </w:p>
          <w:p w14:paraId="6CF53E87">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3、投标人所递交的电子投标文件在投标截止时间之后不予退回。</w:t>
            </w:r>
          </w:p>
        </w:tc>
      </w:tr>
      <w:tr w14:paraId="2029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823" w:type="dxa"/>
            <w:vAlign w:val="center"/>
          </w:tcPr>
          <w:p w14:paraId="3764C99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26</w:t>
            </w:r>
          </w:p>
        </w:tc>
        <w:tc>
          <w:tcPr>
            <w:tcW w:w="2051" w:type="dxa"/>
            <w:vAlign w:val="center"/>
          </w:tcPr>
          <w:p w14:paraId="36FD87B7">
            <w:pPr>
              <w:pStyle w:val="46"/>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z w:val="21"/>
                <w:szCs w:val="21"/>
              </w:rPr>
            </w:pPr>
            <w:r>
              <w:rPr>
                <w:rFonts w:hint="eastAsia"/>
                <w:spacing w:val="0"/>
                <w:sz w:val="21"/>
                <w:lang w:val="en-US" w:eastAsia="zh-CN"/>
              </w:rPr>
              <w:t>响应文件的份数和签署</w:t>
            </w:r>
          </w:p>
        </w:tc>
        <w:tc>
          <w:tcPr>
            <w:tcW w:w="7260" w:type="dxa"/>
            <w:vAlign w:val="top"/>
          </w:tcPr>
          <w:p w14:paraId="6B4BE868">
            <w:pPr>
              <w:pStyle w:val="46"/>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b w:val="0"/>
                <w:bCs w:val="0"/>
                <w:spacing w:val="0"/>
                <w:sz w:val="21"/>
                <w:lang w:val="en-US" w:eastAsia="zh-CN"/>
              </w:rPr>
            </w:pPr>
            <w:r>
              <w:rPr>
                <w:rFonts w:hint="eastAsia"/>
                <w:b w:val="0"/>
                <w:bCs w:val="0"/>
                <w:spacing w:val="0"/>
                <w:sz w:val="21"/>
                <w:lang w:val="en-US" w:eastAsia="zh-CN"/>
              </w:rPr>
              <w:t>1、本项目实行电子招投标，供应商需编制电子响应文件，并按电子响应文件递交要求上传电子响应文件；</w:t>
            </w:r>
          </w:p>
          <w:p w14:paraId="018E0C8A">
            <w:pPr>
              <w:pStyle w:val="46"/>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z w:val="21"/>
                <w:szCs w:val="21"/>
              </w:rPr>
            </w:pPr>
            <w:r>
              <w:rPr>
                <w:rFonts w:hint="eastAsia"/>
                <w:b w:val="0"/>
                <w:bCs w:val="0"/>
                <w:spacing w:val="0"/>
                <w:sz w:val="21"/>
                <w:lang w:val="en-US" w:eastAsia="zh-CN"/>
              </w:rPr>
              <w:t>2、本项目采用网上不见面方式开标，投标供应商无需到达开标现场参与投标。</w:t>
            </w:r>
          </w:p>
        </w:tc>
      </w:tr>
      <w:tr w14:paraId="1C28A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14:paraId="7AC4A10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27</w:t>
            </w:r>
          </w:p>
        </w:tc>
        <w:tc>
          <w:tcPr>
            <w:tcW w:w="2051" w:type="dxa"/>
            <w:vAlign w:val="center"/>
          </w:tcPr>
          <w:p w14:paraId="225F1AE5">
            <w:pPr>
              <w:keepNext w:val="0"/>
              <w:keepLines w:val="0"/>
              <w:pageBreakBefore w:val="0"/>
              <w:tabs>
                <w:tab w:val="left" w:pos="744"/>
              </w:tabs>
              <w:overflowPunct/>
              <w:topLinePunct w:val="0"/>
              <w:autoSpaceDE w:val="0"/>
              <w:autoSpaceDN w:val="0"/>
              <w:bidi w:val="0"/>
              <w:spacing w:line="360" w:lineRule="exact"/>
              <w:ind w:right="0" w:rightChars="0"/>
              <w:jc w:val="center"/>
              <w:rPr>
                <w:rFonts w:ascii="宋体" w:hAnsi="宋体" w:cs="宋体"/>
                <w:sz w:val="21"/>
                <w:szCs w:val="21"/>
              </w:rPr>
            </w:pPr>
            <w:r>
              <w:rPr>
                <w:rFonts w:ascii="宋体" w:hAnsi="宋体"/>
                <w:color w:val="0C0C0C"/>
                <w:sz w:val="21"/>
                <w:szCs w:val="21"/>
              </w:rPr>
              <w:t>备份</w:t>
            </w:r>
            <w:r>
              <w:rPr>
                <w:rFonts w:hint="eastAsia" w:ascii="宋体" w:hAnsi="宋体"/>
                <w:color w:val="0C0C0C"/>
                <w:sz w:val="21"/>
                <w:szCs w:val="21"/>
              </w:rPr>
              <w:t>电子光盘（U盘）要求及</w:t>
            </w:r>
            <w:r>
              <w:rPr>
                <w:rFonts w:hint="eastAsia" w:ascii="宋体" w:hAnsi="宋体" w:cs="宋体"/>
                <w:sz w:val="21"/>
                <w:szCs w:val="21"/>
              </w:rPr>
              <w:t>封套上写明</w:t>
            </w:r>
          </w:p>
        </w:tc>
        <w:tc>
          <w:tcPr>
            <w:tcW w:w="7260" w:type="dxa"/>
            <w:vAlign w:val="center"/>
          </w:tcPr>
          <w:p w14:paraId="02983760">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rFonts w:hint="eastAsia"/>
                <w:sz w:val="21"/>
                <w:szCs w:val="21"/>
              </w:rPr>
              <w:t>无</w:t>
            </w:r>
          </w:p>
        </w:tc>
      </w:tr>
      <w:tr w14:paraId="57600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23" w:type="dxa"/>
            <w:vAlign w:val="center"/>
          </w:tcPr>
          <w:p w14:paraId="74935AFB">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28</w:t>
            </w:r>
          </w:p>
        </w:tc>
        <w:tc>
          <w:tcPr>
            <w:tcW w:w="2051" w:type="dxa"/>
            <w:vAlign w:val="center"/>
          </w:tcPr>
          <w:p w14:paraId="6DDD0969">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评标委员会的组建</w:t>
            </w:r>
          </w:p>
        </w:tc>
        <w:tc>
          <w:tcPr>
            <w:tcW w:w="7260" w:type="dxa"/>
          </w:tcPr>
          <w:p w14:paraId="3E7D4369">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ascii="宋体" w:hAnsi="宋体" w:eastAsia="宋体" w:cs="宋体"/>
                <w:sz w:val="21"/>
                <w:szCs w:val="21"/>
              </w:rPr>
            </w:pPr>
            <w:r>
              <w:rPr>
                <w:rFonts w:hint="eastAsia" w:ascii="宋体" w:hAnsi="宋体" w:eastAsia="宋体" w:cs="宋体"/>
                <w:sz w:val="21"/>
                <w:szCs w:val="21"/>
              </w:rPr>
              <w:t>评标委员会人数构成：</w:t>
            </w:r>
            <w:r>
              <w:rPr>
                <w:rFonts w:hint="eastAsia" w:cs="宋体"/>
                <w:sz w:val="21"/>
                <w:szCs w:val="21"/>
                <w:lang w:val="en-US" w:eastAsia="zh-CN"/>
              </w:rPr>
              <w:t>5</w:t>
            </w:r>
            <w:r>
              <w:rPr>
                <w:rFonts w:hint="eastAsia" w:ascii="宋体" w:hAnsi="宋体" w:eastAsia="宋体" w:cs="宋体"/>
                <w:sz w:val="21"/>
                <w:szCs w:val="21"/>
              </w:rPr>
              <w:t>人；其中采购人代表</w:t>
            </w:r>
            <w:r>
              <w:rPr>
                <w:rFonts w:hint="eastAsia" w:cs="宋体"/>
                <w:sz w:val="21"/>
                <w:szCs w:val="21"/>
                <w:lang w:val="en-US" w:eastAsia="zh-CN"/>
              </w:rPr>
              <w:t>1</w:t>
            </w:r>
            <w:r>
              <w:rPr>
                <w:rFonts w:hint="eastAsia" w:ascii="宋体" w:hAnsi="宋体" w:eastAsia="宋体" w:cs="宋体"/>
                <w:sz w:val="21"/>
                <w:szCs w:val="21"/>
              </w:rPr>
              <w:t>人、评审专家</w:t>
            </w:r>
            <w:r>
              <w:rPr>
                <w:rFonts w:hint="eastAsia" w:cs="宋体"/>
                <w:sz w:val="21"/>
                <w:szCs w:val="21"/>
                <w:lang w:val="en-US" w:eastAsia="zh-CN"/>
              </w:rPr>
              <w:t>4</w:t>
            </w:r>
            <w:r>
              <w:rPr>
                <w:rFonts w:hint="eastAsia" w:ascii="宋体" w:hAnsi="宋体" w:eastAsia="宋体" w:cs="宋体"/>
                <w:sz w:val="21"/>
                <w:szCs w:val="21"/>
              </w:rPr>
              <w:t>人；</w:t>
            </w:r>
          </w:p>
          <w:p w14:paraId="758EE6A3">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ascii="宋体" w:hAnsi="宋体" w:eastAsia="宋体" w:cs="宋体"/>
                <w:sz w:val="21"/>
                <w:szCs w:val="21"/>
              </w:rPr>
            </w:pPr>
            <w:r>
              <w:rPr>
                <w:rFonts w:ascii="宋体" w:hAnsi="宋体" w:eastAsia="宋体" w:cs="宋体"/>
                <w:sz w:val="21"/>
                <w:szCs w:val="21"/>
              </w:rPr>
              <w:t>评标专家确定方式：开标前由招标人在监督单位监督下，按相关规定从政府采购专家库中随机抽取。</w:t>
            </w:r>
          </w:p>
        </w:tc>
      </w:tr>
      <w:tr w14:paraId="3B51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823" w:type="dxa"/>
            <w:vAlign w:val="center"/>
          </w:tcPr>
          <w:p w14:paraId="1E577AE0">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29</w:t>
            </w:r>
          </w:p>
        </w:tc>
        <w:tc>
          <w:tcPr>
            <w:tcW w:w="2051" w:type="dxa"/>
            <w:vAlign w:val="center"/>
          </w:tcPr>
          <w:p w14:paraId="488F3D8F">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Arial"/>
                <w:sz w:val="21"/>
                <w:szCs w:val="21"/>
                <w:highlight w:val="none"/>
              </w:rPr>
            </w:pPr>
            <w:r>
              <w:rPr>
                <w:rFonts w:hint="eastAsia" w:ascii="宋体" w:hAnsi="宋体" w:eastAsia="宋体" w:cs="Arial"/>
                <w:sz w:val="21"/>
                <w:szCs w:val="21"/>
                <w:highlight w:val="none"/>
              </w:rPr>
              <w:t>中标候选人评定</w:t>
            </w:r>
          </w:p>
        </w:tc>
        <w:tc>
          <w:tcPr>
            <w:tcW w:w="7260" w:type="dxa"/>
            <w:vAlign w:val="center"/>
          </w:tcPr>
          <w:p w14:paraId="4CFF2053">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若投标人提供相同品牌产品且通过资格审查、符合性审查的不同投标人参加本项目，按一家投标人计算。评审后得分最高的同品牌投标人获得中标人推荐资格；评审得分相同的，按投标报价最低者获得中标人推荐资格；投标报价也相等的，按技术得分高者获得中标人推荐资格；技术得分也相等的，按技术指标优者获得中标人推荐资格；其他同品牌投标人不作为中标候选人。若不同品牌的投标人得分相同的，按投标报价由低到高顺序排列；投标报价也相等的，按技术得分高者优先，技术得分也相等的，按技术指标优劣顺序排列。</w:t>
            </w:r>
          </w:p>
        </w:tc>
      </w:tr>
      <w:tr w14:paraId="760EA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23" w:type="dxa"/>
            <w:vAlign w:val="center"/>
          </w:tcPr>
          <w:p w14:paraId="6E691443">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30</w:t>
            </w:r>
          </w:p>
        </w:tc>
        <w:tc>
          <w:tcPr>
            <w:tcW w:w="2051" w:type="dxa"/>
            <w:vAlign w:val="center"/>
          </w:tcPr>
          <w:p w14:paraId="101C1BB1">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z w:val="21"/>
                <w:szCs w:val="21"/>
              </w:rPr>
            </w:pPr>
            <w:r>
              <w:rPr>
                <w:rFonts w:hint="eastAsia" w:ascii="宋体" w:hAnsi="宋体" w:eastAsia="宋体" w:cs="宋体"/>
                <w:sz w:val="21"/>
                <w:szCs w:val="21"/>
              </w:rPr>
              <w:t>是否授权评标委员会确定中标人</w:t>
            </w:r>
          </w:p>
        </w:tc>
        <w:tc>
          <w:tcPr>
            <w:tcW w:w="7260" w:type="dxa"/>
            <w:vAlign w:val="center"/>
          </w:tcPr>
          <w:p w14:paraId="2DDD874B">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否；评标委员会推荐的中标候选人数：3人；</w:t>
            </w:r>
          </w:p>
          <w:p w14:paraId="08335433">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采购人应当确定排名第一的中标候选人为中标人。排名第一的中标候选人放弃中标、因不可抗力提出不能履行合同等，有如上情况之一的，采购人可以依次确定排名第二、第三的中标候选人为中标人。若排名第三的中标候选人出现上述情况之一的，则该标段按废标处理。</w:t>
            </w:r>
          </w:p>
        </w:tc>
      </w:tr>
      <w:tr w14:paraId="4420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3" w:type="dxa"/>
            <w:vAlign w:val="center"/>
          </w:tcPr>
          <w:p w14:paraId="0CAA4A2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31</w:t>
            </w:r>
          </w:p>
        </w:tc>
        <w:tc>
          <w:tcPr>
            <w:tcW w:w="2051" w:type="dxa"/>
            <w:vAlign w:val="center"/>
          </w:tcPr>
          <w:p w14:paraId="424AFB44">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color w:val="0C0C0C"/>
                <w:spacing w:val="-1"/>
                <w:sz w:val="21"/>
                <w:szCs w:val="21"/>
              </w:rPr>
            </w:pPr>
            <w:r>
              <w:rPr>
                <w:rFonts w:hint="eastAsia" w:ascii="宋体" w:hAnsi="宋体" w:eastAsia="宋体" w:cs="宋体"/>
                <w:color w:val="0C0C0C"/>
                <w:spacing w:val="-1"/>
                <w:sz w:val="21"/>
                <w:szCs w:val="21"/>
              </w:rPr>
              <w:t>评标方法</w:t>
            </w:r>
          </w:p>
        </w:tc>
        <w:tc>
          <w:tcPr>
            <w:tcW w:w="7260" w:type="dxa"/>
          </w:tcPr>
          <w:p w14:paraId="5CDBA98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详见招标文件的评标办法。</w:t>
            </w:r>
          </w:p>
        </w:tc>
      </w:tr>
      <w:tr w14:paraId="2F44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23" w:type="dxa"/>
            <w:vAlign w:val="center"/>
          </w:tcPr>
          <w:p w14:paraId="71AF2CFD">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32</w:t>
            </w:r>
          </w:p>
        </w:tc>
        <w:tc>
          <w:tcPr>
            <w:tcW w:w="2051" w:type="dxa"/>
            <w:vAlign w:val="center"/>
          </w:tcPr>
          <w:p w14:paraId="1B8C38E3">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中标公示</w:t>
            </w:r>
          </w:p>
        </w:tc>
        <w:tc>
          <w:tcPr>
            <w:tcW w:w="7260" w:type="dxa"/>
          </w:tcPr>
          <w:p w14:paraId="7CCD1F86">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代理机构接到采购人通知后，将在公告信息发布同一媒体上发布中标结果公告。</w:t>
            </w:r>
          </w:p>
        </w:tc>
      </w:tr>
      <w:tr w14:paraId="5F277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23" w:type="dxa"/>
            <w:vAlign w:val="center"/>
          </w:tcPr>
          <w:p w14:paraId="5B8222FE">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33</w:t>
            </w:r>
          </w:p>
        </w:tc>
        <w:tc>
          <w:tcPr>
            <w:tcW w:w="2051" w:type="dxa"/>
            <w:vAlign w:val="center"/>
          </w:tcPr>
          <w:p w14:paraId="2F52CDCE">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履约保证金</w:t>
            </w:r>
          </w:p>
        </w:tc>
        <w:tc>
          <w:tcPr>
            <w:tcW w:w="7260" w:type="dxa"/>
          </w:tcPr>
          <w:p w14:paraId="67659EF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lang w:eastAsia="zh-CN"/>
              </w:rPr>
            </w:pPr>
            <w:r>
              <w:rPr>
                <w:rFonts w:hint="eastAsia" w:cs="宋体"/>
                <w:spacing w:val="0"/>
                <w:sz w:val="21"/>
                <w:szCs w:val="21"/>
                <w:lang w:val="en-US" w:eastAsia="zh-CN"/>
              </w:rPr>
              <w:t>无</w:t>
            </w:r>
          </w:p>
        </w:tc>
      </w:tr>
      <w:tr w14:paraId="273D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3" w:type="dxa"/>
            <w:vAlign w:val="center"/>
          </w:tcPr>
          <w:p w14:paraId="6C3CF74F">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34</w:t>
            </w:r>
          </w:p>
        </w:tc>
        <w:tc>
          <w:tcPr>
            <w:tcW w:w="2051" w:type="dxa"/>
            <w:vAlign w:val="center"/>
          </w:tcPr>
          <w:p w14:paraId="3D0D011D">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验收方式</w:t>
            </w:r>
          </w:p>
        </w:tc>
        <w:tc>
          <w:tcPr>
            <w:tcW w:w="7260" w:type="dxa"/>
            <w:vAlign w:val="center"/>
          </w:tcPr>
          <w:p w14:paraId="384574E1">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val="en-US" w:eastAsia="zh-CN"/>
              </w:rPr>
            </w:pPr>
            <w:r>
              <w:rPr>
                <w:rFonts w:hint="eastAsia" w:eastAsia="宋体"/>
                <w:sz w:val="21"/>
                <w:szCs w:val="21"/>
                <w:highlight w:val="none"/>
                <w:lang w:val="en-US" w:eastAsia="zh-CN"/>
              </w:rPr>
              <w:t>（1）中标供应商所供货物全部安装调试完成后，向采购人提出验收申请，采购人组织相关人员成立县级验收小组，严格按照投标文件对设备数量进行验收，验收合格出具验收报告。</w:t>
            </w:r>
          </w:p>
          <w:p w14:paraId="6573DEE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val="en-US" w:eastAsia="zh-CN"/>
              </w:rPr>
            </w:pPr>
            <w:r>
              <w:rPr>
                <w:rFonts w:hint="eastAsia" w:eastAsia="宋体"/>
                <w:sz w:val="21"/>
                <w:szCs w:val="21"/>
                <w:highlight w:val="none"/>
                <w:lang w:val="en-US" w:eastAsia="zh-CN"/>
              </w:rPr>
              <w:t>（2）县级验收合格后，委托第三方机构对所供货物进行质量验收，验收合格后，出具验收报告。</w:t>
            </w:r>
          </w:p>
          <w:p w14:paraId="06DE4F2A">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val="en-US" w:eastAsia="zh-CN"/>
              </w:rPr>
            </w:pPr>
            <w:r>
              <w:rPr>
                <w:rFonts w:hint="eastAsia" w:eastAsia="宋体"/>
                <w:sz w:val="21"/>
                <w:szCs w:val="21"/>
                <w:highlight w:val="none"/>
                <w:lang w:val="en-US" w:eastAsia="zh-CN"/>
              </w:rPr>
              <w:t>（3）验收不合格，由中标供应商进行整改，由此所产生的费用及损失由中标供货商自行承担。</w:t>
            </w:r>
          </w:p>
          <w:p w14:paraId="19F0549C">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eastAsia="zh-CN"/>
              </w:rPr>
            </w:pPr>
            <w:r>
              <w:rPr>
                <w:rFonts w:hint="eastAsia" w:eastAsia="宋体"/>
                <w:sz w:val="21"/>
                <w:szCs w:val="21"/>
                <w:highlight w:val="none"/>
                <w:lang w:val="en-US" w:eastAsia="zh-CN"/>
              </w:rPr>
              <w:t>（4）验收费用，由中标供应商承担。</w:t>
            </w:r>
          </w:p>
        </w:tc>
      </w:tr>
      <w:tr w14:paraId="08138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23" w:type="dxa"/>
            <w:vAlign w:val="center"/>
          </w:tcPr>
          <w:p w14:paraId="64EB1711">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35</w:t>
            </w:r>
          </w:p>
        </w:tc>
        <w:tc>
          <w:tcPr>
            <w:tcW w:w="2051" w:type="dxa"/>
            <w:vAlign w:val="center"/>
          </w:tcPr>
          <w:p w14:paraId="2CB4D713">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付款方式及要求</w:t>
            </w:r>
          </w:p>
        </w:tc>
        <w:tc>
          <w:tcPr>
            <w:tcW w:w="7260" w:type="dxa"/>
            <w:vAlign w:val="center"/>
          </w:tcPr>
          <w:p w14:paraId="69C82F9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default" w:ascii="宋体" w:hAnsi="宋体" w:eastAsia="宋体" w:cs="宋体"/>
                <w:snapToGrid w:val="0"/>
                <w:color w:val="000000"/>
                <w:sz w:val="21"/>
                <w:szCs w:val="21"/>
                <w:highlight w:val="none"/>
                <w:lang w:val="en-US" w:eastAsia="zh-CN" w:bidi="ar-SA"/>
              </w:rPr>
            </w:pPr>
            <w:r>
              <w:rPr>
                <w:rFonts w:hint="default" w:ascii="宋体" w:hAnsi="宋体" w:eastAsia="宋体" w:cs="宋体"/>
                <w:snapToGrid w:val="0"/>
                <w:color w:val="000000"/>
                <w:sz w:val="21"/>
                <w:szCs w:val="21"/>
                <w:highlight w:val="none"/>
                <w:lang w:val="en-US" w:eastAsia="zh-CN" w:bidi="ar-SA"/>
              </w:rPr>
              <w:t>本次付款分两次付清，中标供货商供货安装调试完毕并经县级验收小组验收合格后，支付合同货款的</w:t>
            </w:r>
            <w:r>
              <w:rPr>
                <w:rFonts w:hint="eastAsia" w:cs="宋体"/>
                <w:snapToGrid w:val="0"/>
                <w:color w:val="000000"/>
                <w:sz w:val="21"/>
                <w:szCs w:val="21"/>
                <w:highlight w:val="none"/>
                <w:lang w:val="en-US" w:eastAsia="zh-CN" w:bidi="ar-SA"/>
              </w:rPr>
              <w:t>50</w:t>
            </w:r>
            <w:r>
              <w:rPr>
                <w:rFonts w:hint="default" w:ascii="宋体" w:hAnsi="宋体" w:eastAsia="宋体" w:cs="宋体"/>
                <w:snapToGrid w:val="0"/>
                <w:color w:val="000000"/>
                <w:sz w:val="21"/>
                <w:szCs w:val="21"/>
                <w:highlight w:val="none"/>
                <w:lang w:val="en-US" w:eastAsia="zh-CN" w:bidi="ar-SA"/>
              </w:rPr>
              <w:t>%,经第三方机构验收合格后，</w:t>
            </w:r>
            <w:r>
              <w:rPr>
                <w:rFonts w:hint="eastAsia" w:cs="宋体"/>
                <w:snapToGrid w:val="0"/>
                <w:color w:val="000000"/>
                <w:sz w:val="21"/>
                <w:szCs w:val="21"/>
                <w:highlight w:val="none"/>
                <w:lang w:val="en-US" w:eastAsia="zh-CN" w:bidi="ar-SA"/>
              </w:rPr>
              <w:t>次年</w:t>
            </w:r>
            <w:r>
              <w:rPr>
                <w:rFonts w:hint="default" w:ascii="宋体" w:hAnsi="宋体" w:eastAsia="宋体" w:cs="宋体"/>
                <w:snapToGrid w:val="0"/>
                <w:color w:val="000000"/>
                <w:sz w:val="21"/>
                <w:szCs w:val="21"/>
                <w:highlight w:val="none"/>
                <w:lang w:val="en-US" w:eastAsia="zh-CN" w:bidi="ar-SA"/>
              </w:rPr>
              <w:t>支付合同总货款的</w:t>
            </w:r>
            <w:r>
              <w:rPr>
                <w:rFonts w:hint="eastAsia" w:cs="宋体"/>
                <w:snapToGrid w:val="0"/>
                <w:color w:val="000000"/>
                <w:sz w:val="21"/>
                <w:szCs w:val="21"/>
                <w:highlight w:val="none"/>
                <w:lang w:val="en-US" w:eastAsia="zh-CN" w:bidi="ar-SA"/>
              </w:rPr>
              <w:t>50</w:t>
            </w:r>
            <w:r>
              <w:rPr>
                <w:rFonts w:hint="default" w:ascii="宋体" w:hAnsi="宋体" w:eastAsia="宋体" w:cs="宋体"/>
                <w:snapToGrid w:val="0"/>
                <w:color w:val="000000"/>
                <w:sz w:val="21"/>
                <w:szCs w:val="21"/>
                <w:highlight w:val="none"/>
                <w:lang w:val="en-US" w:eastAsia="zh-CN" w:bidi="ar-SA"/>
              </w:rPr>
              <w:t>%</w:t>
            </w:r>
          </w:p>
        </w:tc>
      </w:tr>
      <w:tr w14:paraId="26C39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4" w:hRule="atLeast"/>
        </w:trPr>
        <w:tc>
          <w:tcPr>
            <w:tcW w:w="823" w:type="dxa"/>
            <w:vAlign w:val="center"/>
          </w:tcPr>
          <w:p w14:paraId="082598D2">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36</w:t>
            </w:r>
          </w:p>
        </w:tc>
        <w:tc>
          <w:tcPr>
            <w:tcW w:w="2051" w:type="dxa"/>
            <w:vAlign w:val="center"/>
          </w:tcPr>
          <w:p w14:paraId="392D11A8">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color w:val="0C0C0C"/>
                <w:spacing w:val="-1"/>
                <w:sz w:val="21"/>
                <w:szCs w:val="21"/>
              </w:rPr>
            </w:pPr>
            <w:r>
              <w:rPr>
                <w:rFonts w:hint="eastAsia" w:ascii="宋体" w:hAnsi="宋体" w:eastAsia="宋体" w:cs="宋体"/>
                <w:color w:val="0C0C0C"/>
                <w:spacing w:val="-1"/>
                <w:sz w:val="21"/>
                <w:szCs w:val="21"/>
              </w:rPr>
              <w:t>开标程序</w:t>
            </w:r>
          </w:p>
        </w:tc>
        <w:tc>
          <w:tcPr>
            <w:tcW w:w="7260" w:type="dxa"/>
          </w:tcPr>
          <w:p w14:paraId="34915C5A">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本项目采用“远程不见面”开标方式，不见面开标大厅地址</w:t>
            </w:r>
            <w:r>
              <w:rPr>
                <w:sz w:val="21"/>
                <w:szCs w:val="21"/>
              </w:rPr>
              <w:fldChar w:fldCharType="begin"/>
            </w:r>
            <w:r>
              <w:rPr>
                <w:sz w:val="21"/>
                <w:szCs w:val="21"/>
              </w:rPr>
              <w:instrText xml:space="preserve"> HYPERLINK "http://www.thggzy.cn/" </w:instrText>
            </w:r>
            <w:r>
              <w:rPr>
                <w:sz w:val="21"/>
                <w:szCs w:val="21"/>
              </w:rPr>
              <w:fldChar w:fldCharType="separate"/>
            </w:r>
            <w:r>
              <w:rPr>
                <w:rFonts w:hint="eastAsia"/>
                <w:sz w:val="21"/>
                <w:szCs w:val="21"/>
                <w:lang w:eastAsia="zh-CN"/>
              </w:rPr>
              <w:t>http://ggzyjy.tanghe.gov.cn</w:t>
            </w:r>
            <w:r>
              <w:rPr>
                <w:sz w:val="21"/>
                <w:szCs w:val="21"/>
              </w:rPr>
              <w:fldChar w:fldCharType="end"/>
            </w:r>
            <w:r>
              <w:rPr>
                <w:sz w:val="21"/>
                <w:szCs w:val="21"/>
              </w:rPr>
              <w:t>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14:paraId="6A99A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 w:hRule="atLeast"/>
        </w:trPr>
        <w:tc>
          <w:tcPr>
            <w:tcW w:w="823" w:type="dxa"/>
            <w:vAlign w:val="center"/>
          </w:tcPr>
          <w:p w14:paraId="5F2A5475">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37</w:t>
            </w:r>
          </w:p>
        </w:tc>
        <w:tc>
          <w:tcPr>
            <w:tcW w:w="2051" w:type="dxa"/>
            <w:vAlign w:val="center"/>
          </w:tcPr>
          <w:p w14:paraId="26A421A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投标人代表出席开标会要求</w:t>
            </w:r>
          </w:p>
        </w:tc>
        <w:tc>
          <w:tcPr>
            <w:tcW w:w="7260" w:type="dxa"/>
          </w:tcPr>
          <w:p w14:paraId="515E98B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该项目需要使用不见面开标，告知投标人无需前往现场来参与投标。而是各投标人根据手册要求，提前做好相关准备工作。</w:t>
            </w:r>
          </w:p>
          <w:p w14:paraId="5E8643E7">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附件：操作手册地址(下载专区中自行下载)、不见面开标大厅地址唐河县公共资源交易中心网站首页“不见面开标大厅”模块</w:t>
            </w:r>
          </w:p>
          <w:p w14:paraId="6A769858">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因投标人无需现场参与开标，所有准备工作需要自行到位。开标过程中如遇到紧急事项，可在不见面开标大厅中进行提出异议或文字交流，严重问题可拨打技术支持电话</w:t>
            </w:r>
          </w:p>
          <w:p w14:paraId="3F87367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不见面开标过程中，如投标人准备不到位，造成无法及时解密、网络问题等情况造成开标无法继续的，视为该投标人自动放弃投标(</w:t>
            </w:r>
            <w:r>
              <w:rPr>
                <w:rFonts w:hint="eastAsia"/>
                <w:sz w:val="21"/>
                <w:szCs w:val="21"/>
              </w:rPr>
              <w:t>3</w:t>
            </w:r>
            <w:r>
              <w:rPr>
                <w:sz w:val="21"/>
                <w:szCs w:val="21"/>
              </w:rPr>
              <w:t>0分钟内)，将被退回投标文件。</w:t>
            </w:r>
          </w:p>
        </w:tc>
      </w:tr>
      <w:tr w14:paraId="797C3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23" w:type="dxa"/>
            <w:vAlign w:val="center"/>
          </w:tcPr>
          <w:p w14:paraId="06B5E66E">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38</w:t>
            </w:r>
          </w:p>
        </w:tc>
        <w:tc>
          <w:tcPr>
            <w:tcW w:w="2051" w:type="dxa"/>
            <w:vAlign w:val="center"/>
          </w:tcPr>
          <w:p w14:paraId="190FC7CE">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监督</w:t>
            </w:r>
          </w:p>
        </w:tc>
        <w:tc>
          <w:tcPr>
            <w:tcW w:w="7260" w:type="dxa"/>
          </w:tcPr>
          <w:p w14:paraId="11ADA133">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本项目的招标投标活动及其相关当事人应当接受有管辖权的招标投标行政监督部门依法实施的监督。</w:t>
            </w:r>
          </w:p>
        </w:tc>
      </w:tr>
      <w:tr w14:paraId="6522C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823" w:type="dxa"/>
            <w:vAlign w:val="center"/>
          </w:tcPr>
          <w:p w14:paraId="7C8D1708">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39</w:t>
            </w:r>
          </w:p>
        </w:tc>
        <w:tc>
          <w:tcPr>
            <w:tcW w:w="2051" w:type="dxa"/>
            <w:vAlign w:val="center"/>
          </w:tcPr>
          <w:p w14:paraId="59B9935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解释权</w:t>
            </w:r>
          </w:p>
        </w:tc>
        <w:tc>
          <w:tcPr>
            <w:tcW w:w="7260" w:type="dxa"/>
          </w:tcPr>
          <w:p w14:paraId="71298886">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r>
              <w:rPr>
                <w:rFonts w:hint="eastAsia"/>
                <w:sz w:val="21"/>
                <w:szCs w:val="21"/>
              </w:rPr>
              <w:t>在评标过程中，若招标文件中就同一内容，有表达不一致的情形，且潜在投标人在招标文件规定的提出异议和澄清的时间内未提出异议或其他澄清要求的，则由评标委员会按照有利于招标人的方向理解。</w:t>
            </w:r>
          </w:p>
        </w:tc>
      </w:tr>
      <w:tr w14:paraId="60C18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3" w:type="dxa"/>
            <w:vAlign w:val="center"/>
          </w:tcPr>
          <w:p w14:paraId="0328E99F">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40</w:t>
            </w:r>
          </w:p>
        </w:tc>
        <w:tc>
          <w:tcPr>
            <w:tcW w:w="2051" w:type="dxa"/>
            <w:vAlign w:val="center"/>
          </w:tcPr>
          <w:p w14:paraId="3F3D4C2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投标人提出问题的截止时间</w:t>
            </w:r>
          </w:p>
        </w:tc>
        <w:tc>
          <w:tcPr>
            <w:tcW w:w="7260" w:type="dxa"/>
          </w:tcPr>
          <w:p w14:paraId="28A4931D">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递交投标文件的截止之日15日前</w:t>
            </w:r>
          </w:p>
        </w:tc>
      </w:tr>
      <w:tr w14:paraId="59BD8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23" w:type="dxa"/>
            <w:vAlign w:val="center"/>
          </w:tcPr>
          <w:p w14:paraId="4101201F">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41</w:t>
            </w:r>
          </w:p>
        </w:tc>
        <w:tc>
          <w:tcPr>
            <w:tcW w:w="2051" w:type="dxa"/>
            <w:vAlign w:val="center"/>
          </w:tcPr>
          <w:p w14:paraId="5C55292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其他说明</w:t>
            </w:r>
          </w:p>
        </w:tc>
        <w:tc>
          <w:tcPr>
            <w:tcW w:w="7260" w:type="dxa"/>
          </w:tcPr>
          <w:p w14:paraId="7780A76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“招标人”与“采购人”，“投标人”与“供应商”按照同一意思理解。</w:t>
            </w:r>
          </w:p>
        </w:tc>
      </w:tr>
      <w:tr w14:paraId="39BF3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23" w:type="dxa"/>
            <w:vAlign w:val="center"/>
          </w:tcPr>
          <w:p w14:paraId="76E8654A">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42</w:t>
            </w:r>
          </w:p>
        </w:tc>
        <w:tc>
          <w:tcPr>
            <w:tcW w:w="2051" w:type="dxa"/>
            <w:vAlign w:val="center"/>
          </w:tcPr>
          <w:p w14:paraId="6FCB3CBB">
            <w:pPr>
              <w:spacing w:line="360" w:lineRule="exact"/>
              <w:ind w:left="0" w:leftChars="0" w:right="0" w:rightChars="0"/>
              <w:jc w:val="center"/>
              <w:rPr>
                <w:rFonts w:ascii="宋体" w:hAnsi="宋体" w:eastAsia="宋体" w:cs="宋体"/>
                <w:color w:val="0C0C0C"/>
                <w:spacing w:val="-1"/>
                <w:sz w:val="21"/>
                <w:szCs w:val="21"/>
              </w:rPr>
            </w:pPr>
            <w:r>
              <w:rPr>
                <w:rFonts w:hint="eastAsia" w:cs="宋体"/>
                <w:szCs w:val="21"/>
                <w:lang w:val="en-US" w:eastAsia="zh-CN"/>
              </w:rPr>
              <w:t>代理</w:t>
            </w:r>
            <w:r>
              <w:rPr>
                <w:rFonts w:hint="eastAsia" w:ascii="宋体" w:hAnsi="宋体" w:cs="宋体"/>
                <w:szCs w:val="21"/>
                <w:lang w:val="zh-CN"/>
              </w:rPr>
              <w:t>服务费</w:t>
            </w:r>
          </w:p>
        </w:tc>
        <w:tc>
          <w:tcPr>
            <w:tcW w:w="7260" w:type="dxa"/>
            <w:vAlign w:val="center"/>
          </w:tcPr>
          <w:p w14:paraId="7FCD8604">
            <w:pPr>
              <w:spacing w:line="360" w:lineRule="exact"/>
              <w:ind w:left="0" w:leftChars="0" w:right="0" w:rightChars="0"/>
              <w:jc w:val="left"/>
              <w:rPr>
                <w:rFonts w:ascii="宋体" w:hAnsi="宋体" w:eastAsia="宋体" w:cs="Times New Roman"/>
                <w:snapToGrid w:val="0"/>
                <w:color w:val="000000"/>
                <w:sz w:val="21"/>
                <w:szCs w:val="21"/>
                <w:lang w:val="en-US" w:eastAsia="zh-CN" w:bidi="ar-SA"/>
              </w:rPr>
            </w:pPr>
            <w:r>
              <w:rPr>
                <w:rFonts w:hint="eastAsia" w:ascii="宋体" w:hAnsi="宋体" w:eastAsia="宋体" w:cs="Times New Roman"/>
                <w:snapToGrid w:val="0"/>
                <w:color w:val="000000"/>
                <w:sz w:val="21"/>
                <w:szCs w:val="21"/>
                <w:lang w:val="en-US" w:eastAsia="zh-CN" w:bidi="ar-SA"/>
              </w:rPr>
              <w:t>代理机构与采购人商定,参照豫招协【2023】002号文规定的招标代理服务收费计算标准，中标、成交供应商在领取中标通知书时一次性向代理机构缴纳。</w:t>
            </w:r>
          </w:p>
        </w:tc>
      </w:tr>
      <w:tr w14:paraId="1AD52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 w:hRule="atLeast"/>
        </w:trPr>
        <w:tc>
          <w:tcPr>
            <w:tcW w:w="823" w:type="dxa"/>
            <w:vAlign w:val="center"/>
          </w:tcPr>
          <w:p w14:paraId="0F63E714">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43</w:t>
            </w:r>
          </w:p>
        </w:tc>
        <w:tc>
          <w:tcPr>
            <w:tcW w:w="2051" w:type="dxa"/>
            <w:vAlign w:val="center"/>
          </w:tcPr>
          <w:p w14:paraId="07C26AF8">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hint="eastAsia" w:ascii="宋体" w:hAnsi="宋体" w:eastAsia="宋体" w:cs="宋体"/>
                <w:color w:val="0C0C0C"/>
                <w:spacing w:val="-1"/>
                <w:sz w:val="21"/>
                <w:szCs w:val="21"/>
              </w:rPr>
              <w:t>售后服务要求</w:t>
            </w:r>
          </w:p>
        </w:tc>
        <w:tc>
          <w:tcPr>
            <w:tcW w:w="7260" w:type="dxa"/>
            <w:vAlign w:val="center"/>
          </w:tcPr>
          <w:p w14:paraId="430A135A">
            <w:pPr>
              <w:pStyle w:val="46"/>
              <w:keepNext w:val="0"/>
              <w:keepLines w:val="0"/>
              <w:pageBreakBefore w:val="0"/>
              <w:widowControl w:val="0"/>
              <w:kinsoku/>
              <w:wordWrap/>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（1）所投设备提供三年质保，三年免费上门服务；质保期内实行免费维修，售后服务响应时间为2小时以内，24小时内解决问题。</w:t>
            </w:r>
          </w:p>
          <w:p w14:paraId="2A4C7CF5">
            <w:pPr>
              <w:pStyle w:val="46"/>
              <w:keepNext w:val="0"/>
              <w:keepLines w:val="0"/>
              <w:pageBreakBefore w:val="0"/>
              <w:widowControl w:val="0"/>
              <w:kinsoku/>
              <w:wordWrap/>
              <w:overflowPunct/>
              <w:topLinePunct w:val="0"/>
              <w:autoSpaceDE w:val="0"/>
              <w:autoSpaceDN w:val="0"/>
              <w:bidi w:val="0"/>
              <w:adjustRightInd/>
              <w:snapToGrid/>
              <w:spacing w:line="360" w:lineRule="exact"/>
              <w:ind w:right="0" w:rightChars="0"/>
              <w:jc w:val="left"/>
              <w:textAlignment w:val="auto"/>
              <w:rPr>
                <w:sz w:val="21"/>
                <w:szCs w:val="21"/>
              </w:rPr>
            </w:pPr>
            <w:r>
              <w:rPr>
                <w:rFonts w:hint="eastAsia"/>
                <w:sz w:val="21"/>
                <w:szCs w:val="21"/>
              </w:rPr>
              <w:t>（2）投标人有完善的售后服务机构，并提供服务机构的联系人、地点、电话。</w:t>
            </w:r>
          </w:p>
        </w:tc>
      </w:tr>
    </w:tbl>
    <w:p w14:paraId="7E1844B9">
      <w:pPr>
        <w:sectPr>
          <w:headerReference r:id="rId7" w:type="default"/>
          <w:footerReference r:id="rId8" w:type="default"/>
          <w:pgSz w:w="11907" w:h="16839"/>
          <w:pgMar w:top="1476" w:right="931" w:bottom="1226" w:left="933" w:header="1020" w:footer="1077" w:gutter="0"/>
          <w:pgNumType w:fmt="decimal" w:start="1"/>
          <w:cols w:space="720" w:num="1"/>
        </w:sectPr>
      </w:pPr>
    </w:p>
    <w:p w14:paraId="18A5C16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b/>
          <w:bCs/>
          <w:spacing w:val="18"/>
          <w:sz w:val="31"/>
          <w:szCs w:val="31"/>
          <w:highlight w:val="none"/>
        </w:rPr>
      </w:pPr>
      <w:bookmarkStart w:id="2" w:name="_Toc6801"/>
      <w:r>
        <w:rPr>
          <w:rFonts w:hint="eastAsia" w:asciiTheme="minorEastAsia" w:hAnsiTheme="minorEastAsia" w:eastAsiaTheme="minorEastAsia" w:cstheme="minorEastAsia"/>
          <w:b/>
          <w:bCs/>
          <w:spacing w:val="18"/>
          <w:sz w:val="31"/>
          <w:szCs w:val="31"/>
          <w:highlight w:val="none"/>
        </w:rPr>
        <w:t>项目采购内容及要求</w:t>
      </w:r>
      <w:bookmarkEnd w:id="2"/>
    </w:p>
    <w:p w14:paraId="36E35D72">
      <w:pPr>
        <w:pStyle w:val="44"/>
        <w:bidi w:val="0"/>
        <w:jc w:val="both"/>
        <w:outlineLvl w:val="9"/>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一标段采购清单：</w:t>
      </w:r>
    </w:p>
    <w:tbl>
      <w:tblPr>
        <w:tblStyle w:val="2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6"/>
        <w:gridCol w:w="1129"/>
        <w:gridCol w:w="455"/>
        <w:gridCol w:w="455"/>
        <w:gridCol w:w="6686"/>
      </w:tblGrid>
      <w:tr w14:paraId="66D7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0" w:type="auto"/>
            <w:gridSpan w:val="5"/>
            <w:shd w:val="clear" w:color="auto" w:fill="FFFFFF"/>
            <w:vAlign w:val="center"/>
          </w:tcPr>
          <w:p w14:paraId="0733580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kern w:val="0"/>
                <w:sz w:val="21"/>
                <w:szCs w:val="24"/>
                <w:u w:val="none"/>
                <w:lang w:val="en-US" w:eastAsia="zh-CN" w:bidi="ar"/>
              </w:rPr>
            </w:pPr>
            <w:r>
              <w:rPr>
                <w:rFonts w:hint="eastAsia" w:ascii="宋体" w:hAnsi="宋体" w:eastAsia="宋体" w:cs="宋体"/>
                <w:b/>
                <w:bCs/>
                <w:i w:val="0"/>
                <w:iCs w:val="0"/>
                <w:color w:val="000000"/>
                <w:kern w:val="0"/>
                <w:sz w:val="21"/>
                <w:szCs w:val="28"/>
                <w:u w:val="none"/>
                <w:lang w:val="en-US" w:eastAsia="zh-CN" w:bidi="ar"/>
              </w:rPr>
              <w:t>古城乡小学校明厨亮灶项目设备设施清单</w:t>
            </w:r>
          </w:p>
        </w:tc>
      </w:tr>
      <w:tr w14:paraId="69BD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0" w:type="auto"/>
            <w:shd w:val="clear" w:color="auto" w:fill="FFFFFF"/>
            <w:vAlign w:val="center"/>
          </w:tcPr>
          <w:p w14:paraId="616E48B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序号</w:t>
            </w:r>
          </w:p>
        </w:tc>
        <w:tc>
          <w:tcPr>
            <w:tcW w:w="0" w:type="auto"/>
            <w:shd w:val="clear" w:color="auto" w:fill="FFFFFF"/>
            <w:vAlign w:val="center"/>
          </w:tcPr>
          <w:p w14:paraId="610F96E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服务名称</w:t>
            </w:r>
          </w:p>
        </w:tc>
        <w:tc>
          <w:tcPr>
            <w:tcW w:w="0" w:type="auto"/>
            <w:shd w:val="clear" w:color="auto" w:fill="FFFFFF"/>
            <w:vAlign w:val="center"/>
          </w:tcPr>
          <w:p w14:paraId="3437471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数量</w:t>
            </w:r>
          </w:p>
        </w:tc>
        <w:tc>
          <w:tcPr>
            <w:tcW w:w="0" w:type="auto"/>
            <w:shd w:val="clear" w:color="auto" w:fill="FFFFFF"/>
            <w:vAlign w:val="center"/>
          </w:tcPr>
          <w:p w14:paraId="224B5C1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单位</w:t>
            </w:r>
          </w:p>
        </w:tc>
        <w:tc>
          <w:tcPr>
            <w:tcW w:w="0" w:type="auto"/>
            <w:shd w:val="clear" w:color="auto" w:fill="FFFFFF"/>
            <w:vAlign w:val="center"/>
          </w:tcPr>
          <w:p w14:paraId="522261F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参数</w:t>
            </w:r>
          </w:p>
        </w:tc>
      </w:tr>
      <w:tr w14:paraId="3974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14:paraId="1611D97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一</w:t>
            </w:r>
          </w:p>
        </w:tc>
        <w:tc>
          <w:tcPr>
            <w:tcW w:w="0" w:type="auto"/>
            <w:shd w:val="clear" w:color="auto" w:fill="FFFFFF"/>
            <w:vAlign w:val="center"/>
          </w:tcPr>
          <w:p w14:paraId="547525B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软件系统</w:t>
            </w:r>
          </w:p>
        </w:tc>
        <w:tc>
          <w:tcPr>
            <w:tcW w:w="0" w:type="auto"/>
            <w:shd w:val="clear" w:color="auto" w:fill="FFFFFF"/>
            <w:vAlign w:val="center"/>
          </w:tcPr>
          <w:p w14:paraId="5A9E39CD">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i w:val="0"/>
                <w:iCs w:val="0"/>
                <w:color w:val="000000"/>
                <w:sz w:val="21"/>
                <w:szCs w:val="24"/>
                <w:u w:val="none"/>
              </w:rPr>
            </w:pPr>
          </w:p>
        </w:tc>
        <w:tc>
          <w:tcPr>
            <w:tcW w:w="0" w:type="auto"/>
            <w:shd w:val="clear" w:color="auto" w:fill="FFFFFF"/>
            <w:vAlign w:val="center"/>
          </w:tcPr>
          <w:p w14:paraId="78C76896">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i w:val="0"/>
                <w:iCs w:val="0"/>
                <w:color w:val="000000"/>
                <w:sz w:val="21"/>
                <w:szCs w:val="24"/>
                <w:u w:val="none"/>
              </w:rPr>
            </w:pPr>
          </w:p>
        </w:tc>
        <w:tc>
          <w:tcPr>
            <w:tcW w:w="0" w:type="auto"/>
            <w:shd w:val="clear" w:color="auto" w:fill="FFFFFF"/>
            <w:vAlign w:val="top"/>
          </w:tcPr>
          <w:p w14:paraId="59D549A8">
            <w:pPr>
              <w:keepNext w:val="0"/>
              <w:keepLines w:val="0"/>
              <w:pageBreakBefore w:val="0"/>
              <w:widowControl/>
              <w:kinsoku w:val="0"/>
              <w:wordWrap/>
              <w:overflowPunct/>
              <w:topLinePunct w:val="0"/>
              <w:autoSpaceDE w:val="0"/>
              <w:autoSpaceDN w:val="0"/>
              <w:bidi w:val="0"/>
              <w:adjustRightInd w:val="0"/>
              <w:snapToGrid w:val="0"/>
              <w:spacing w:line="360" w:lineRule="exact"/>
              <w:jc w:val="left"/>
              <w:rPr>
                <w:rFonts w:hint="eastAsia" w:ascii="宋体" w:hAnsi="宋体" w:eastAsia="宋体" w:cs="宋体"/>
                <w:i w:val="0"/>
                <w:iCs w:val="0"/>
                <w:color w:val="000000"/>
                <w:sz w:val="21"/>
                <w:szCs w:val="24"/>
                <w:u w:val="none"/>
              </w:rPr>
            </w:pPr>
          </w:p>
        </w:tc>
      </w:tr>
      <w:tr w14:paraId="29AA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0" w:type="auto"/>
            <w:shd w:val="clear" w:color="auto" w:fill="FFFFFF"/>
            <w:vAlign w:val="center"/>
          </w:tcPr>
          <w:p w14:paraId="5984BD7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1.1</w:t>
            </w:r>
          </w:p>
        </w:tc>
        <w:tc>
          <w:tcPr>
            <w:tcW w:w="0" w:type="auto"/>
            <w:shd w:val="clear" w:color="auto" w:fill="FFFFFF"/>
            <w:vAlign w:val="center"/>
          </w:tcPr>
          <w:p w14:paraId="3877161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智慧管理云平台：监管端、学校端、家长端</w:t>
            </w:r>
          </w:p>
        </w:tc>
        <w:tc>
          <w:tcPr>
            <w:tcW w:w="0" w:type="auto"/>
            <w:shd w:val="clear" w:color="auto" w:fill="FFFFFF"/>
            <w:vAlign w:val="center"/>
          </w:tcPr>
          <w:p w14:paraId="24F62E9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0E21F2E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套</w:t>
            </w:r>
          </w:p>
        </w:tc>
        <w:tc>
          <w:tcPr>
            <w:tcW w:w="0" w:type="auto"/>
            <w:shd w:val="clear" w:color="auto" w:fill="FFFFFF"/>
            <w:vAlign w:val="top"/>
          </w:tcPr>
          <w:p w14:paraId="3FCC6BB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利用AI大数据信息化手段开展日常网上巡查,对学校食堂的证照信息、索证索票、进货查验台账 、人员卫生、加工操作等进行全过程，线上可视化监管,对存在问题的企业开展监督检查,强化问题整改,不断提高食品安全智慧监管效能。</w:t>
            </w:r>
          </w:p>
        </w:tc>
      </w:tr>
      <w:tr w14:paraId="4990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14:paraId="1901731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二</w:t>
            </w:r>
          </w:p>
        </w:tc>
        <w:tc>
          <w:tcPr>
            <w:tcW w:w="0" w:type="auto"/>
            <w:gridSpan w:val="4"/>
            <w:shd w:val="clear" w:color="auto" w:fill="FFFFFF"/>
            <w:vAlign w:val="center"/>
          </w:tcPr>
          <w:p w14:paraId="6470CCEA">
            <w:pPr>
              <w:keepNext w:val="0"/>
              <w:keepLines w:val="0"/>
              <w:pageBreakBefore w:val="0"/>
              <w:widowControl/>
              <w:kinsoku w:val="0"/>
              <w:wordWrap/>
              <w:overflowPunct/>
              <w:topLinePunct w:val="0"/>
              <w:autoSpaceDE w:val="0"/>
              <w:autoSpaceDN w:val="0"/>
              <w:bidi w:val="0"/>
              <w:adjustRightInd w:val="0"/>
              <w:snapToGrid w:val="0"/>
              <w:spacing w:line="360" w:lineRule="exact"/>
              <w:jc w:val="left"/>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硬件部分</w:t>
            </w:r>
          </w:p>
        </w:tc>
      </w:tr>
      <w:tr w14:paraId="242F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0" w:type="auto"/>
            <w:shd w:val="clear" w:color="auto" w:fill="FFFFFF"/>
            <w:vAlign w:val="center"/>
          </w:tcPr>
          <w:p w14:paraId="1D3935E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3384E2F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监控设备</w:t>
            </w:r>
          </w:p>
        </w:tc>
        <w:tc>
          <w:tcPr>
            <w:tcW w:w="0" w:type="auto"/>
            <w:shd w:val="clear" w:color="auto" w:fill="FFFFFF"/>
            <w:vAlign w:val="center"/>
          </w:tcPr>
          <w:p w14:paraId="2E1849BC">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i w:val="0"/>
                <w:iCs w:val="0"/>
                <w:color w:val="000000"/>
                <w:sz w:val="21"/>
                <w:szCs w:val="24"/>
                <w:u w:val="none"/>
              </w:rPr>
            </w:pPr>
          </w:p>
        </w:tc>
        <w:tc>
          <w:tcPr>
            <w:tcW w:w="0" w:type="auto"/>
            <w:shd w:val="clear" w:color="auto" w:fill="FFFFFF"/>
            <w:vAlign w:val="center"/>
          </w:tcPr>
          <w:p w14:paraId="6083746B">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i w:val="0"/>
                <w:iCs w:val="0"/>
                <w:color w:val="000000"/>
                <w:sz w:val="21"/>
                <w:szCs w:val="24"/>
                <w:u w:val="none"/>
              </w:rPr>
            </w:pPr>
          </w:p>
        </w:tc>
        <w:tc>
          <w:tcPr>
            <w:tcW w:w="0" w:type="auto"/>
            <w:shd w:val="clear" w:color="auto" w:fill="FFFFFF"/>
            <w:vAlign w:val="top"/>
          </w:tcPr>
          <w:p w14:paraId="15B1FFC6">
            <w:pPr>
              <w:keepNext w:val="0"/>
              <w:keepLines w:val="0"/>
              <w:pageBreakBefore w:val="0"/>
              <w:widowControl/>
              <w:kinsoku w:val="0"/>
              <w:wordWrap/>
              <w:overflowPunct/>
              <w:topLinePunct w:val="0"/>
              <w:autoSpaceDE w:val="0"/>
              <w:autoSpaceDN w:val="0"/>
              <w:bidi w:val="0"/>
              <w:adjustRightInd w:val="0"/>
              <w:snapToGrid w:val="0"/>
              <w:spacing w:line="360" w:lineRule="exact"/>
              <w:jc w:val="left"/>
              <w:rPr>
                <w:rFonts w:hint="eastAsia" w:ascii="宋体" w:hAnsi="宋体" w:eastAsia="宋体" w:cs="宋体"/>
                <w:i w:val="0"/>
                <w:iCs w:val="0"/>
                <w:color w:val="000000"/>
                <w:sz w:val="21"/>
                <w:szCs w:val="24"/>
                <w:u w:val="none"/>
              </w:rPr>
            </w:pPr>
          </w:p>
        </w:tc>
      </w:tr>
      <w:tr w14:paraId="3909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0" w:type="auto"/>
            <w:shd w:val="clear" w:color="auto" w:fill="FFFFFF"/>
            <w:vAlign w:val="center"/>
          </w:tcPr>
          <w:p w14:paraId="644A21C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1.1</w:t>
            </w:r>
          </w:p>
        </w:tc>
        <w:tc>
          <w:tcPr>
            <w:tcW w:w="0" w:type="auto"/>
            <w:shd w:val="clear" w:color="auto" w:fill="FFFFFF"/>
            <w:vAlign w:val="center"/>
          </w:tcPr>
          <w:p w14:paraId="1DC4DB4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球机</w:t>
            </w:r>
          </w:p>
        </w:tc>
        <w:tc>
          <w:tcPr>
            <w:tcW w:w="0" w:type="auto"/>
            <w:shd w:val="clear" w:color="auto" w:fill="FFFFFF"/>
            <w:vAlign w:val="center"/>
          </w:tcPr>
          <w:p w14:paraId="0FAABD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2F3B1F8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台</w:t>
            </w:r>
          </w:p>
        </w:tc>
        <w:tc>
          <w:tcPr>
            <w:tcW w:w="0" w:type="auto"/>
            <w:shd w:val="clear" w:color="auto" w:fill="FFFFFF"/>
            <w:vAlign w:val="top"/>
          </w:tcPr>
          <w:p w14:paraId="03E2302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支持1920×1080@30fps 高清画面输出</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 H.265 高效压缩算法，可较大节省存储空间</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支持超低照度，0.005Lux/F1.6(彩色),0.001Lux/F1.6(黑白) ,0 Lux with IR</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 23 倍光学变倍，16 倍数字变倍</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采用高效红外阵列，低功耗，照射距离可达 100m</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 960p@60fps、720p@60fps 高帧率输出</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支持三码流技术，每路码流可独立配置分辨率及帧率</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支持区域入侵侦测、越界侦测、移动侦测等智能侦测功能</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支持断网续传功能保证录像不丢失，配合 Smart NVR 实现事件录像 的二次智能检索、分析和浓缩播放</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支持宽动态范围达 120dB，适合逆光环境监控</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 3D 数字降噪、强光抑制、电子防抖、SmartIR</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 360°水平旋转，垂直方向-15° -90°</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 300 个预置位，8 条巡航扫描</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 3D 定位，可通过鼠标框选目标以实现目标的快速定位与捕捉</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支持定时抓图与事件抓图功能</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支持区域曝光与区域聚焦功能</w:t>
            </w:r>
          </w:p>
        </w:tc>
      </w:tr>
      <w:tr w14:paraId="6657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0" w:type="auto"/>
            <w:shd w:val="clear" w:color="auto" w:fill="FFFFFF"/>
            <w:vAlign w:val="center"/>
          </w:tcPr>
          <w:p w14:paraId="78A1F8E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1.2</w:t>
            </w:r>
          </w:p>
        </w:tc>
        <w:tc>
          <w:tcPr>
            <w:tcW w:w="0" w:type="auto"/>
            <w:shd w:val="clear" w:color="auto" w:fill="FFFFFF"/>
            <w:vAlign w:val="center"/>
          </w:tcPr>
          <w:p w14:paraId="07C1696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电源</w:t>
            </w:r>
          </w:p>
        </w:tc>
        <w:tc>
          <w:tcPr>
            <w:tcW w:w="0" w:type="auto"/>
            <w:shd w:val="clear" w:color="auto" w:fill="FFFFFF"/>
            <w:vAlign w:val="center"/>
          </w:tcPr>
          <w:p w14:paraId="287F39E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3F512E1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个</w:t>
            </w:r>
          </w:p>
        </w:tc>
        <w:tc>
          <w:tcPr>
            <w:tcW w:w="0" w:type="auto"/>
            <w:shd w:val="clear" w:color="auto" w:fill="auto"/>
            <w:noWrap/>
            <w:vAlign w:val="top"/>
          </w:tcPr>
          <w:p w14:paraId="6C5345F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Style w:val="51"/>
                <w:rFonts w:eastAsia="宋体"/>
                <w:sz w:val="21"/>
                <w:lang w:val="en-US" w:eastAsia="zh-CN" w:bidi="ar"/>
              </w:rPr>
              <w:t xml:space="preserve">国标DC12V  2A  </w:t>
            </w:r>
            <w:r>
              <w:rPr>
                <w:rStyle w:val="55"/>
                <w:rFonts w:eastAsia="宋体"/>
                <w:sz w:val="21"/>
                <w:lang w:val="en-US" w:eastAsia="zh-CN" w:bidi="ar"/>
              </w:rPr>
              <w:t>监控专用</w:t>
            </w:r>
          </w:p>
        </w:tc>
      </w:tr>
      <w:tr w14:paraId="30D2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5" w:hRule="atLeast"/>
        </w:trPr>
        <w:tc>
          <w:tcPr>
            <w:tcW w:w="0" w:type="auto"/>
            <w:shd w:val="clear" w:color="auto" w:fill="FFFFFF"/>
            <w:vAlign w:val="center"/>
          </w:tcPr>
          <w:p w14:paraId="36087A3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1.3</w:t>
            </w:r>
          </w:p>
        </w:tc>
        <w:tc>
          <w:tcPr>
            <w:tcW w:w="0" w:type="auto"/>
            <w:shd w:val="clear" w:color="auto" w:fill="FFFFFF"/>
            <w:vAlign w:val="center"/>
          </w:tcPr>
          <w:p w14:paraId="3B0D84D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半球</w:t>
            </w:r>
          </w:p>
        </w:tc>
        <w:tc>
          <w:tcPr>
            <w:tcW w:w="0" w:type="auto"/>
            <w:shd w:val="clear" w:color="auto" w:fill="FFFFFF"/>
            <w:vAlign w:val="center"/>
          </w:tcPr>
          <w:p w14:paraId="0F5C8FF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20</w:t>
            </w:r>
          </w:p>
        </w:tc>
        <w:tc>
          <w:tcPr>
            <w:tcW w:w="0" w:type="auto"/>
            <w:shd w:val="clear" w:color="auto" w:fill="FFFFFF"/>
            <w:vAlign w:val="center"/>
          </w:tcPr>
          <w:p w14:paraId="42B25EF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台</w:t>
            </w:r>
          </w:p>
        </w:tc>
        <w:tc>
          <w:tcPr>
            <w:tcW w:w="0" w:type="auto"/>
            <w:shd w:val="clear" w:color="auto" w:fill="FFFFFF"/>
            <w:vAlign w:val="top"/>
          </w:tcPr>
          <w:p w14:paraId="3E0885A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最大图像尺寸：1920 x 1080</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主码流频率分辨率：50 Hz：25 fps（1920 x 1080，1280 x 960，1280 x 720）.</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子码流赖率分辨率：50 Hz：25 fps（640 x 480，640 x 360，320 x 240）</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视频压缩标准：主码流：H.265/H.264子码流：H.265/.264/MPEG</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 xml:space="preserve">视频压缩码率：32 Kbps 8 Mbps </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H.264编码类型：BaseLine Profile/Main Profile</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H.265编码类型：Main Profile</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码率控制：定码率，变码率</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支持主码流设置1个固定区域</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支持smartiR</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日夜转换模式：白天，夜晚，自动，定时切换</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图像增强：背光补偿，30数字降噪</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图像设置：饱和度，亮度，对比度，锐度，AGC，白平衡通过客户端或者浏览器可调</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音频：1个内置麦克风</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网络：1个RJ45 10 M/100 M自适应以太网口</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报警触发：移动侦测，异常</w:t>
            </w:r>
          </w:p>
        </w:tc>
      </w:tr>
      <w:tr w14:paraId="2512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0" w:type="auto"/>
            <w:shd w:val="clear" w:color="auto" w:fill="FFFFFF"/>
            <w:vAlign w:val="center"/>
          </w:tcPr>
          <w:p w14:paraId="3C20AB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1.4</w:t>
            </w:r>
          </w:p>
        </w:tc>
        <w:tc>
          <w:tcPr>
            <w:tcW w:w="0" w:type="auto"/>
            <w:shd w:val="clear" w:color="auto" w:fill="FFFFFF"/>
            <w:vAlign w:val="center"/>
          </w:tcPr>
          <w:p w14:paraId="4B22324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电源</w:t>
            </w:r>
          </w:p>
        </w:tc>
        <w:tc>
          <w:tcPr>
            <w:tcW w:w="0" w:type="auto"/>
            <w:shd w:val="clear" w:color="auto" w:fill="FFFFFF"/>
            <w:vAlign w:val="center"/>
          </w:tcPr>
          <w:p w14:paraId="16A8EB1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20</w:t>
            </w:r>
          </w:p>
        </w:tc>
        <w:tc>
          <w:tcPr>
            <w:tcW w:w="0" w:type="auto"/>
            <w:shd w:val="clear" w:color="auto" w:fill="FFFFFF"/>
            <w:vAlign w:val="center"/>
          </w:tcPr>
          <w:p w14:paraId="59F1902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个</w:t>
            </w:r>
          </w:p>
        </w:tc>
        <w:tc>
          <w:tcPr>
            <w:tcW w:w="0" w:type="auto"/>
            <w:shd w:val="clear" w:color="auto" w:fill="auto"/>
            <w:noWrap/>
            <w:vAlign w:val="top"/>
          </w:tcPr>
          <w:p w14:paraId="60720F8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Style w:val="51"/>
                <w:rFonts w:eastAsia="宋体"/>
                <w:sz w:val="21"/>
                <w:lang w:val="en-US" w:eastAsia="zh-CN" w:bidi="ar"/>
              </w:rPr>
              <w:t xml:space="preserve">国标DC12V  2A  </w:t>
            </w:r>
            <w:r>
              <w:rPr>
                <w:rStyle w:val="55"/>
                <w:rFonts w:eastAsia="宋体"/>
                <w:sz w:val="21"/>
                <w:lang w:val="en-US" w:eastAsia="zh-CN" w:bidi="ar"/>
              </w:rPr>
              <w:t>监控专用</w:t>
            </w:r>
          </w:p>
        </w:tc>
      </w:tr>
      <w:tr w14:paraId="5DBA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trPr>
        <w:tc>
          <w:tcPr>
            <w:tcW w:w="0" w:type="auto"/>
            <w:shd w:val="clear" w:color="auto" w:fill="FFFFFF"/>
            <w:vAlign w:val="center"/>
          </w:tcPr>
          <w:p w14:paraId="074772A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1.5</w:t>
            </w:r>
          </w:p>
        </w:tc>
        <w:tc>
          <w:tcPr>
            <w:tcW w:w="0" w:type="auto"/>
            <w:shd w:val="clear" w:color="auto" w:fill="FFFFFF"/>
            <w:vAlign w:val="center"/>
          </w:tcPr>
          <w:p w14:paraId="4D56AC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32路硬盘录像机舌尖安全网定制</w:t>
            </w:r>
          </w:p>
        </w:tc>
        <w:tc>
          <w:tcPr>
            <w:tcW w:w="0" w:type="auto"/>
            <w:shd w:val="clear" w:color="auto" w:fill="FFFFFF"/>
            <w:vAlign w:val="center"/>
          </w:tcPr>
          <w:p w14:paraId="25EBF39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68D58D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台</w:t>
            </w:r>
          </w:p>
        </w:tc>
        <w:tc>
          <w:tcPr>
            <w:tcW w:w="0" w:type="auto"/>
            <w:shd w:val="clear" w:color="auto" w:fill="auto"/>
            <w:vAlign w:val="top"/>
          </w:tcPr>
          <w:p w14:paraId="0025FB2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全新高性能系列录像机，具有如下特性：</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•解码性能强劲，全系列支持8路1080P解码；</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•专为高分辨率相机接入所打造，最大支持800万相机接入；</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•硬盘支持全面升级，支持满配8T硬盘，进一步延长录像时间；</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•平台接入协议丰富，支持萤石、Ehome以及GB28181协议，轻松实现平台接入；</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•接口一应俱全，满足各类外设接入需求；</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•1U 380铁盒机箱</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•2盘位，最大支持8TB硬盘</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•支持1个HDMI 4K输出 +1个VGA同源高清1080P输出</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•支持8路1080P解码</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•支持H.265、H.264混合解码，最大支持接入8MP高清IPC</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•1个千兆网口；</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•1个USB2.0接口+1个USB3.0接口</w:t>
            </w:r>
          </w:p>
        </w:tc>
      </w:tr>
      <w:tr w14:paraId="7484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0" w:type="auto"/>
            <w:shd w:val="clear" w:color="auto" w:fill="auto"/>
            <w:vAlign w:val="center"/>
          </w:tcPr>
          <w:p w14:paraId="341A510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1.6</w:t>
            </w:r>
          </w:p>
        </w:tc>
        <w:tc>
          <w:tcPr>
            <w:tcW w:w="0" w:type="auto"/>
            <w:shd w:val="clear" w:color="auto" w:fill="auto"/>
            <w:vAlign w:val="center"/>
          </w:tcPr>
          <w:p w14:paraId="5AE9450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8T硬盘</w:t>
            </w:r>
          </w:p>
        </w:tc>
        <w:tc>
          <w:tcPr>
            <w:tcW w:w="0" w:type="auto"/>
            <w:shd w:val="clear" w:color="auto" w:fill="auto"/>
            <w:vAlign w:val="center"/>
          </w:tcPr>
          <w:p w14:paraId="30F955E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4</w:t>
            </w:r>
          </w:p>
        </w:tc>
        <w:tc>
          <w:tcPr>
            <w:tcW w:w="0" w:type="auto"/>
            <w:shd w:val="clear" w:color="auto" w:fill="auto"/>
            <w:vAlign w:val="center"/>
          </w:tcPr>
          <w:p w14:paraId="7D1044F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块</w:t>
            </w:r>
          </w:p>
        </w:tc>
        <w:tc>
          <w:tcPr>
            <w:tcW w:w="0" w:type="auto"/>
            <w:shd w:val="clear" w:color="auto" w:fill="FFFFFF"/>
            <w:vAlign w:val="top"/>
          </w:tcPr>
          <w:p w14:paraId="12D0C2D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容量：8T</w:t>
            </w:r>
          </w:p>
        </w:tc>
      </w:tr>
      <w:tr w14:paraId="0FF2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0" w:type="auto"/>
            <w:shd w:val="clear" w:color="auto" w:fill="FFFFFF"/>
            <w:vAlign w:val="center"/>
          </w:tcPr>
          <w:p w14:paraId="0C27B1F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1.7</w:t>
            </w:r>
          </w:p>
        </w:tc>
        <w:tc>
          <w:tcPr>
            <w:tcW w:w="0" w:type="auto"/>
            <w:shd w:val="clear" w:color="auto" w:fill="FFFFFF"/>
            <w:vAlign w:val="center"/>
          </w:tcPr>
          <w:p w14:paraId="19A58FD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高清显示屏</w:t>
            </w:r>
          </w:p>
        </w:tc>
        <w:tc>
          <w:tcPr>
            <w:tcW w:w="0" w:type="auto"/>
            <w:shd w:val="clear" w:color="auto" w:fill="FFFFFF"/>
            <w:vAlign w:val="center"/>
          </w:tcPr>
          <w:p w14:paraId="4D64D9E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3</w:t>
            </w:r>
          </w:p>
        </w:tc>
        <w:tc>
          <w:tcPr>
            <w:tcW w:w="0" w:type="auto"/>
            <w:shd w:val="clear" w:color="auto" w:fill="FFFFFF"/>
            <w:vAlign w:val="center"/>
          </w:tcPr>
          <w:p w14:paraId="31F708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台</w:t>
            </w:r>
          </w:p>
        </w:tc>
        <w:tc>
          <w:tcPr>
            <w:tcW w:w="0" w:type="auto"/>
            <w:shd w:val="clear" w:color="auto" w:fill="FFFFFF"/>
            <w:vAlign w:val="top"/>
          </w:tcPr>
          <w:p w14:paraId="1586750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4核高速CPU，2G运行内存，32G大容量机身存储。内存 2GB+32GB 2GB+32GB 2GB+32GB</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中央处理器 A35*2+A35*2 A35*2+A35*2 A55*2+A55*2</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图形处理器 G31MP2 G31MP2 G52MP2</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接口信息</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USB2.0 2 2 2</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HDM12.1 2 2 2</w:t>
            </w:r>
          </w:p>
        </w:tc>
      </w:tr>
      <w:tr w14:paraId="6DF9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14:paraId="41D2542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1.8</w:t>
            </w:r>
          </w:p>
        </w:tc>
        <w:tc>
          <w:tcPr>
            <w:tcW w:w="0" w:type="auto"/>
            <w:shd w:val="clear" w:color="auto" w:fill="FFFFFF"/>
            <w:vAlign w:val="center"/>
          </w:tcPr>
          <w:p w14:paraId="529A66A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显示屏支架</w:t>
            </w:r>
          </w:p>
        </w:tc>
        <w:tc>
          <w:tcPr>
            <w:tcW w:w="0" w:type="auto"/>
            <w:shd w:val="clear" w:color="auto" w:fill="FFFFFF"/>
            <w:vAlign w:val="center"/>
          </w:tcPr>
          <w:p w14:paraId="5472F1F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3</w:t>
            </w:r>
          </w:p>
        </w:tc>
        <w:tc>
          <w:tcPr>
            <w:tcW w:w="0" w:type="auto"/>
            <w:shd w:val="clear" w:color="auto" w:fill="FFFFFF"/>
            <w:vAlign w:val="center"/>
          </w:tcPr>
          <w:p w14:paraId="1BEB275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个</w:t>
            </w:r>
          </w:p>
        </w:tc>
        <w:tc>
          <w:tcPr>
            <w:tcW w:w="0" w:type="auto"/>
            <w:shd w:val="clear" w:color="auto" w:fill="FFFFFF"/>
            <w:vAlign w:val="top"/>
          </w:tcPr>
          <w:p w14:paraId="616A2C8E">
            <w:pPr>
              <w:keepNext w:val="0"/>
              <w:keepLines w:val="0"/>
              <w:pageBreakBefore w:val="0"/>
              <w:widowControl/>
              <w:kinsoku w:val="0"/>
              <w:wordWrap/>
              <w:overflowPunct/>
              <w:topLinePunct w:val="0"/>
              <w:autoSpaceDE w:val="0"/>
              <w:autoSpaceDN w:val="0"/>
              <w:bidi w:val="0"/>
              <w:adjustRightInd w:val="0"/>
              <w:snapToGrid w:val="0"/>
              <w:spacing w:line="360" w:lineRule="exact"/>
              <w:jc w:val="left"/>
              <w:rPr>
                <w:rFonts w:hint="eastAsia" w:ascii="宋体" w:hAnsi="宋体" w:eastAsia="宋体" w:cs="宋体"/>
                <w:i w:val="0"/>
                <w:iCs w:val="0"/>
                <w:color w:val="000000"/>
                <w:sz w:val="21"/>
                <w:szCs w:val="24"/>
                <w:u w:val="none"/>
              </w:rPr>
            </w:pPr>
          </w:p>
        </w:tc>
      </w:tr>
      <w:tr w14:paraId="767C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FFFFFF"/>
            <w:vAlign w:val="center"/>
          </w:tcPr>
          <w:p w14:paraId="60C5ED9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1.9</w:t>
            </w:r>
          </w:p>
        </w:tc>
        <w:tc>
          <w:tcPr>
            <w:tcW w:w="0" w:type="auto"/>
            <w:shd w:val="clear" w:color="auto" w:fill="auto"/>
            <w:vAlign w:val="center"/>
          </w:tcPr>
          <w:p w14:paraId="3A71ADA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HDMI分屏延长器</w:t>
            </w:r>
          </w:p>
        </w:tc>
        <w:tc>
          <w:tcPr>
            <w:tcW w:w="0" w:type="auto"/>
            <w:shd w:val="clear" w:color="auto" w:fill="auto"/>
            <w:vAlign w:val="center"/>
          </w:tcPr>
          <w:p w14:paraId="4311394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auto"/>
            <w:vAlign w:val="center"/>
          </w:tcPr>
          <w:p w14:paraId="5F77D28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台</w:t>
            </w:r>
          </w:p>
        </w:tc>
        <w:tc>
          <w:tcPr>
            <w:tcW w:w="0" w:type="auto"/>
            <w:shd w:val="clear" w:color="auto" w:fill="auto"/>
            <w:vAlign w:val="top"/>
          </w:tcPr>
          <w:p w14:paraId="7BA6920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HDMI网线延长器</w:t>
            </w:r>
          </w:p>
        </w:tc>
      </w:tr>
      <w:tr w14:paraId="3D69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0" w:type="auto"/>
            <w:shd w:val="clear" w:color="auto" w:fill="FFFFFF"/>
            <w:vAlign w:val="center"/>
          </w:tcPr>
          <w:p w14:paraId="281F349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1.10</w:t>
            </w:r>
          </w:p>
        </w:tc>
        <w:tc>
          <w:tcPr>
            <w:tcW w:w="0" w:type="auto"/>
            <w:shd w:val="clear" w:color="auto" w:fill="FFFFFF"/>
            <w:vAlign w:val="center"/>
          </w:tcPr>
          <w:p w14:paraId="7B21D57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24口千兆交换机</w:t>
            </w:r>
          </w:p>
        </w:tc>
        <w:tc>
          <w:tcPr>
            <w:tcW w:w="0" w:type="auto"/>
            <w:shd w:val="clear" w:color="auto" w:fill="FFFFFF"/>
            <w:vAlign w:val="center"/>
          </w:tcPr>
          <w:p w14:paraId="548B2CC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68BDAC3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台</w:t>
            </w:r>
          </w:p>
        </w:tc>
        <w:tc>
          <w:tcPr>
            <w:tcW w:w="0" w:type="auto"/>
            <w:shd w:val="clear" w:color="auto" w:fill="FFFFFF"/>
            <w:vAlign w:val="top"/>
          </w:tcPr>
          <w:p w14:paraId="2250408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•支持QoS、带宽控制、风暴抑制；支持端口汇聚、端口镜像、端口监控；</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 xml:space="preserve">•支持Web网管，可上机架  </w:t>
            </w:r>
          </w:p>
        </w:tc>
      </w:tr>
      <w:tr w14:paraId="6545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0" w:type="auto"/>
            <w:shd w:val="clear" w:color="auto" w:fill="FFFFFF"/>
            <w:vAlign w:val="center"/>
          </w:tcPr>
          <w:p w14:paraId="28FD5F9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1.11</w:t>
            </w:r>
          </w:p>
        </w:tc>
        <w:tc>
          <w:tcPr>
            <w:tcW w:w="0" w:type="auto"/>
            <w:shd w:val="clear" w:color="auto" w:fill="FFFFFF"/>
            <w:vAlign w:val="center"/>
          </w:tcPr>
          <w:p w14:paraId="252B32A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8口千兆交换机</w:t>
            </w:r>
          </w:p>
        </w:tc>
        <w:tc>
          <w:tcPr>
            <w:tcW w:w="0" w:type="auto"/>
            <w:shd w:val="clear" w:color="auto" w:fill="FFFFFF"/>
            <w:vAlign w:val="center"/>
          </w:tcPr>
          <w:p w14:paraId="39C8D1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3</w:t>
            </w:r>
          </w:p>
        </w:tc>
        <w:tc>
          <w:tcPr>
            <w:tcW w:w="0" w:type="auto"/>
            <w:shd w:val="clear" w:color="auto" w:fill="FFFFFF"/>
            <w:vAlign w:val="center"/>
          </w:tcPr>
          <w:p w14:paraId="70E6411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台</w:t>
            </w:r>
          </w:p>
        </w:tc>
        <w:tc>
          <w:tcPr>
            <w:tcW w:w="0" w:type="auto"/>
            <w:shd w:val="clear" w:color="auto" w:fill="FFFFFF"/>
            <w:vAlign w:val="top"/>
          </w:tcPr>
          <w:p w14:paraId="6BC01CE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 xml:space="preserve">•网络标准 IEEE 802.3 10BASE-T；IEEE 802.3u 100BASE-TX；IEEE 802.3ab 1000BASE-T；IEEE 802.3x 流量控制；ANSI/IEEE 802.3 NWay 自适应；IEEE 802.1p </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 xml:space="preserve">•网络接口 8个10/100/1000Mbps RJ-45电口 </w:t>
            </w:r>
          </w:p>
        </w:tc>
      </w:tr>
      <w:tr w14:paraId="52CB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0" w:type="auto"/>
            <w:shd w:val="clear" w:color="auto" w:fill="FFFFFF"/>
            <w:vAlign w:val="center"/>
          </w:tcPr>
          <w:p w14:paraId="0B85E11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三</w:t>
            </w:r>
          </w:p>
        </w:tc>
        <w:tc>
          <w:tcPr>
            <w:tcW w:w="0" w:type="auto"/>
            <w:shd w:val="clear" w:color="auto" w:fill="FFFFFF"/>
            <w:vAlign w:val="center"/>
          </w:tcPr>
          <w:p w14:paraId="2D90732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物联网设备</w:t>
            </w:r>
          </w:p>
        </w:tc>
        <w:tc>
          <w:tcPr>
            <w:tcW w:w="0" w:type="auto"/>
            <w:shd w:val="clear" w:color="auto" w:fill="FFFFFF"/>
            <w:vAlign w:val="center"/>
          </w:tcPr>
          <w:p w14:paraId="36C55D93">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i w:val="0"/>
                <w:iCs w:val="0"/>
                <w:color w:val="000000"/>
                <w:sz w:val="21"/>
                <w:szCs w:val="24"/>
                <w:u w:val="none"/>
              </w:rPr>
            </w:pPr>
          </w:p>
        </w:tc>
        <w:tc>
          <w:tcPr>
            <w:tcW w:w="0" w:type="auto"/>
            <w:shd w:val="clear" w:color="auto" w:fill="FFFFFF"/>
            <w:vAlign w:val="center"/>
          </w:tcPr>
          <w:p w14:paraId="180F7DD6">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i w:val="0"/>
                <w:iCs w:val="0"/>
                <w:color w:val="000000"/>
                <w:sz w:val="21"/>
                <w:szCs w:val="24"/>
                <w:u w:val="none"/>
              </w:rPr>
            </w:pPr>
          </w:p>
        </w:tc>
        <w:tc>
          <w:tcPr>
            <w:tcW w:w="0" w:type="auto"/>
            <w:shd w:val="clear" w:color="auto" w:fill="FFFFFF"/>
            <w:vAlign w:val="top"/>
          </w:tcPr>
          <w:p w14:paraId="6F64E6E7">
            <w:pPr>
              <w:keepNext w:val="0"/>
              <w:keepLines w:val="0"/>
              <w:pageBreakBefore w:val="0"/>
              <w:widowControl/>
              <w:kinsoku w:val="0"/>
              <w:wordWrap/>
              <w:overflowPunct/>
              <w:topLinePunct w:val="0"/>
              <w:autoSpaceDE w:val="0"/>
              <w:autoSpaceDN w:val="0"/>
              <w:bidi w:val="0"/>
              <w:adjustRightInd w:val="0"/>
              <w:snapToGrid w:val="0"/>
              <w:spacing w:line="360" w:lineRule="exact"/>
              <w:jc w:val="left"/>
              <w:rPr>
                <w:rFonts w:hint="eastAsia" w:ascii="宋体" w:hAnsi="宋体" w:eastAsia="宋体" w:cs="宋体"/>
                <w:i w:val="0"/>
                <w:iCs w:val="0"/>
                <w:color w:val="000000"/>
                <w:sz w:val="21"/>
                <w:szCs w:val="24"/>
                <w:u w:val="none"/>
              </w:rPr>
            </w:pPr>
          </w:p>
        </w:tc>
      </w:tr>
      <w:tr w14:paraId="4EFE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0" w:type="auto"/>
            <w:shd w:val="clear" w:color="auto" w:fill="FFFFFF"/>
            <w:vAlign w:val="center"/>
          </w:tcPr>
          <w:p w14:paraId="6F59EEC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3.1</w:t>
            </w:r>
          </w:p>
        </w:tc>
        <w:tc>
          <w:tcPr>
            <w:tcW w:w="0" w:type="auto"/>
            <w:shd w:val="clear" w:color="auto" w:fill="FFFFFF"/>
            <w:vAlign w:val="center"/>
          </w:tcPr>
          <w:p w14:paraId="2BBA16C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智能温湿度感应器（含平台费）</w:t>
            </w:r>
          </w:p>
        </w:tc>
        <w:tc>
          <w:tcPr>
            <w:tcW w:w="0" w:type="auto"/>
            <w:shd w:val="clear" w:color="auto" w:fill="FFFFFF"/>
            <w:vAlign w:val="center"/>
          </w:tcPr>
          <w:p w14:paraId="7289412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2</w:t>
            </w:r>
          </w:p>
        </w:tc>
        <w:tc>
          <w:tcPr>
            <w:tcW w:w="0" w:type="auto"/>
            <w:shd w:val="clear" w:color="auto" w:fill="FFFFFF"/>
            <w:vAlign w:val="center"/>
          </w:tcPr>
          <w:p w14:paraId="1BB0A24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个</w:t>
            </w:r>
          </w:p>
        </w:tc>
        <w:tc>
          <w:tcPr>
            <w:tcW w:w="0" w:type="auto"/>
            <w:shd w:val="clear" w:color="auto" w:fill="FFFFFF"/>
            <w:vAlign w:val="top"/>
          </w:tcPr>
          <w:p w14:paraId="77EDC00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情景模式，跟其他产品智能联动</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实时报警</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可实时查看探测器状态</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输入电压：DC5V1A   电源适配器</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内置电池：3.7V 600mAH静态电流：≤25uA</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WIFI频段：2.4G</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工作温度：-20—80℃</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工作湿度：0%—100%RH（非凝结）探测精度：0.5℃；3%RH</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探测误差：±0.5℃；±3%RH</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内置智慧管理平台协议可与智慧管理平台无缝连接，跟智能联动，实时报警，智能感应某些场所的温湿度，例如冷藏空间，需要密切监控温湿度，防止食物腐坏，保证食品安全。</w:t>
            </w:r>
          </w:p>
        </w:tc>
      </w:tr>
      <w:tr w14:paraId="4539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5" w:hRule="atLeast"/>
        </w:trPr>
        <w:tc>
          <w:tcPr>
            <w:tcW w:w="0" w:type="auto"/>
            <w:shd w:val="clear" w:color="auto" w:fill="FFFFFF"/>
            <w:vAlign w:val="center"/>
          </w:tcPr>
          <w:p w14:paraId="61DB3A4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3.2</w:t>
            </w:r>
          </w:p>
        </w:tc>
        <w:tc>
          <w:tcPr>
            <w:tcW w:w="0" w:type="auto"/>
            <w:shd w:val="clear" w:color="auto" w:fill="auto"/>
            <w:vAlign w:val="center"/>
          </w:tcPr>
          <w:p w14:paraId="6FEA207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AI智慧广播对讲音柱</w:t>
            </w:r>
          </w:p>
        </w:tc>
        <w:tc>
          <w:tcPr>
            <w:tcW w:w="0" w:type="auto"/>
            <w:shd w:val="clear" w:color="auto" w:fill="FFFFFF"/>
            <w:vAlign w:val="center"/>
          </w:tcPr>
          <w:p w14:paraId="5274CC8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758B3AA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个</w:t>
            </w:r>
          </w:p>
        </w:tc>
        <w:tc>
          <w:tcPr>
            <w:tcW w:w="0" w:type="auto"/>
            <w:shd w:val="clear" w:color="auto" w:fill="FFFFFF"/>
            <w:vAlign w:val="top"/>
          </w:tcPr>
          <w:p w14:paraId="26DBE4D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处理器：高性能嵌入式SOC处理器</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操作系统：嵌入式LINUX操作系统</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额定功率：30W</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音频输出：内置扬声器+ 1×LINE OUT</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压缩标准：G.711、G.713、GSM、PCM</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压缩码率：32KBPS/8KBPS/64KBPS</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音质：专业回声消除和噪音抑制</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以太网：10M/100M自适应</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网络协议：TCP/IP 、DNP</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网口：10/100M自适应以太网口</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联动接口：3个</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电源：DC 12V   2A</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功耗：≤30W</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外观尺寸：380×110×100mm</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 xml:space="preserve">工作温度：﹣30°C~70°C   </w:t>
            </w:r>
          </w:p>
        </w:tc>
      </w:tr>
      <w:tr w14:paraId="1251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0" w:type="auto"/>
            <w:shd w:val="clear" w:color="auto" w:fill="FFFFFF"/>
            <w:vAlign w:val="center"/>
          </w:tcPr>
          <w:p w14:paraId="48F569E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3.3</w:t>
            </w:r>
          </w:p>
        </w:tc>
        <w:tc>
          <w:tcPr>
            <w:tcW w:w="0" w:type="auto"/>
            <w:shd w:val="clear" w:color="auto" w:fill="FFFFFF"/>
            <w:vAlign w:val="center"/>
          </w:tcPr>
          <w:p w14:paraId="2847AF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智能烟雾报警器（含平台费）</w:t>
            </w:r>
          </w:p>
        </w:tc>
        <w:tc>
          <w:tcPr>
            <w:tcW w:w="0" w:type="auto"/>
            <w:shd w:val="clear" w:color="auto" w:fill="FFFFFF"/>
            <w:vAlign w:val="center"/>
          </w:tcPr>
          <w:p w14:paraId="76A999E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151C8B2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个</w:t>
            </w:r>
          </w:p>
        </w:tc>
        <w:tc>
          <w:tcPr>
            <w:tcW w:w="0" w:type="auto"/>
            <w:shd w:val="clear" w:color="auto" w:fill="FFFFFF"/>
            <w:vAlign w:val="top"/>
          </w:tcPr>
          <w:p w14:paraId="0327350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输入电压：AC85—220V</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功    率：&lt;1W    WIFI频段：2.4G</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无线技术：WIFI 802.11 B/G/N</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上电预热时间：40s闪烁蓝灯/次</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使用环境温度: -10°C— +50°C</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使用环境湿度: 0%—99% (无凝结现象)</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燃气预警值: 1500PPM</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燃气报警数值: 3500PPM</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一氧化碳预警值: 30PPM</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一氧化碳报警数值: 180PPM</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APP数据检测时间: 10S/1次 报警音量: 85db</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红色指示灯：报警状态</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蓝色指示灯：开机预热状态、正常待机</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紫色指示灯：快闪（SMART配网），慢闪（AP配网）                                                                                                      内置智慧管理平台协议可与智慧管理平台无缝连接，智能监测天然气、煤气等可燃气体泄露，一旦浓度过大会立马预警进行危机处理，防止火灾发生</w:t>
            </w:r>
          </w:p>
        </w:tc>
      </w:tr>
      <w:tr w14:paraId="767E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80" w:hRule="atLeast"/>
        </w:trPr>
        <w:tc>
          <w:tcPr>
            <w:tcW w:w="0" w:type="auto"/>
            <w:shd w:val="clear" w:color="auto" w:fill="FFFFFF"/>
            <w:vAlign w:val="center"/>
          </w:tcPr>
          <w:p w14:paraId="2D4D105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3.4</w:t>
            </w:r>
          </w:p>
        </w:tc>
        <w:tc>
          <w:tcPr>
            <w:tcW w:w="0" w:type="auto"/>
            <w:shd w:val="clear" w:color="auto" w:fill="FFFFFF"/>
            <w:vAlign w:val="center"/>
          </w:tcPr>
          <w:p w14:paraId="4BE9ED7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高拍仪（含平台费）</w:t>
            </w:r>
          </w:p>
        </w:tc>
        <w:tc>
          <w:tcPr>
            <w:tcW w:w="0" w:type="auto"/>
            <w:shd w:val="clear" w:color="auto" w:fill="FFFFFF"/>
            <w:vAlign w:val="center"/>
          </w:tcPr>
          <w:p w14:paraId="33D53AC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689BE4A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台</w:t>
            </w:r>
          </w:p>
        </w:tc>
        <w:tc>
          <w:tcPr>
            <w:tcW w:w="0" w:type="auto"/>
            <w:shd w:val="clear" w:color="auto" w:fill="FFFFFF"/>
            <w:vAlign w:val="top"/>
          </w:tcPr>
          <w:p w14:paraId="588F91C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default" w:ascii="宋体" w:hAnsi="宋体" w:eastAsia="宋体" w:cs="宋体"/>
                <w:i w:val="0"/>
                <w:iCs w:val="0"/>
                <w:color w:val="000000"/>
                <w:sz w:val="21"/>
                <w:szCs w:val="24"/>
                <w:u w:val="none"/>
                <w:lang w:val="en-US"/>
              </w:rPr>
            </w:pPr>
            <w:r>
              <w:rPr>
                <w:rFonts w:hint="eastAsia" w:ascii="宋体" w:hAnsi="宋体" w:eastAsia="宋体" w:cs="宋体"/>
                <w:i w:val="0"/>
                <w:iCs w:val="0"/>
                <w:color w:val="000000"/>
                <w:kern w:val="0"/>
                <w:sz w:val="21"/>
                <w:szCs w:val="24"/>
                <w:u w:val="none"/>
                <w:lang w:val="en-US" w:eastAsia="zh-CN" w:bidi="ar"/>
              </w:rPr>
              <w:t xml:space="preserve">.台面尺寸20*30CM  </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 xml:space="preserve">.接口USB2.0                                  </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 xml:space="preserve">.扫描原件CMOS传感器 .结构方式金属铝杆直立折叠结构                   .摄像头像素 1000万AF                          </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 xml:space="preserve">.驱动程序无驱USB视频设备对接                    </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 xml:space="preserve">.平台，与平台无缝对接 轻松应对文件扫描。         </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 xml:space="preserve">.索票索证票据同步平台。                        </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.支持高清扫描，一键导出</w:t>
            </w:r>
          </w:p>
        </w:tc>
      </w:tr>
      <w:tr w14:paraId="2476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0" w:hRule="atLeast"/>
        </w:trPr>
        <w:tc>
          <w:tcPr>
            <w:tcW w:w="0" w:type="auto"/>
            <w:shd w:val="clear" w:color="auto" w:fill="FFFFFF"/>
            <w:vAlign w:val="center"/>
          </w:tcPr>
          <w:p w14:paraId="4D09FF9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3.5</w:t>
            </w:r>
          </w:p>
        </w:tc>
        <w:tc>
          <w:tcPr>
            <w:tcW w:w="0" w:type="auto"/>
            <w:shd w:val="clear" w:color="auto" w:fill="FFFFFF"/>
            <w:vAlign w:val="center"/>
          </w:tcPr>
          <w:p w14:paraId="26E963B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智能留样称（含平台费）</w:t>
            </w:r>
          </w:p>
        </w:tc>
        <w:tc>
          <w:tcPr>
            <w:tcW w:w="0" w:type="auto"/>
            <w:shd w:val="clear" w:color="auto" w:fill="FFFFFF"/>
            <w:vAlign w:val="center"/>
          </w:tcPr>
          <w:p w14:paraId="655E8BB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142F799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台</w:t>
            </w:r>
          </w:p>
        </w:tc>
        <w:tc>
          <w:tcPr>
            <w:tcW w:w="0" w:type="auto"/>
            <w:shd w:val="clear" w:color="auto" w:fill="auto"/>
            <w:vAlign w:val="top"/>
          </w:tcPr>
          <w:p w14:paraId="02A940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处理器：RM3288</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存储：2+8G</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操作系统：安卓系统</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液晶屏：７寸工业电容式触摸屏</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通讯：无线wifi模块，网口，</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工业相机一台，像素200万</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规格：180 mm *180mm</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最大量程:5000g</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显示分度值：1g</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报警功能：每个留样菜品不能低于125g，如果低于125g会上传报警信息</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电子秤具有菜谱预录入编辑的功能；</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终端这边自己定义一下菜谱，操作的时候，选择对应的菜谱，然后放置东西称重，通过接口把菜品的名称、重量、称重时间、图片这些数据传递给后台形成记录</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电子秤在称重菜品时，支持抓拍图片并上传至后台，可以根据菜谱上传对应的图片信息；</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可以上传物品的重量，称重时间日期，菜名等。</w:t>
            </w:r>
          </w:p>
        </w:tc>
      </w:tr>
      <w:tr w14:paraId="6791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0" w:hRule="atLeast"/>
        </w:trPr>
        <w:tc>
          <w:tcPr>
            <w:tcW w:w="0" w:type="auto"/>
            <w:shd w:val="clear" w:color="auto" w:fill="FFFFFF"/>
            <w:vAlign w:val="center"/>
          </w:tcPr>
          <w:p w14:paraId="563B42E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3.6</w:t>
            </w:r>
          </w:p>
        </w:tc>
        <w:tc>
          <w:tcPr>
            <w:tcW w:w="0" w:type="auto"/>
            <w:shd w:val="clear" w:color="auto" w:fill="FFFFFF"/>
            <w:vAlign w:val="center"/>
          </w:tcPr>
          <w:p w14:paraId="62B1445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可燃气体探测仪</w:t>
            </w:r>
          </w:p>
        </w:tc>
        <w:tc>
          <w:tcPr>
            <w:tcW w:w="0" w:type="auto"/>
            <w:shd w:val="clear" w:color="auto" w:fill="FFFFFF"/>
            <w:vAlign w:val="center"/>
          </w:tcPr>
          <w:p w14:paraId="299E203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2021D59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台</w:t>
            </w:r>
          </w:p>
        </w:tc>
        <w:tc>
          <w:tcPr>
            <w:tcW w:w="0" w:type="auto"/>
            <w:shd w:val="clear" w:color="auto" w:fill="FFFFFF"/>
            <w:vAlign w:val="top"/>
          </w:tcPr>
          <w:p w14:paraId="01F1C4F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APP实时控制</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输入电压：AC85—220V</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 xml:space="preserve">功    率：&lt;1W   </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WIFI频段：2.4G</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无线技术：WIFI 802.11 B/G/N</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上电预热时间：40s闪烁蓝灯/次                                                                                                                      使用环境温度: -10°C— +50°C                                                                                                                      使用环境湿度: 0%—99% (无凝结现象)</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燃气预警值: 1500PPM</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燃气报警数值: 3500PPM</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一氧化碳预警值: 30PPM</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一氧化碳报警数值: 180PPM</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APP数据检测时间: 10S/1次</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报警音量: 85db</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红色指示灯：报警状态</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蓝色指示灯：开机预热状态、正常待机</w:t>
            </w:r>
            <w:r>
              <w:rPr>
                <w:rFonts w:hint="eastAsia" w:ascii="宋体" w:hAnsi="宋体" w:eastAsia="宋体" w:cs="宋体"/>
                <w:i w:val="0"/>
                <w:iCs w:val="0"/>
                <w:color w:val="000000"/>
                <w:kern w:val="0"/>
                <w:sz w:val="21"/>
                <w:szCs w:val="24"/>
                <w:u w:val="none"/>
                <w:lang w:val="en-US" w:eastAsia="zh-CN" w:bidi="ar"/>
              </w:rPr>
              <w:br w:type="textWrapping"/>
            </w:r>
            <w:r>
              <w:rPr>
                <w:rFonts w:hint="eastAsia" w:ascii="宋体" w:hAnsi="宋体" w:eastAsia="宋体" w:cs="宋体"/>
                <w:i w:val="0"/>
                <w:iCs w:val="0"/>
                <w:color w:val="000000"/>
                <w:kern w:val="0"/>
                <w:sz w:val="21"/>
                <w:szCs w:val="24"/>
                <w:u w:val="none"/>
                <w:lang w:val="en-US" w:eastAsia="zh-CN" w:bidi="ar"/>
              </w:rPr>
              <w:t>紫色指示灯：快闪（SMART配网），慢闪（AP配网）                                                                                                     内置智慧管理平台协议可与智慧管理平台无缝连接，智能监测天然气、煤气等可燃气体泄露，一旦浓度过大会立马预警进行危机处理，防止火灾发生</w:t>
            </w:r>
          </w:p>
        </w:tc>
      </w:tr>
      <w:tr w14:paraId="0832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shd w:val="clear" w:color="auto" w:fill="FFFFFF"/>
            <w:vAlign w:val="center"/>
          </w:tcPr>
          <w:p w14:paraId="4D871CD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3.7</w:t>
            </w:r>
          </w:p>
        </w:tc>
        <w:tc>
          <w:tcPr>
            <w:tcW w:w="0" w:type="auto"/>
            <w:shd w:val="clear" w:color="auto" w:fill="FFFFFF"/>
            <w:vAlign w:val="center"/>
          </w:tcPr>
          <w:p w14:paraId="5346F31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明厨亮灶网线</w:t>
            </w:r>
          </w:p>
        </w:tc>
        <w:tc>
          <w:tcPr>
            <w:tcW w:w="0" w:type="auto"/>
            <w:shd w:val="clear" w:color="auto" w:fill="FFFFFF"/>
            <w:vAlign w:val="center"/>
          </w:tcPr>
          <w:p w14:paraId="1EEF135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372700B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年</w:t>
            </w:r>
          </w:p>
        </w:tc>
        <w:tc>
          <w:tcPr>
            <w:tcW w:w="0" w:type="auto"/>
            <w:shd w:val="clear" w:color="auto" w:fill="FFFFFF"/>
            <w:vAlign w:val="top"/>
          </w:tcPr>
          <w:p w14:paraId="0AE6A23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200M速率 互联网线路</w:t>
            </w:r>
          </w:p>
        </w:tc>
      </w:tr>
      <w:tr w14:paraId="136B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0" w:type="auto"/>
            <w:shd w:val="clear" w:color="auto" w:fill="FFFFFF"/>
            <w:vAlign w:val="center"/>
          </w:tcPr>
          <w:p w14:paraId="0340774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3.8</w:t>
            </w:r>
          </w:p>
        </w:tc>
        <w:tc>
          <w:tcPr>
            <w:tcW w:w="0" w:type="auto"/>
            <w:shd w:val="clear" w:color="auto" w:fill="FFFFFF"/>
            <w:vAlign w:val="center"/>
          </w:tcPr>
          <w:p w14:paraId="05F0969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施工费及辅料</w:t>
            </w:r>
          </w:p>
        </w:tc>
        <w:tc>
          <w:tcPr>
            <w:tcW w:w="0" w:type="auto"/>
            <w:shd w:val="clear" w:color="auto" w:fill="FFFFFF"/>
            <w:vAlign w:val="center"/>
          </w:tcPr>
          <w:p w14:paraId="06261D2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1</w:t>
            </w:r>
          </w:p>
        </w:tc>
        <w:tc>
          <w:tcPr>
            <w:tcW w:w="0" w:type="auto"/>
            <w:shd w:val="clear" w:color="auto" w:fill="FFFFFF"/>
            <w:vAlign w:val="center"/>
          </w:tcPr>
          <w:p w14:paraId="0B8E69E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套</w:t>
            </w:r>
          </w:p>
        </w:tc>
        <w:tc>
          <w:tcPr>
            <w:tcW w:w="0" w:type="auto"/>
            <w:shd w:val="clear" w:color="auto" w:fill="auto"/>
            <w:noWrap/>
            <w:vAlign w:val="top"/>
          </w:tcPr>
          <w:p w14:paraId="08DBDED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top"/>
              <w:rPr>
                <w:rFonts w:hint="eastAsia" w:ascii="宋体" w:hAnsi="宋体" w:eastAsia="宋体" w:cs="宋体"/>
                <w:i w:val="0"/>
                <w:iCs w:val="0"/>
                <w:color w:val="000000"/>
                <w:sz w:val="21"/>
                <w:szCs w:val="24"/>
                <w:u w:val="none"/>
              </w:rPr>
            </w:pPr>
            <w:r>
              <w:rPr>
                <w:rFonts w:hint="eastAsia" w:ascii="宋体" w:hAnsi="宋体" w:eastAsia="宋体" w:cs="宋体"/>
                <w:i w:val="0"/>
                <w:iCs w:val="0"/>
                <w:color w:val="000000"/>
                <w:kern w:val="0"/>
                <w:sz w:val="21"/>
                <w:szCs w:val="24"/>
                <w:u w:val="none"/>
                <w:lang w:val="en-US" w:eastAsia="zh-CN" w:bidi="ar"/>
              </w:rPr>
              <w:t>施工费及辅料</w:t>
            </w:r>
          </w:p>
        </w:tc>
      </w:tr>
    </w:tbl>
    <w:p w14:paraId="575C21BF">
      <w:pPr>
        <w:rPr>
          <w:rFonts w:hint="eastAsia" w:asciiTheme="minorEastAsia" w:hAnsiTheme="minorEastAsia" w:eastAsiaTheme="minorEastAsia" w:cstheme="minorEastAsia"/>
          <w:b/>
          <w:bCs/>
          <w:spacing w:val="18"/>
          <w:sz w:val="24"/>
          <w:szCs w:val="24"/>
          <w:lang w:val="en-US" w:eastAsia="zh-CN"/>
        </w:rPr>
      </w:pPr>
      <w:r>
        <w:rPr>
          <w:rFonts w:hint="eastAsia" w:asciiTheme="minorEastAsia" w:hAnsiTheme="minorEastAsia" w:eastAsiaTheme="minorEastAsia" w:cstheme="minorEastAsia"/>
          <w:b/>
          <w:bCs/>
          <w:spacing w:val="18"/>
          <w:sz w:val="24"/>
          <w:szCs w:val="24"/>
          <w:lang w:val="en-US" w:eastAsia="zh-CN"/>
        </w:rPr>
        <w:t>二标段设备采购清单：</w:t>
      </w:r>
    </w:p>
    <w:tbl>
      <w:tblPr>
        <w:tblStyle w:val="2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9"/>
        <w:gridCol w:w="1875"/>
        <w:gridCol w:w="1613"/>
        <w:gridCol w:w="567"/>
        <w:gridCol w:w="567"/>
        <w:gridCol w:w="2661"/>
        <w:gridCol w:w="989"/>
      </w:tblGrid>
      <w:tr w14:paraId="47BF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7DDB">
            <w:pPr>
              <w:keepNext w:val="0"/>
              <w:keepLines w:val="0"/>
              <w:widowControl/>
              <w:suppressLineNumbers w:val="0"/>
              <w:jc w:val="center"/>
              <w:textAlignment w:val="center"/>
              <w:rPr>
                <w:rFonts w:hint="eastAsia" w:ascii="楷体" w:hAnsi="楷体" w:eastAsia="宋体" w:cs="楷体"/>
                <w:b/>
                <w:bCs/>
                <w:i w:val="0"/>
                <w:iCs w:val="0"/>
                <w:color w:val="000000"/>
                <w:kern w:val="0"/>
                <w:sz w:val="21"/>
                <w:szCs w:val="28"/>
                <w:u w:val="none"/>
                <w:lang w:val="en-US" w:eastAsia="zh-CN" w:bidi="ar"/>
              </w:rPr>
            </w:pPr>
            <w:r>
              <w:rPr>
                <w:rFonts w:hint="eastAsia" w:ascii="楷体" w:hAnsi="楷体" w:eastAsia="宋体" w:cs="楷体"/>
                <w:b/>
                <w:bCs/>
                <w:i w:val="0"/>
                <w:iCs w:val="0"/>
                <w:color w:val="000000"/>
                <w:kern w:val="0"/>
                <w:sz w:val="21"/>
                <w:szCs w:val="28"/>
                <w:u w:val="none"/>
                <w:lang w:val="en-US" w:eastAsia="zh-CN" w:bidi="ar"/>
              </w:rPr>
              <w:t>古城乡中心小学餐厅及后厨设备清单</w:t>
            </w:r>
          </w:p>
        </w:tc>
      </w:tr>
      <w:tr w14:paraId="6EB8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ED93">
            <w:pPr>
              <w:keepNext w:val="0"/>
              <w:keepLines w:val="0"/>
              <w:widowControl/>
              <w:suppressLineNumbers w:val="0"/>
              <w:jc w:val="center"/>
              <w:textAlignment w:val="center"/>
              <w:rPr>
                <w:rFonts w:hint="eastAsia" w:ascii="楷体" w:hAnsi="楷体" w:eastAsia="宋体" w:cs="楷体"/>
                <w:b/>
                <w:bCs/>
                <w:i w:val="0"/>
                <w:iCs w:val="0"/>
                <w:color w:val="000000"/>
                <w:sz w:val="21"/>
                <w:szCs w:val="28"/>
                <w:u w:val="none"/>
              </w:rPr>
            </w:pPr>
            <w:r>
              <w:rPr>
                <w:rFonts w:hint="eastAsia" w:ascii="楷体" w:hAnsi="楷体" w:eastAsia="宋体" w:cs="楷体"/>
                <w:b/>
                <w:bCs/>
                <w:i w:val="0"/>
                <w:iCs w:val="0"/>
                <w:color w:val="000000"/>
                <w:kern w:val="0"/>
                <w:sz w:val="21"/>
                <w:szCs w:val="28"/>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E918">
            <w:pPr>
              <w:keepNext w:val="0"/>
              <w:keepLines w:val="0"/>
              <w:widowControl/>
              <w:suppressLineNumbers w:val="0"/>
              <w:jc w:val="center"/>
              <w:textAlignment w:val="center"/>
              <w:rPr>
                <w:rFonts w:hint="eastAsia" w:ascii="楷体" w:hAnsi="楷体" w:eastAsia="宋体" w:cs="楷体"/>
                <w:b/>
                <w:bCs/>
                <w:i w:val="0"/>
                <w:iCs w:val="0"/>
                <w:color w:val="000000"/>
                <w:sz w:val="21"/>
                <w:szCs w:val="28"/>
                <w:u w:val="none"/>
              </w:rPr>
            </w:pPr>
            <w:r>
              <w:rPr>
                <w:rFonts w:hint="eastAsia" w:ascii="楷体" w:hAnsi="楷体" w:eastAsia="宋体" w:cs="楷体"/>
                <w:b/>
                <w:bCs/>
                <w:i w:val="0"/>
                <w:iCs w:val="0"/>
                <w:color w:val="000000"/>
                <w:kern w:val="0"/>
                <w:sz w:val="21"/>
                <w:szCs w:val="28"/>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7302">
            <w:pPr>
              <w:keepNext w:val="0"/>
              <w:keepLines w:val="0"/>
              <w:widowControl/>
              <w:suppressLineNumbers w:val="0"/>
              <w:jc w:val="center"/>
              <w:textAlignment w:val="center"/>
              <w:rPr>
                <w:rFonts w:hint="eastAsia" w:ascii="楷体" w:hAnsi="楷体" w:eastAsia="宋体" w:cs="楷体"/>
                <w:b/>
                <w:bCs/>
                <w:i w:val="0"/>
                <w:iCs w:val="0"/>
                <w:color w:val="000000"/>
                <w:sz w:val="21"/>
                <w:szCs w:val="28"/>
                <w:u w:val="none"/>
              </w:rPr>
            </w:pPr>
            <w:r>
              <w:rPr>
                <w:rFonts w:hint="eastAsia" w:ascii="楷体" w:hAnsi="楷体" w:eastAsia="宋体" w:cs="楷体"/>
                <w:b/>
                <w:bCs/>
                <w:i w:val="0"/>
                <w:iCs w:val="0"/>
                <w:color w:val="000000"/>
                <w:kern w:val="0"/>
                <w:sz w:val="21"/>
                <w:szCs w:val="28"/>
                <w:u w:val="none"/>
                <w:lang w:val="en-US" w:eastAsia="zh-CN" w:bidi="ar"/>
              </w:rPr>
              <w:t>设备规格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2361">
            <w:pPr>
              <w:keepNext w:val="0"/>
              <w:keepLines w:val="0"/>
              <w:widowControl/>
              <w:suppressLineNumbers w:val="0"/>
              <w:jc w:val="center"/>
              <w:textAlignment w:val="center"/>
              <w:rPr>
                <w:rFonts w:hint="eastAsia" w:ascii="楷体" w:hAnsi="楷体" w:eastAsia="宋体" w:cs="楷体"/>
                <w:b/>
                <w:bCs/>
                <w:i w:val="0"/>
                <w:iCs w:val="0"/>
                <w:color w:val="000000"/>
                <w:sz w:val="21"/>
                <w:szCs w:val="28"/>
                <w:u w:val="none"/>
              </w:rPr>
            </w:pPr>
            <w:r>
              <w:rPr>
                <w:rFonts w:hint="eastAsia" w:ascii="楷体" w:hAnsi="楷体" w:eastAsia="宋体" w:cs="楷体"/>
                <w:b/>
                <w:bCs/>
                <w:i w:val="0"/>
                <w:iCs w:val="0"/>
                <w:color w:val="000000"/>
                <w:kern w:val="0"/>
                <w:sz w:val="21"/>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C81A">
            <w:pPr>
              <w:keepNext w:val="0"/>
              <w:keepLines w:val="0"/>
              <w:widowControl/>
              <w:suppressLineNumbers w:val="0"/>
              <w:jc w:val="center"/>
              <w:textAlignment w:val="center"/>
              <w:rPr>
                <w:rFonts w:hint="eastAsia" w:ascii="楷体" w:hAnsi="楷体" w:eastAsia="宋体" w:cs="楷体"/>
                <w:b/>
                <w:bCs/>
                <w:i w:val="0"/>
                <w:iCs w:val="0"/>
                <w:color w:val="000000"/>
                <w:sz w:val="21"/>
                <w:szCs w:val="28"/>
                <w:u w:val="none"/>
              </w:rPr>
            </w:pPr>
            <w:r>
              <w:rPr>
                <w:rFonts w:hint="eastAsia" w:ascii="楷体" w:hAnsi="楷体" w:eastAsia="宋体" w:cs="楷体"/>
                <w:b/>
                <w:bCs/>
                <w:i w:val="0"/>
                <w:iCs w:val="0"/>
                <w:color w:val="000000"/>
                <w:kern w:val="0"/>
                <w:sz w:val="21"/>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8A0E">
            <w:pPr>
              <w:keepNext w:val="0"/>
              <w:keepLines w:val="0"/>
              <w:widowControl/>
              <w:suppressLineNumbers w:val="0"/>
              <w:jc w:val="center"/>
              <w:textAlignment w:val="center"/>
              <w:rPr>
                <w:rFonts w:hint="eastAsia" w:ascii="楷体" w:hAnsi="楷体" w:eastAsia="宋体" w:cs="楷体"/>
                <w:b/>
                <w:bCs/>
                <w:i w:val="0"/>
                <w:iCs w:val="0"/>
                <w:color w:val="000000"/>
                <w:sz w:val="21"/>
                <w:szCs w:val="28"/>
                <w:u w:val="none"/>
              </w:rPr>
            </w:pPr>
            <w:r>
              <w:rPr>
                <w:rFonts w:hint="eastAsia" w:ascii="楷体" w:hAnsi="楷体" w:eastAsia="宋体" w:cs="楷体"/>
                <w:b/>
                <w:bCs/>
                <w:i w:val="0"/>
                <w:iCs w:val="0"/>
                <w:color w:val="000000"/>
                <w:kern w:val="0"/>
                <w:sz w:val="21"/>
                <w:szCs w:val="28"/>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FFD9">
            <w:pPr>
              <w:keepNext w:val="0"/>
              <w:keepLines w:val="0"/>
              <w:widowControl/>
              <w:suppressLineNumbers w:val="0"/>
              <w:jc w:val="center"/>
              <w:textAlignment w:val="center"/>
              <w:rPr>
                <w:rFonts w:hint="eastAsia" w:ascii="楷体" w:hAnsi="楷体" w:eastAsia="宋体" w:cs="楷体"/>
                <w:b/>
                <w:bCs/>
                <w:i w:val="0"/>
                <w:iCs w:val="0"/>
                <w:color w:val="000000"/>
                <w:sz w:val="21"/>
                <w:szCs w:val="28"/>
                <w:u w:val="none"/>
              </w:rPr>
            </w:pPr>
            <w:r>
              <w:rPr>
                <w:rFonts w:hint="eastAsia" w:ascii="楷体" w:hAnsi="楷体" w:eastAsia="宋体" w:cs="楷体"/>
                <w:b/>
                <w:bCs/>
                <w:i w:val="0"/>
                <w:iCs w:val="0"/>
                <w:color w:val="000000"/>
                <w:kern w:val="0"/>
                <w:sz w:val="21"/>
                <w:szCs w:val="28"/>
                <w:u w:val="none"/>
                <w:lang w:val="en-US" w:eastAsia="zh-CN" w:bidi="ar"/>
              </w:rPr>
              <w:t>参考图片</w:t>
            </w:r>
          </w:p>
        </w:tc>
      </w:tr>
      <w:tr w14:paraId="66AB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66CC4C">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副食库</w:t>
            </w:r>
          </w:p>
        </w:tc>
        <w:tc>
          <w:tcPr>
            <w:tcW w:w="0" w:type="auto"/>
            <w:tcBorders>
              <w:top w:val="single" w:color="000000" w:sz="4" w:space="0"/>
              <w:left w:val="nil"/>
              <w:bottom w:val="single" w:color="000000" w:sz="4" w:space="0"/>
              <w:right w:val="nil"/>
            </w:tcBorders>
            <w:shd w:val="clear" w:color="auto" w:fill="auto"/>
            <w:noWrap/>
            <w:vAlign w:val="center"/>
          </w:tcPr>
          <w:p w14:paraId="649F98AC">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49DA1ED3">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3D4309AE">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5595C0B4">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6A9D3CC8">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0FA0E0">
            <w:pPr>
              <w:rPr>
                <w:rFonts w:hint="eastAsia" w:ascii="楷体" w:hAnsi="楷体" w:eastAsia="宋体" w:cs="楷体"/>
                <w:i w:val="0"/>
                <w:iCs w:val="0"/>
                <w:color w:val="000000"/>
                <w:sz w:val="21"/>
                <w:szCs w:val="28"/>
                <w:u w:val="none"/>
              </w:rPr>
            </w:pPr>
          </w:p>
        </w:tc>
      </w:tr>
      <w:tr w14:paraId="2FB6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A76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DDFF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四层货架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6C2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1500*500*1500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D49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29C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CE22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层板采用SUS201 1.0㎜厚不锈钢加工制作,且层板下置不锈钢码仔加固，地脚配置可调节子弹脚。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B1D2B">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33375" cy="409575"/>
                  <wp:effectExtent l="0" t="0" r="9525" b="9525"/>
                  <wp:docPr id="4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descr="IMG_256"/>
                          <pic:cNvPicPr>
                            <a:picLocks noChangeAspect="1"/>
                          </pic:cNvPicPr>
                        </pic:nvPicPr>
                        <pic:blipFill>
                          <a:blip r:embed="rId13"/>
                          <a:stretch>
                            <a:fillRect/>
                          </a:stretch>
                        </pic:blipFill>
                        <pic:spPr>
                          <a:xfrm>
                            <a:off x="0" y="0"/>
                            <a:ext cx="333375" cy="409575"/>
                          </a:xfrm>
                          <a:prstGeom prst="rect">
                            <a:avLst/>
                          </a:prstGeom>
                          <a:noFill/>
                          <a:ln w="9525">
                            <a:noFill/>
                          </a:ln>
                        </pic:spPr>
                      </pic:pic>
                    </a:graphicData>
                  </a:graphic>
                </wp:inline>
              </w:drawing>
            </w:r>
          </w:p>
        </w:tc>
      </w:tr>
      <w:tr w14:paraId="1FD5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75E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2949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四门双温冰柜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C3F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1200*690*1970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BC9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FD7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01134">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 xml:space="preserve">  采用最新工艺，自动磁性回归门,大容量储藏空间，可拆卸超厚门封条，有效锁住冷气，高压发泡制作，采用高效压缩机,制冷更快、更强。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CF738">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42900" cy="447675"/>
                  <wp:effectExtent l="0" t="0" r="0" b="9525"/>
                  <wp:docPr id="5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descr="IMG_257"/>
                          <pic:cNvPicPr>
                            <a:picLocks noChangeAspect="1"/>
                          </pic:cNvPicPr>
                        </pic:nvPicPr>
                        <pic:blipFill>
                          <a:blip r:embed="rId14"/>
                          <a:stretch>
                            <a:fillRect/>
                          </a:stretch>
                        </pic:blipFill>
                        <pic:spPr>
                          <a:xfrm>
                            <a:off x="0" y="0"/>
                            <a:ext cx="342900" cy="447675"/>
                          </a:xfrm>
                          <a:prstGeom prst="rect">
                            <a:avLst/>
                          </a:prstGeom>
                          <a:noFill/>
                          <a:ln w="9525">
                            <a:noFill/>
                          </a:ln>
                        </pic:spPr>
                      </pic:pic>
                    </a:graphicData>
                  </a:graphic>
                </wp:inline>
              </w:drawing>
            </w:r>
          </w:p>
        </w:tc>
      </w:tr>
      <w:tr w14:paraId="61CA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6AF86A">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主食库</w:t>
            </w:r>
          </w:p>
        </w:tc>
        <w:tc>
          <w:tcPr>
            <w:tcW w:w="0" w:type="auto"/>
            <w:tcBorders>
              <w:top w:val="single" w:color="000000" w:sz="4" w:space="0"/>
              <w:left w:val="nil"/>
              <w:bottom w:val="single" w:color="000000" w:sz="4" w:space="0"/>
              <w:right w:val="nil"/>
            </w:tcBorders>
            <w:shd w:val="clear" w:color="auto" w:fill="auto"/>
            <w:noWrap/>
            <w:vAlign w:val="center"/>
          </w:tcPr>
          <w:p w14:paraId="29B9F3CD">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77E1FC78">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2E1BCB28">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08ED4E08">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22F3C445">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E739C3">
            <w:pPr>
              <w:rPr>
                <w:rFonts w:hint="eastAsia" w:ascii="楷体" w:hAnsi="楷体" w:eastAsia="宋体" w:cs="楷体"/>
                <w:i w:val="0"/>
                <w:iCs w:val="0"/>
                <w:color w:val="000000"/>
                <w:sz w:val="21"/>
                <w:szCs w:val="28"/>
                <w:u w:val="none"/>
              </w:rPr>
            </w:pPr>
          </w:p>
        </w:tc>
      </w:tr>
      <w:tr w14:paraId="244E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4C6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7C13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米面架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014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1100*600*250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7B8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E5E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4A47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采用SUS201 1.0㎜厚不锈钢方管加工制作,地脚配置可调节子弹脚。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C1D13">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76250" cy="171450"/>
                  <wp:effectExtent l="0" t="0" r="0" b="0"/>
                  <wp:docPr id="5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 descr="IMG_258"/>
                          <pic:cNvPicPr>
                            <a:picLocks noChangeAspect="1"/>
                          </pic:cNvPicPr>
                        </pic:nvPicPr>
                        <pic:blipFill>
                          <a:blip r:embed="rId15"/>
                          <a:stretch>
                            <a:fillRect/>
                          </a:stretch>
                        </pic:blipFill>
                        <pic:spPr>
                          <a:xfrm>
                            <a:off x="0" y="0"/>
                            <a:ext cx="476250" cy="171450"/>
                          </a:xfrm>
                          <a:prstGeom prst="rect">
                            <a:avLst/>
                          </a:prstGeom>
                          <a:noFill/>
                          <a:ln w="9525">
                            <a:noFill/>
                          </a:ln>
                        </pic:spPr>
                      </pic:pic>
                    </a:graphicData>
                  </a:graphic>
                </wp:inline>
              </w:drawing>
            </w:r>
          </w:p>
        </w:tc>
      </w:tr>
      <w:tr w14:paraId="1B83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39999E">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粗加工间</w:t>
            </w:r>
          </w:p>
        </w:tc>
        <w:tc>
          <w:tcPr>
            <w:tcW w:w="0" w:type="auto"/>
            <w:tcBorders>
              <w:top w:val="single" w:color="000000" w:sz="4" w:space="0"/>
              <w:left w:val="nil"/>
              <w:bottom w:val="single" w:color="000000" w:sz="4" w:space="0"/>
              <w:right w:val="nil"/>
            </w:tcBorders>
            <w:shd w:val="clear" w:color="auto" w:fill="auto"/>
            <w:noWrap/>
            <w:vAlign w:val="center"/>
          </w:tcPr>
          <w:p w14:paraId="48E97786">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0C46A989">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3683AC4E">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4D4B4E3D">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66B3A363">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0E17B6">
            <w:pPr>
              <w:rPr>
                <w:rFonts w:hint="eastAsia" w:ascii="楷体" w:hAnsi="楷体" w:eastAsia="宋体" w:cs="楷体"/>
                <w:i w:val="0"/>
                <w:iCs w:val="0"/>
                <w:color w:val="000000"/>
                <w:sz w:val="21"/>
                <w:szCs w:val="28"/>
                <w:u w:val="none"/>
              </w:rPr>
            </w:pPr>
          </w:p>
        </w:tc>
      </w:tr>
      <w:tr w14:paraId="31D9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9C1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B0C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单星水池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9A7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900*700*800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573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E22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0756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台面及盆斗采用SUS201 1.0㎜厚不锈钢加工制作，配置优质下水口及拦渣器。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98923">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581025" cy="342900"/>
                  <wp:effectExtent l="0" t="0" r="9525" b="0"/>
                  <wp:docPr id="4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 descr="IMG_259"/>
                          <pic:cNvPicPr>
                            <a:picLocks noChangeAspect="1"/>
                          </pic:cNvPicPr>
                        </pic:nvPicPr>
                        <pic:blipFill>
                          <a:blip r:embed="rId16"/>
                          <a:stretch>
                            <a:fillRect/>
                          </a:stretch>
                        </pic:blipFill>
                        <pic:spPr>
                          <a:xfrm>
                            <a:off x="0" y="0"/>
                            <a:ext cx="581025" cy="342900"/>
                          </a:xfrm>
                          <a:prstGeom prst="rect">
                            <a:avLst/>
                          </a:prstGeom>
                          <a:noFill/>
                          <a:ln w="9525">
                            <a:noFill/>
                          </a:ln>
                        </pic:spPr>
                      </pic:pic>
                    </a:graphicData>
                  </a:graphic>
                </wp:inline>
              </w:drawing>
            </w:r>
          </w:p>
        </w:tc>
      </w:tr>
      <w:tr w14:paraId="592D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A34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C69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双星水池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AC9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1200*700*800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FEE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361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FD0F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台面及盆斗采用SUS201 1.0㎜厚不锈钢加工制作，配置优质下水口及拦渣器。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C6B9C">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47675" cy="323850"/>
                  <wp:effectExtent l="0" t="0" r="9525" b="0"/>
                  <wp:docPr id="5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 descr="IMG_260"/>
                          <pic:cNvPicPr>
                            <a:picLocks noChangeAspect="1"/>
                          </pic:cNvPicPr>
                        </pic:nvPicPr>
                        <pic:blipFill>
                          <a:blip r:embed="rId17"/>
                          <a:stretch>
                            <a:fillRect/>
                          </a:stretch>
                        </pic:blipFill>
                        <pic:spPr>
                          <a:xfrm>
                            <a:off x="0" y="0"/>
                            <a:ext cx="447675" cy="323850"/>
                          </a:xfrm>
                          <a:prstGeom prst="rect">
                            <a:avLst/>
                          </a:prstGeom>
                          <a:noFill/>
                          <a:ln w="9525">
                            <a:noFill/>
                          </a:ln>
                        </pic:spPr>
                      </pic:pic>
                    </a:graphicData>
                  </a:graphic>
                </wp:inline>
              </w:drawing>
            </w:r>
          </w:p>
        </w:tc>
      </w:tr>
      <w:tr w14:paraId="0ECC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E88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E72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土豆脱皮机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A67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450型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716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5F3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DE6BA1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外壳采用优质不锈钢加工制作，铜线电机，操作简单安全。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B1BF3">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504825" cy="457200"/>
                  <wp:effectExtent l="0" t="0" r="9525" b="0"/>
                  <wp:docPr id="5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6" descr="IMG_261"/>
                          <pic:cNvPicPr>
                            <a:picLocks noChangeAspect="1"/>
                          </pic:cNvPicPr>
                        </pic:nvPicPr>
                        <pic:blipFill>
                          <a:blip r:embed="rId18"/>
                          <a:stretch>
                            <a:fillRect/>
                          </a:stretch>
                        </pic:blipFill>
                        <pic:spPr>
                          <a:xfrm>
                            <a:off x="0" y="0"/>
                            <a:ext cx="504825" cy="457200"/>
                          </a:xfrm>
                          <a:prstGeom prst="rect">
                            <a:avLst/>
                          </a:prstGeom>
                          <a:noFill/>
                          <a:ln w="9525">
                            <a:noFill/>
                          </a:ln>
                        </pic:spPr>
                      </pic:pic>
                    </a:graphicData>
                  </a:graphic>
                </wp:inline>
              </w:drawing>
            </w:r>
          </w:p>
        </w:tc>
      </w:tr>
      <w:tr w14:paraId="420D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5FD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321F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绞切肉机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F03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400型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EC5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710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FB270">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外壳采用优质不锈钢加工制作，铜线电机，电压：220V，生产效率≥150KG/H.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CB66B">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38150" cy="371475"/>
                  <wp:effectExtent l="0" t="0" r="0" b="9525"/>
                  <wp:docPr id="5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 descr="IMG_262"/>
                          <pic:cNvPicPr>
                            <a:picLocks noChangeAspect="1"/>
                          </pic:cNvPicPr>
                        </pic:nvPicPr>
                        <pic:blipFill>
                          <a:blip r:embed="rId19"/>
                          <a:stretch>
                            <a:fillRect/>
                          </a:stretch>
                        </pic:blipFill>
                        <pic:spPr>
                          <a:xfrm>
                            <a:off x="0" y="0"/>
                            <a:ext cx="438150" cy="371475"/>
                          </a:xfrm>
                          <a:prstGeom prst="rect">
                            <a:avLst/>
                          </a:prstGeom>
                          <a:noFill/>
                          <a:ln w="9525">
                            <a:noFill/>
                          </a:ln>
                        </pic:spPr>
                      </pic:pic>
                    </a:graphicData>
                  </a:graphic>
                </wp:inline>
              </w:drawing>
            </w:r>
          </w:p>
        </w:tc>
      </w:tr>
      <w:tr w14:paraId="4596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ED7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E0BF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四层货架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54D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1500*500*1500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5AA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B81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E8B1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层板采用SUS201 1.0㎜厚不锈钢加工制作,且层板下置不锈钢码仔加固，地脚配置可调节子弹脚。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48AF0">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33375" cy="409575"/>
                  <wp:effectExtent l="0" t="0" r="9525" b="9525"/>
                  <wp:docPr id="5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8" descr="IMG_263"/>
                          <pic:cNvPicPr>
                            <a:picLocks noChangeAspect="1"/>
                          </pic:cNvPicPr>
                        </pic:nvPicPr>
                        <pic:blipFill>
                          <a:blip r:embed="rId13"/>
                          <a:stretch>
                            <a:fillRect/>
                          </a:stretch>
                        </pic:blipFill>
                        <pic:spPr>
                          <a:xfrm>
                            <a:off x="0" y="0"/>
                            <a:ext cx="333375" cy="409575"/>
                          </a:xfrm>
                          <a:prstGeom prst="rect">
                            <a:avLst/>
                          </a:prstGeom>
                          <a:noFill/>
                          <a:ln w="9525">
                            <a:noFill/>
                          </a:ln>
                        </pic:spPr>
                      </pic:pic>
                    </a:graphicData>
                  </a:graphic>
                </wp:inline>
              </w:drawing>
            </w:r>
          </w:p>
        </w:tc>
      </w:tr>
      <w:tr w14:paraId="7C6E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09B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3666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043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E69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0EC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5583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上/下层板采用SUS201 1.0㎜厚不锈钢加工制作，上层板下衬防潮板，且层板下置不锈钢码仔加固，地脚配置可调节子弹脚。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A22C8">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57200" cy="457200"/>
                  <wp:effectExtent l="0" t="0" r="0" b="0"/>
                  <wp:docPr id="4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9" descr="IMG_264"/>
                          <pic:cNvPicPr>
                            <a:picLocks noChangeAspect="1"/>
                          </pic:cNvPicPr>
                        </pic:nvPicPr>
                        <pic:blipFill>
                          <a:blip r:embed="rId20"/>
                          <a:stretch>
                            <a:fillRect/>
                          </a:stretch>
                        </pic:blipFill>
                        <pic:spPr>
                          <a:xfrm>
                            <a:off x="0" y="0"/>
                            <a:ext cx="457200" cy="457200"/>
                          </a:xfrm>
                          <a:prstGeom prst="rect">
                            <a:avLst/>
                          </a:prstGeom>
                          <a:noFill/>
                          <a:ln w="9525">
                            <a:noFill/>
                          </a:ln>
                        </pic:spPr>
                      </pic:pic>
                    </a:graphicData>
                  </a:graphic>
                </wp:inline>
              </w:drawing>
            </w:r>
          </w:p>
        </w:tc>
      </w:tr>
      <w:tr w14:paraId="0EEE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00F3B0">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热菜间</w:t>
            </w:r>
          </w:p>
        </w:tc>
        <w:tc>
          <w:tcPr>
            <w:tcW w:w="0" w:type="auto"/>
            <w:tcBorders>
              <w:top w:val="single" w:color="000000" w:sz="4" w:space="0"/>
              <w:left w:val="nil"/>
              <w:bottom w:val="single" w:color="000000" w:sz="4" w:space="0"/>
              <w:right w:val="nil"/>
            </w:tcBorders>
            <w:shd w:val="clear" w:color="auto" w:fill="auto"/>
            <w:noWrap/>
            <w:vAlign w:val="center"/>
          </w:tcPr>
          <w:p w14:paraId="07474175">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314C8ABC">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1E3C18BA">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2D58DB1E">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018925BF">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A6A9C6">
            <w:pPr>
              <w:rPr>
                <w:rFonts w:hint="eastAsia" w:ascii="楷体" w:hAnsi="楷体" w:eastAsia="宋体" w:cs="楷体"/>
                <w:i w:val="0"/>
                <w:iCs w:val="0"/>
                <w:color w:val="000000"/>
                <w:sz w:val="21"/>
                <w:szCs w:val="28"/>
                <w:u w:val="none"/>
              </w:rPr>
            </w:pPr>
          </w:p>
        </w:tc>
      </w:tr>
      <w:tr w14:paraId="2699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9D8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3A71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调料台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DFC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500*1300*800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977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F7B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7E6A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台面、前面板、靠背板采用SUS201 1.0㎜厚不锈钢加工制作，地脚配置可调节子弹脚。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55F99">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390525</wp:posOffset>
                  </wp:positionH>
                  <wp:positionV relativeFrom="paragraph">
                    <wp:posOffset>149225</wp:posOffset>
                  </wp:positionV>
                  <wp:extent cx="285750" cy="349885"/>
                  <wp:effectExtent l="0" t="0" r="0" b="12065"/>
                  <wp:wrapNone/>
                  <wp:docPr id="40" name="图片_2"/>
                  <wp:cNvGraphicFramePr/>
                  <a:graphic xmlns:a="http://schemas.openxmlformats.org/drawingml/2006/main">
                    <a:graphicData uri="http://schemas.openxmlformats.org/drawingml/2006/picture">
                      <pic:pic xmlns:pic="http://schemas.openxmlformats.org/drawingml/2006/picture">
                        <pic:nvPicPr>
                          <pic:cNvPr id="40" name="图片_2"/>
                          <pic:cNvPicPr/>
                        </pic:nvPicPr>
                        <pic:blipFill>
                          <a:blip r:embed="rId21"/>
                          <a:stretch>
                            <a:fillRect/>
                          </a:stretch>
                        </pic:blipFill>
                        <pic:spPr>
                          <a:xfrm>
                            <a:off x="0" y="0"/>
                            <a:ext cx="285750" cy="349885"/>
                          </a:xfrm>
                          <a:prstGeom prst="rect">
                            <a:avLst/>
                          </a:prstGeom>
                          <a:noFill/>
                          <a:ln>
                            <a:noFill/>
                          </a:ln>
                        </pic:spPr>
                      </pic:pic>
                    </a:graphicData>
                  </a:graphic>
                </wp:anchor>
              </w:drawing>
            </w:r>
          </w:p>
        </w:tc>
      </w:tr>
      <w:tr w14:paraId="0B58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921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8EEF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电磁大锅灶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82E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1200*1300*800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3FB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156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E1588">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外壳采用SUS201不锈钢加工制作；台面、前面板及侧板采用1.0㎜厚不锈钢加工制作；配置散热风机，极速散热；配置显示屏，操作直观；采用多档位火力开关，安全方便。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E6CC3">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47675" cy="447675"/>
                  <wp:effectExtent l="0" t="0" r="9525" b="9525"/>
                  <wp:docPr id="34"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descr="IMG_265"/>
                          <pic:cNvPicPr>
                            <a:picLocks noChangeAspect="1"/>
                          </pic:cNvPicPr>
                        </pic:nvPicPr>
                        <pic:blipFill>
                          <a:blip r:embed="rId22"/>
                          <a:stretch>
                            <a:fillRect/>
                          </a:stretch>
                        </pic:blipFill>
                        <pic:spPr>
                          <a:xfrm>
                            <a:off x="0" y="0"/>
                            <a:ext cx="447675" cy="447675"/>
                          </a:xfrm>
                          <a:prstGeom prst="rect">
                            <a:avLst/>
                          </a:prstGeom>
                          <a:noFill/>
                          <a:ln w="9525">
                            <a:noFill/>
                          </a:ln>
                        </pic:spPr>
                      </pic:pic>
                    </a:graphicData>
                  </a:graphic>
                </wp:inline>
              </w:drawing>
            </w:r>
          </w:p>
        </w:tc>
      </w:tr>
      <w:tr w14:paraId="7FB3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0AA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1208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B28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014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597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883D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上/下层板采用SUS201 1.0㎜厚不锈钢加工制作，上层板下衬防潮板，且层板下置不锈钢码仔加固，地脚配置可调节子弹脚。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3F1D9">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57200" cy="457200"/>
                  <wp:effectExtent l="0" t="0" r="0" b="0"/>
                  <wp:docPr id="35"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1" descr="IMG_266"/>
                          <pic:cNvPicPr>
                            <a:picLocks noChangeAspect="1"/>
                          </pic:cNvPicPr>
                        </pic:nvPicPr>
                        <pic:blipFill>
                          <a:blip r:embed="rId20"/>
                          <a:stretch>
                            <a:fillRect/>
                          </a:stretch>
                        </pic:blipFill>
                        <pic:spPr>
                          <a:xfrm>
                            <a:off x="0" y="0"/>
                            <a:ext cx="457200" cy="457200"/>
                          </a:xfrm>
                          <a:prstGeom prst="rect">
                            <a:avLst/>
                          </a:prstGeom>
                          <a:noFill/>
                          <a:ln w="9525">
                            <a:noFill/>
                          </a:ln>
                        </pic:spPr>
                      </pic:pic>
                    </a:graphicData>
                  </a:graphic>
                </wp:inline>
              </w:drawing>
            </w:r>
          </w:p>
        </w:tc>
      </w:tr>
      <w:tr w14:paraId="0CDD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F12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2A91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四层货架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100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1500*500*1500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354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1FB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66B3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层板采用SUS201  1.0㎜厚不锈钢加工制作,且层板下置不锈钢码仔加固，地脚配置可调节子弹脚。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9AA48">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33375" cy="409575"/>
                  <wp:effectExtent l="0" t="0" r="9525" b="9525"/>
                  <wp:docPr id="4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2" descr="IMG_267"/>
                          <pic:cNvPicPr>
                            <a:picLocks noChangeAspect="1"/>
                          </pic:cNvPicPr>
                        </pic:nvPicPr>
                        <pic:blipFill>
                          <a:blip r:embed="rId13"/>
                          <a:stretch>
                            <a:fillRect/>
                          </a:stretch>
                        </pic:blipFill>
                        <pic:spPr>
                          <a:xfrm>
                            <a:off x="0" y="0"/>
                            <a:ext cx="333375" cy="409575"/>
                          </a:xfrm>
                          <a:prstGeom prst="rect">
                            <a:avLst/>
                          </a:prstGeom>
                          <a:noFill/>
                          <a:ln w="9525">
                            <a:noFill/>
                          </a:ln>
                        </pic:spPr>
                      </pic:pic>
                    </a:graphicData>
                  </a:graphic>
                </wp:inline>
              </w:drawing>
            </w:r>
          </w:p>
        </w:tc>
      </w:tr>
      <w:tr w14:paraId="5731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987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F551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刀具、砧板组合消毒柜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CE9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795*545*1000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3B4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E17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12AD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外壳采用SUS201 1.0㎜厚不锈钢加工制作，紫外线及臭氧消毒杀菌。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4B594">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188595</wp:posOffset>
                  </wp:positionH>
                  <wp:positionV relativeFrom="paragraph">
                    <wp:posOffset>155575</wp:posOffset>
                  </wp:positionV>
                  <wp:extent cx="525780" cy="484505"/>
                  <wp:effectExtent l="0" t="0" r="7620" b="10795"/>
                  <wp:wrapNone/>
                  <wp:docPr id="36" name="图片_3"/>
                  <wp:cNvGraphicFramePr/>
                  <a:graphic xmlns:a="http://schemas.openxmlformats.org/drawingml/2006/main">
                    <a:graphicData uri="http://schemas.openxmlformats.org/drawingml/2006/picture">
                      <pic:pic xmlns:pic="http://schemas.openxmlformats.org/drawingml/2006/picture">
                        <pic:nvPicPr>
                          <pic:cNvPr id="36" name="图片_3"/>
                          <pic:cNvPicPr/>
                        </pic:nvPicPr>
                        <pic:blipFill>
                          <a:blip r:embed="rId23"/>
                          <a:stretch>
                            <a:fillRect/>
                          </a:stretch>
                        </pic:blipFill>
                        <pic:spPr>
                          <a:xfrm>
                            <a:off x="0" y="0"/>
                            <a:ext cx="525780" cy="484505"/>
                          </a:xfrm>
                          <a:prstGeom prst="rect">
                            <a:avLst/>
                          </a:prstGeom>
                          <a:noFill/>
                          <a:ln>
                            <a:noFill/>
                          </a:ln>
                        </pic:spPr>
                      </pic:pic>
                    </a:graphicData>
                  </a:graphic>
                </wp:anchor>
              </w:drawing>
            </w:r>
          </w:p>
        </w:tc>
      </w:tr>
      <w:tr w14:paraId="7EB8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4728ED">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主食间</w:t>
            </w:r>
          </w:p>
        </w:tc>
        <w:tc>
          <w:tcPr>
            <w:tcW w:w="0" w:type="auto"/>
            <w:tcBorders>
              <w:top w:val="single" w:color="000000" w:sz="4" w:space="0"/>
              <w:left w:val="nil"/>
              <w:bottom w:val="single" w:color="000000" w:sz="4" w:space="0"/>
              <w:right w:val="nil"/>
            </w:tcBorders>
            <w:shd w:val="clear" w:color="auto" w:fill="auto"/>
            <w:noWrap/>
            <w:vAlign w:val="center"/>
          </w:tcPr>
          <w:p w14:paraId="516CBD9B">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3DDE06B9">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5977B40F">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37467125">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6AC51038">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8E6002">
            <w:pPr>
              <w:rPr>
                <w:rFonts w:hint="eastAsia" w:ascii="楷体" w:hAnsi="楷体" w:eastAsia="宋体" w:cs="楷体"/>
                <w:i w:val="0"/>
                <w:iCs w:val="0"/>
                <w:color w:val="000000"/>
                <w:sz w:val="21"/>
                <w:szCs w:val="28"/>
                <w:u w:val="none"/>
              </w:rPr>
            </w:pPr>
          </w:p>
        </w:tc>
      </w:tr>
      <w:tr w14:paraId="304D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76867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839C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5FD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5D1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A07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D869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上/下层板采用SUS201 1.0㎜厚不锈钢加工制作，上层板下衬防潮板，且层板下置不锈钢码仔加固，地脚配置可调节子弹脚。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56EBA">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57200" cy="457200"/>
                  <wp:effectExtent l="0" t="0" r="0" b="0"/>
                  <wp:docPr id="37"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3" descr="IMG_268"/>
                          <pic:cNvPicPr>
                            <a:picLocks noChangeAspect="1"/>
                          </pic:cNvPicPr>
                        </pic:nvPicPr>
                        <pic:blipFill>
                          <a:blip r:embed="rId20"/>
                          <a:stretch>
                            <a:fillRect/>
                          </a:stretch>
                        </pic:blipFill>
                        <pic:spPr>
                          <a:xfrm>
                            <a:off x="0" y="0"/>
                            <a:ext cx="457200" cy="457200"/>
                          </a:xfrm>
                          <a:prstGeom prst="rect">
                            <a:avLst/>
                          </a:prstGeom>
                          <a:noFill/>
                          <a:ln w="9525">
                            <a:noFill/>
                          </a:ln>
                        </pic:spPr>
                      </pic:pic>
                    </a:graphicData>
                  </a:graphic>
                </wp:inline>
              </w:drawing>
            </w:r>
          </w:p>
        </w:tc>
      </w:tr>
      <w:tr w14:paraId="76F2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DE44B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256E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电饼铛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CA4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650*790*900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45F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881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88734">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采用全模具化生产，上下档温控控制，操作简单方便，加热速度快，设有调温装置，省时省电。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01A64">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542925" cy="542925"/>
                  <wp:effectExtent l="0" t="0" r="9525" b="9525"/>
                  <wp:docPr id="33"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 descr="IMG_269"/>
                          <pic:cNvPicPr>
                            <a:picLocks noChangeAspect="1"/>
                          </pic:cNvPicPr>
                        </pic:nvPicPr>
                        <pic:blipFill>
                          <a:blip r:embed="rId24"/>
                          <a:stretch>
                            <a:fillRect/>
                          </a:stretch>
                        </pic:blipFill>
                        <pic:spPr>
                          <a:xfrm>
                            <a:off x="0" y="0"/>
                            <a:ext cx="542925" cy="542925"/>
                          </a:xfrm>
                          <a:prstGeom prst="rect">
                            <a:avLst/>
                          </a:prstGeom>
                          <a:noFill/>
                          <a:ln w="9525">
                            <a:noFill/>
                          </a:ln>
                        </pic:spPr>
                      </pic:pic>
                    </a:graphicData>
                  </a:graphic>
                </wp:inline>
              </w:drawing>
            </w:r>
          </w:p>
        </w:tc>
      </w:tr>
      <w:tr w14:paraId="7E3E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nil"/>
              <w:right w:val="nil"/>
            </w:tcBorders>
            <w:shd w:val="clear" w:color="auto" w:fill="auto"/>
            <w:noWrap/>
            <w:vAlign w:val="center"/>
          </w:tcPr>
          <w:p w14:paraId="646CBA5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A8AB7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移动双门电蒸车</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658760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24盘</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697C42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80C75E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60FCCD">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采用先进加工工艺，箱体高压发泡，自动上水，内置发热管，加热速度快，热效率高，配置高压泄气装置，内部压力过高时，自动泄气。</w:t>
            </w:r>
          </w:p>
        </w:tc>
        <w:tc>
          <w:tcPr>
            <w:tcW w:w="0" w:type="auto"/>
            <w:tcBorders>
              <w:top w:val="single" w:color="000000" w:sz="4" w:space="0"/>
              <w:left w:val="single" w:color="000000" w:sz="4" w:space="0"/>
              <w:bottom w:val="nil"/>
              <w:right w:val="single" w:color="000000" w:sz="4" w:space="0"/>
            </w:tcBorders>
            <w:shd w:val="clear" w:color="auto" w:fill="auto"/>
            <w:noWrap/>
            <w:vAlign w:val="bottom"/>
          </w:tcPr>
          <w:p w14:paraId="69FC174B">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95300" cy="495300"/>
                  <wp:effectExtent l="0" t="0" r="0" b="0"/>
                  <wp:docPr id="39"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5" descr="IMG_270"/>
                          <pic:cNvPicPr>
                            <a:picLocks noChangeAspect="1"/>
                          </pic:cNvPicPr>
                        </pic:nvPicPr>
                        <pic:blipFill>
                          <a:blip r:embed="rId25"/>
                          <a:stretch>
                            <a:fillRect/>
                          </a:stretch>
                        </pic:blipFill>
                        <pic:spPr>
                          <a:xfrm>
                            <a:off x="0" y="0"/>
                            <a:ext cx="495300" cy="495300"/>
                          </a:xfrm>
                          <a:prstGeom prst="rect">
                            <a:avLst/>
                          </a:prstGeom>
                          <a:noFill/>
                          <a:ln w="9525">
                            <a:noFill/>
                          </a:ln>
                        </pic:spPr>
                      </pic:pic>
                    </a:graphicData>
                  </a:graphic>
                </wp:inline>
              </w:drawing>
            </w:r>
          </w:p>
        </w:tc>
      </w:tr>
      <w:tr w14:paraId="672E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391E">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面点加工间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F31D">
            <w:pP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61BD">
            <w:pP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C9BC">
            <w:pP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43BA">
            <w:pP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8E5E">
            <w:pP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2C4C">
            <w:pPr>
              <w:rPr>
                <w:rFonts w:hint="eastAsia" w:ascii="楷体" w:hAnsi="楷体" w:eastAsia="宋体" w:cs="楷体"/>
                <w:i w:val="0"/>
                <w:iCs w:val="0"/>
                <w:color w:val="000000"/>
                <w:sz w:val="21"/>
                <w:szCs w:val="28"/>
                <w:u w:val="none"/>
              </w:rPr>
            </w:pPr>
          </w:p>
        </w:tc>
      </w:tr>
      <w:tr w14:paraId="75EF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627A8D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B31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单星水池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C76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600*800*800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BD3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5F5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E0A5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台面及盆斗采用SUS201 1.0㎜厚不锈钢加工制作，配置优质下水口及拦渣器。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6CEEF">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581025" cy="342900"/>
                  <wp:effectExtent l="0" t="0" r="9525" b="0"/>
                  <wp:docPr id="43"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6" descr="IMG_271"/>
                          <pic:cNvPicPr>
                            <a:picLocks noChangeAspect="1"/>
                          </pic:cNvPicPr>
                        </pic:nvPicPr>
                        <pic:blipFill>
                          <a:blip r:embed="rId16"/>
                          <a:stretch>
                            <a:fillRect/>
                          </a:stretch>
                        </pic:blipFill>
                        <pic:spPr>
                          <a:xfrm>
                            <a:off x="0" y="0"/>
                            <a:ext cx="581025" cy="342900"/>
                          </a:xfrm>
                          <a:prstGeom prst="rect">
                            <a:avLst/>
                          </a:prstGeom>
                          <a:noFill/>
                          <a:ln w="9525">
                            <a:noFill/>
                          </a:ln>
                        </pic:spPr>
                      </pic:pic>
                    </a:graphicData>
                  </a:graphic>
                </wp:inline>
              </w:drawing>
            </w:r>
          </w:p>
        </w:tc>
      </w:tr>
      <w:tr w14:paraId="56A2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E27AD0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8238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00B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D06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803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C043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上/下层板采用SUS201 1.0㎜厚不锈钢加工制作，上层板下衬防潮板，且层板下置不锈钢码仔加固，地脚配置可调节子弹脚。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EB9CC">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57200" cy="457200"/>
                  <wp:effectExtent l="0" t="0" r="0" b="0"/>
                  <wp:docPr id="38"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7" descr="IMG_272"/>
                          <pic:cNvPicPr>
                            <a:picLocks noChangeAspect="1"/>
                          </pic:cNvPicPr>
                        </pic:nvPicPr>
                        <pic:blipFill>
                          <a:blip r:embed="rId20"/>
                          <a:stretch>
                            <a:fillRect/>
                          </a:stretch>
                        </pic:blipFill>
                        <pic:spPr>
                          <a:xfrm>
                            <a:off x="0" y="0"/>
                            <a:ext cx="457200" cy="457200"/>
                          </a:xfrm>
                          <a:prstGeom prst="rect">
                            <a:avLst/>
                          </a:prstGeom>
                          <a:noFill/>
                          <a:ln w="9525">
                            <a:noFill/>
                          </a:ln>
                        </pic:spPr>
                      </pic:pic>
                    </a:graphicData>
                  </a:graphic>
                </wp:inline>
              </w:drawing>
            </w:r>
          </w:p>
        </w:tc>
      </w:tr>
      <w:tr w14:paraId="5E80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EE8424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3565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木案双层工作台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5B4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30D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62F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DC33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上层板采用加厚木面案，下层板采用SUS201 1.0㎜厚不锈钢加工制作,且层板下置不锈钢码仔加固，地脚配置可调节子弹脚。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B9C72">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85775" cy="495300"/>
                  <wp:effectExtent l="0" t="0" r="9525" b="0"/>
                  <wp:docPr id="44"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8" descr="IMG_273"/>
                          <pic:cNvPicPr>
                            <a:picLocks noChangeAspect="1"/>
                          </pic:cNvPicPr>
                        </pic:nvPicPr>
                        <pic:blipFill>
                          <a:blip r:embed="rId26"/>
                          <a:stretch>
                            <a:fillRect/>
                          </a:stretch>
                        </pic:blipFill>
                        <pic:spPr>
                          <a:xfrm>
                            <a:off x="0" y="0"/>
                            <a:ext cx="485775" cy="495300"/>
                          </a:xfrm>
                          <a:prstGeom prst="rect">
                            <a:avLst/>
                          </a:prstGeom>
                          <a:noFill/>
                          <a:ln w="9525">
                            <a:noFill/>
                          </a:ln>
                        </pic:spPr>
                      </pic:pic>
                    </a:graphicData>
                  </a:graphic>
                </wp:inline>
              </w:drawing>
            </w:r>
          </w:p>
        </w:tc>
      </w:tr>
      <w:tr w14:paraId="3F88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A547E3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B36C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压面机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3C5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350型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56D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256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6F9E5">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外壳采用优质不锈钢加工制作，可揉压各种酥性、韧性面团。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5C7F1">
            <w:pPr>
              <w:keepNext w:val="0"/>
              <w:keepLines w:val="0"/>
              <w:widowControl/>
              <w:suppressLineNumbers w:val="0"/>
              <w:jc w:val="righ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38150" cy="428625"/>
                  <wp:effectExtent l="0" t="0" r="0" b="9525"/>
                  <wp:docPr id="45"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9" descr="IMG_274"/>
                          <pic:cNvPicPr>
                            <a:picLocks noChangeAspect="1"/>
                          </pic:cNvPicPr>
                        </pic:nvPicPr>
                        <pic:blipFill>
                          <a:blip r:embed="rId27"/>
                          <a:stretch>
                            <a:fillRect/>
                          </a:stretch>
                        </pic:blipFill>
                        <pic:spPr>
                          <a:xfrm>
                            <a:off x="0" y="0"/>
                            <a:ext cx="438150" cy="428625"/>
                          </a:xfrm>
                          <a:prstGeom prst="rect">
                            <a:avLst/>
                          </a:prstGeom>
                          <a:noFill/>
                          <a:ln w="9525">
                            <a:noFill/>
                          </a:ln>
                        </pic:spPr>
                      </pic:pic>
                    </a:graphicData>
                  </a:graphic>
                </wp:inline>
              </w:drawing>
            </w:r>
          </w:p>
        </w:tc>
      </w:tr>
      <w:tr w14:paraId="57D9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nil"/>
              <w:left w:val="single" w:color="000000" w:sz="4" w:space="0"/>
              <w:bottom w:val="nil"/>
              <w:right w:val="single" w:color="000000" w:sz="4" w:space="0"/>
            </w:tcBorders>
            <w:shd w:val="clear" w:color="auto" w:fill="auto"/>
            <w:noWrap/>
            <w:vAlign w:val="center"/>
          </w:tcPr>
          <w:p w14:paraId="294BC51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74709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和面机</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D4E0EF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25KG</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1672C3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27BF06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332F5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主体外壳采用优质不锈钢加工制作，适应性强，结构紧凑。</w:t>
            </w:r>
          </w:p>
        </w:tc>
        <w:tc>
          <w:tcPr>
            <w:tcW w:w="0" w:type="auto"/>
            <w:tcBorders>
              <w:top w:val="single" w:color="000000" w:sz="4" w:space="0"/>
              <w:left w:val="single" w:color="000000" w:sz="4" w:space="0"/>
              <w:bottom w:val="nil"/>
              <w:right w:val="single" w:color="000000" w:sz="4" w:space="0"/>
            </w:tcBorders>
            <w:shd w:val="clear" w:color="auto" w:fill="auto"/>
            <w:noWrap/>
            <w:vAlign w:val="bottom"/>
          </w:tcPr>
          <w:p w14:paraId="32499B18">
            <w:pPr>
              <w:keepNext w:val="0"/>
              <w:keepLines w:val="0"/>
              <w:widowControl/>
              <w:suppressLineNumbers w:val="0"/>
              <w:jc w:val="righ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400050</wp:posOffset>
                  </wp:positionH>
                  <wp:positionV relativeFrom="paragraph">
                    <wp:posOffset>76835</wp:posOffset>
                  </wp:positionV>
                  <wp:extent cx="294640" cy="482600"/>
                  <wp:effectExtent l="0" t="0" r="10160" b="12700"/>
                  <wp:wrapNone/>
                  <wp:docPr id="46" name="图片_1"/>
                  <wp:cNvGraphicFramePr/>
                  <a:graphic xmlns:a="http://schemas.openxmlformats.org/drawingml/2006/main">
                    <a:graphicData uri="http://schemas.openxmlformats.org/drawingml/2006/picture">
                      <pic:pic xmlns:pic="http://schemas.openxmlformats.org/drawingml/2006/picture">
                        <pic:nvPicPr>
                          <pic:cNvPr id="46" name="图片_1"/>
                          <pic:cNvPicPr/>
                        </pic:nvPicPr>
                        <pic:blipFill>
                          <a:blip r:embed="rId28"/>
                          <a:stretch>
                            <a:fillRect/>
                          </a:stretch>
                        </pic:blipFill>
                        <pic:spPr>
                          <a:xfrm>
                            <a:off x="0" y="0"/>
                            <a:ext cx="294640" cy="482600"/>
                          </a:xfrm>
                          <a:prstGeom prst="rect">
                            <a:avLst/>
                          </a:prstGeom>
                          <a:noFill/>
                          <a:ln>
                            <a:noFill/>
                          </a:ln>
                        </pic:spPr>
                      </pic:pic>
                    </a:graphicData>
                  </a:graphic>
                </wp:anchor>
              </w:drawing>
            </w:r>
          </w:p>
        </w:tc>
      </w:tr>
      <w:tr w14:paraId="0635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4A11">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洗消间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9096">
            <w:pP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049A">
            <w:pP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53E7">
            <w:pP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3679">
            <w:pP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4BDA">
            <w:pP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BAF4">
            <w:pPr>
              <w:rPr>
                <w:rFonts w:hint="eastAsia" w:ascii="楷体" w:hAnsi="楷体" w:eastAsia="宋体" w:cs="楷体"/>
                <w:i w:val="0"/>
                <w:iCs w:val="0"/>
                <w:color w:val="000000"/>
                <w:sz w:val="21"/>
                <w:szCs w:val="28"/>
                <w:u w:val="none"/>
              </w:rPr>
            </w:pPr>
          </w:p>
        </w:tc>
      </w:tr>
      <w:tr w14:paraId="60D9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C2C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B3C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双星水池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527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1200*700*800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1A4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BBD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5FB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台面及盆斗采用SUS201 1.0㎜厚不锈钢加工制作，配置优质下水口及拦渣器。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1CC7F">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47675" cy="323850"/>
                  <wp:effectExtent l="0" t="0" r="9525" b="0"/>
                  <wp:docPr id="47"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0" descr="IMG_275"/>
                          <pic:cNvPicPr>
                            <a:picLocks noChangeAspect="1"/>
                          </pic:cNvPicPr>
                        </pic:nvPicPr>
                        <pic:blipFill>
                          <a:blip r:embed="rId17"/>
                          <a:stretch>
                            <a:fillRect/>
                          </a:stretch>
                        </pic:blipFill>
                        <pic:spPr>
                          <a:xfrm>
                            <a:off x="0" y="0"/>
                            <a:ext cx="447675" cy="323850"/>
                          </a:xfrm>
                          <a:prstGeom prst="rect">
                            <a:avLst/>
                          </a:prstGeom>
                          <a:noFill/>
                          <a:ln w="9525">
                            <a:noFill/>
                          </a:ln>
                        </pic:spPr>
                      </pic:pic>
                    </a:graphicData>
                  </a:graphic>
                </wp:inline>
              </w:drawing>
            </w:r>
          </w:p>
        </w:tc>
      </w:tr>
      <w:tr w14:paraId="419C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5B4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E52F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高温热风循环消毒柜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9C5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1293*500*1960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D56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433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250E3">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柜体采用聚氨酯加厚保温层，热损率低，内置不锈钢筛网，内部空间大，采用热风循环系统设计，消毒效果好。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0FF13">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00050" cy="400050"/>
                  <wp:effectExtent l="0" t="0" r="0" b="0"/>
                  <wp:docPr id="31"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1" descr="IMG_276"/>
                          <pic:cNvPicPr>
                            <a:picLocks noChangeAspect="1"/>
                          </pic:cNvPicPr>
                        </pic:nvPicPr>
                        <pic:blipFill>
                          <a:blip r:embed="rId29"/>
                          <a:stretch>
                            <a:fillRect/>
                          </a:stretch>
                        </pic:blipFill>
                        <pic:spPr>
                          <a:xfrm>
                            <a:off x="0" y="0"/>
                            <a:ext cx="400050" cy="400050"/>
                          </a:xfrm>
                          <a:prstGeom prst="rect">
                            <a:avLst/>
                          </a:prstGeom>
                          <a:noFill/>
                          <a:ln w="9525">
                            <a:noFill/>
                          </a:ln>
                        </pic:spPr>
                      </pic:pic>
                    </a:graphicData>
                  </a:graphic>
                </wp:inline>
              </w:drawing>
            </w:r>
          </w:p>
        </w:tc>
      </w:tr>
      <w:tr w14:paraId="7BC9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74D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5023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超声波洗碗机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4A6B5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1500*800*800/150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99494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D4FD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669E6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1370965</wp:posOffset>
                  </wp:positionH>
                  <wp:positionV relativeFrom="paragraph">
                    <wp:posOffset>501015</wp:posOffset>
                  </wp:positionV>
                  <wp:extent cx="648970" cy="649605"/>
                  <wp:effectExtent l="0" t="0" r="17780" b="17145"/>
                  <wp:wrapNone/>
                  <wp:docPr id="32" name="图片_13"/>
                  <wp:cNvGraphicFramePr/>
                  <a:graphic xmlns:a="http://schemas.openxmlformats.org/drawingml/2006/main">
                    <a:graphicData uri="http://schemas.openxmlformats.org/drawingml/2006/picture">
                      <pic:pic xmlns:pic="http://schemas.openxmlformats.org/drawingml/2006/picture">
                        <pic:nvPicPr>
                          <pic:cNvPr id="32" name="图片_13"/>
                          <pic:cNvPicPr/>
                        </pic:nvPicPr>
                        <pic:blipFill>
                          <a:blip r:embed="rId30"/>
                          <a:stretch>
                            <a:fillRect/>
                          </a:stretch>
                        </pic:blipFill>
                        <pic:spPr>
                          <a:xfrm>
                            <a:off x="0" y="0"/>
                            <a:ext cx="648970" cy="649605"/>
                          </a:xfrm>
                          <a:prstGeom prst="rect">
                            <a:avLst/>
                          </a:prstGeom>
                          <a:noFill/>
                          <a:ln>
                            <a:noFill/>
                          </a:ln>
                        </pic:spPr>
                      </pic:pic>
                    </a:graphicData>
                  </a:graphic>
                </wp:anchor>
              </w:drawing>
            </w:r>
            <w:r>
              <w:rPr>
                <w:rFonts w:hint="eastAsia" w:ascii="楷体" w:hAnsi="楷体" w:eastAsia="宋体" w:cs="楷体"/>
                <w:i w:val="0"/>
                <w:iCs w:val="0"/>
                <w:color w:val="000000"/>
                <w:kern w:val="0"/>
                <w:sz w:val="21"/>
                <w:szCs w:val="28"/>
                <w:u w:val="none"/>
                <w:lang w:val="en-US" w:eastAsia="zh-CN" w:bidi="ar"/>
              </w:rPr>
              <w:t xml:space="preserve">原理 :超声波。加热方式 :智能温控电加热系统 。最大洗涤高度:320mm 总功率 :220V/9kw </w:t>
            </w:r>
            <w:r>
              <w:rPr>
                <w:rFonts w:hint="eastAsia" w:ascii="楷体" w:hAnsi="楷体" w:eastAsia="宋体" w:cs="楷体"/>
                <w:i w:val="0"/>
                <w:iCs w:val="0"/>
                <w:color w:val="000000"/>
                <w:kern w:val="0"/>
                <w:sz w:val="21"/>
                <w:szCs w:val="28"/>
                <w:u w:val="none"/>
                <w:lang w:val="en-US" w:eastAsia="zh-CN" w:bidi="ar"/>
              </w:rPr>
              <w:br w:type="textWrapping"/>
            </w:r>
            <w:r>
              <w:rPr>
                <w:rFonts w:hint="eastAsia" w:ascii="楷体" w:hAnsi="楷体" w:eastAsia="宋体" w:cs="楷体"/>
                <w:i w:val="0"/>
                <w:iCs w:val="0"/>
                <w:color w:val="000000"/>
                <w:kern w:val="0"/>
                <w:sz w:val="21"/>
                <w:szCs w:val="28"/>
                <w:u w:val="none"/>
                <w:lang w:val="en-US" w:eastAsia="zh-CN" w:bidi="ar"/>
              </w:rPr>
              <w:t>每小时最大耗水量 :300L     1500*800*800/150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FDAC">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p>
        </w:tc>
      </w:tr>
      <w:tr w14:paraId="71CD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D567">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售卖间</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5CF4">
            <w:pPr>
              <w:rPr>
                <w:rFonts w:hint="eastAsia" w:ascii="楷体" w:hAnsi="楷体" w:eastAsia="宋体" w:cs="楷体"/>
                <w:i w:val="0"/>
                <w:iCs w:val="0"/>
                <w:color w:val="000000"/>
                <w:sz w:val="21"/>
                <w:szCs w:val="28"/>
                <w:u w:val="none"/>
              </w:rPr>
            </w:pPr>
          </w:p>
        </w:tc>
      </w:tr>
      <w:tr w14:paraId="6337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2E3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ED18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四格保温售饭台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A71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1500*700*800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B2F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C05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3EF3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外壳采用SUS201 1.0㎜厚不锈钢加工制作，内置加热管，保温效果好。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3D015">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61950" cy="361950"/>
                  <wp:effectExtent l="0" t="0" r="0" b="0"/>
                  <wp:docPr id="27"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descr="IMG_277"/>
                          <pic:cNvPicPr>
                            <a:picLocks noChangeAspect="1"/>
                          </pic:cNvPicPr>
                        </pic:nvPicPr>
                        <pic:blipFill>
                          <a:blip r:embed="rId31"/>
                          <a:stretch>
                            <a:fillRect/>
                          </a:stretch>
                        </pic:blipFill>
                        <pic:spPr>
                          <a:xfrm>
                            <a:off x="0" y="0"/>
                            <a:ext cx="361950" cy="361950"/>
                          </a:xfrm>
                          <a:prstGeom prst="rect">
                            <a:avLst/>
                          </a:prstGeom>
                          <a:noFill/>
                          <a:ln w="9525">
                            <a:noFill/>
                          </a:ln>
                        </pic:spPr>
                      </pic:pic>
                    </a:graphicData>
                  </a:graphic>
                </wp:inline>
              </w:drawing>
            </w:r>
          </w:p>
        </w:tc>
      </w:tr>
      <w:tr w14:paraId="4648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40E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9CCC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单门留样柜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49B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595*525*1795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F7A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528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BA3F1">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 xml:space="preserve">  采用最新工艺，大容量储藏空间，有效锁住冷气，单开玻璃门设计，外形美观。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E6FCC">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285750" cy="514350"/>
                  <wp:effectExtent l="0" t="0" r="0" b="0"/>
                  <wp:docPr id="17"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3" descr="IMG_278"/>
                          <pic:cNvPicPr>
                            <a:picLocks noChangeAspect="1"/>
                          </pic:cNvPicPr>
                        </pic:nvPicPr>
                        <pic:blipFill>
                          <a:blip r:embed="rId32"/>
                          <a:stretch>
                            <a:fillRect/>
                          </a:stretch>
                        </pic:blipFill>
                        <pic:spPr>
                          <a:xfrm>
                            <a:off x="0" y="0"/>
                            <a:ext cx="285750" cy="514350"/>
                          </a:xfrm>
                          <a:prstGeom prst="rect">
                            <a:avLst/>
                          </a:prstGeom>
                          <a:noFill/>
                          <a:ln w="9525">
                            <a:noFill/>
                          </a:ln>
                        </pic:spPr>
                      </pic:pic>
                    </a:graphicData>
                  </a:graphic>
                </wp:inline>
              </w:drawing>
            </w:r>
          </w:p>
        </w:tc>
      </w:tr>
      <w:tr w14:paraId="6413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48F0">
            <w:pPr>
              <w:rPr>
                <w:rFonts w:hint="eastAsia" w:ascii="楷体" w:hAnsi="楷体" w:eastAsia="宋体" w:cs="楷体"/>
                <w:i w:val="0"/>
                <w:iCs w:val="0"/>
                <w:color w:val="000000"/>
                <w:sz w:val="21"/>
                <w:szCs w:val="28"/>
                <w:u w:val="none"/>
              </w:rPr>
            </w:pPr>
            <w:r>
              <w:rPr>
                <w:rFonts w:hint="eastAsia" w:ascii="楷体" w:hAnsi="楷体" w:eastAsia="宋体" w:cs="楷体"/>
                <w:b/>
                <w:bCs/>
                <w:i w:val="0"/>
                <w:iCs w:val="0"/>
                <w:color w:val="000000"/>
                <w:kern w:val="0"/>
                <w:sz w:val="21"/>
                <w:szCs w:val="28"/>
                <w:u w:val="none"/>
                <w:lang w:val="en-US" w:eastAsia="zh-CN" w:bidi="ar"/>
              </w:rPr>
              <w:t>餐厅及其它</w:t>
            </w:r>
          </w:p>
        </w:tc>
      </w:tr>
      <w:tr w14:paraId="2790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C9D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8E3F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四人餐桌椅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544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长条凳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019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F86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C606B">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桌面采用SUS201优质不锈钢加工制作，餐桌外径1200*1400*750㎜，主架采用48*48不锈钢方管制作，凳面采用工程塑料材质。</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620DACB8">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-184150</wp:posOffset>
                  </wp:positionV>
                  <wp:extent cx="448945" cy="410210"/>
                  <wp:effectExtent l="0" t="0" r="8255" b="8890"/>
                  <wp:wrapNone/>
                  <wp:docPr id="18" name="图片_4"/>
                  <wp:cNvGraphicFramePr/>
                  <a:graphic xmlns:a="http://schemas.openxmlformats.org/drawingml/2006/main">
                    <a:graphicData uri="http://schemas.openxmlformats.org/drawingml/2006/picture">
                      <pic:pic xmlns:pic="http://schemas.openxmlformats.org/drawingml/2006/picture">
                        <pic:nvPicPr>
                          <pic:cNvPr id="18" name="图片_4"/>
                          <pic:cNvPicPr/>
                        </pic:nvPicPr>
                        <pic:blipFill>
                          <a:blip r:embed="rId33"/>
                          <a:stretch>
                            <a:fillRect/>
                          </a:stretch>
                        </pic:blipFill>
                        <pic:spPr>
                          <a:xfrm>
                            <a:off x="0" y="0"/>
                            <a:ext cx="448945" cy="410210"/>
                          </a:xfrm>
                          <a:prstGeom prst="rect">
                            <a:avLst/>
                          </a:prstGeom>
                          <a:noFill/>
                          <a:ln>
                            <a:noFill/>
                          </a:ln>
                        </pic:spPr>
                      </pic:pic>
                    </a:graphicData>
                  </a:graphic>
                </wp:anchor>
              </w:drawing>
            </w:r>
          </w:p>
        </w:tc>
      </w:tr>
      <w:tr w14:paraId="14B5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002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B27E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平板推车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B08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500*900*850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979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3B6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FFA4F">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面板采用SUS201优质不锈钢加工制作，层板下置不锈钢码仔加固，配置两个定向轮，两个万向轮。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A6B0E">
            <w:pPr>
              <w:keepNext w:val="0"/>
              <w:keepLines w:val="0"/>
              <w:widowControl/>
              <w:suppressLineNumbers w:val="0"/>
              <w:jc w:val="left"/>
              <w:textAlignment w:val="bottom"/>
              <w:rPr>
                <w:rFonts w:hint="eastAsia" w:ascii="楷体" w:hAnsi="楷体" w:eastAsia="宋体" w:cs="楷体"/>
                <w:i w:val="0"/>
                <w:iCs w:val="0"/>
                <w:color w:val="000000"/>
                <w:sz w:val="21"/>
                <w:szCs w:val="24"/>
                <w:u w:val="none"/>
              </w:rPr>
            </w:pPr>
            <w:r>
              <w:rPr>
                <w:rFonts w:hint="eastAsia" w:ascii="楷体" w:hAnsi="楷体" w:eastAsia="宋体" w:cs="楷体"/>
                <w:i w:val="0"/>
                <w:iCs w:val="0"/>
                <w:color w:val="000000"/>
                <w:kern w:val="0"/>
                <w:sz w:val="21"/>
                <w:szCs w:val="24"/>
                <w:u w:val="none"/>
                <w:lang w:val="en-US" w:eastAsia="zh-CN" w:bidi="ar"/>
              </w:rPr>
              <w:drawing>
                <wp:inline distT="0" distB="0" distL="114300" distR="114300">
                  <wp:extent cx="419100" cy="352425"/>
                  <wp:effectExtent l="0" t="0" r="0" b="9525"/>
                  <wp:docPr id="23"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descr="IMG_279"/>
                          <pic:cNvPicPr>
                            <a:picLocks noChangeAspect="1"/>
                          </pic:cNvPicPr>
                        </pic:nvPicPr>
                        <pic:blipFill>
                          <a:blip r:embed="rId34"/>
                          <a:stretch>
                            <a:fillRect/>
                          </a:stretch>
                        </pic:blipFill>
                        <pic:spPr>
                          <a:xfrm>
                            <a:off x="0" y="0"/>
                            <a:ext cx="419100" cy="352425"/>
                          </a:xfrm>
                          <a:prstGeom prst="rect">
                            <a:avLst/>
                          </a:prstGeom>
                          <a:noFill/>
                          <a:ln w="9525">
                            <a:noFill/>
                          </a:ln>
                        </pic:spPr>
                      </pic:pic>
                    </a:graphicData>
                  </a:graphic>
                </wp:inline>
              </w:drawing>
            </w:r>
          </w:p>
        </w:tc>
      </w:tr>
      <w:tr w14:paraId="58AE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994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8B53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收餐车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5F1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500*900*850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BA4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32E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F343F">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外壳采用SUS201优质不锈钢加工制作，下置推车，全框架结构。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2F352">
            <w:pPr>
              <w:keepNext w:val="0"/>
              <w:keepLines w:val="0"/>
              <w:widowControl/>
              <w:suppressLineNumbers w:val="0"/>
              <w:jc w:val="left"/>
              <w:textAlignment w:val="bottom"/>
              <w:rPr>
                <w:rFonts w:hint="eastAsia" w:ascii="楷体" w:hAnsi="楷体" w:eastAsia="宋体" w:cs="楷体"/>
                <w:i w:val="0"/>
                <w:iCs w:val="0"/>
                <w:color w:val="000000"/>
                <w:sz w:val="21"/>
                <w:szCs w:val="24"/>
                <w:u w:val="none"/>
              </w:rPr>
            </w:pPr>
            <w:r>
              <w:rPr>
                <w:rFonts w:hint="eastAsia" w:ascii="楷体" w:hAnsi="楷体" w:eastAsia="宋体" w:cs="楷体"/>
                <w:i w:val="0"/>
                <w:iCs w:val="0"/>
                <w:color w:val="000000"/>
                <w:kern w:val="0"/>
                <w:sz w:val="21"/>
                <w:szCs w:val="24"/>
                <w:u w:val="none"/>
                <w:lang w:val="en-US" w:eastAsia="zh-CN" w:bidi="ar"/>
              </w:rPr>
              <w:drawing>
                <wp:inline distT="0" distB="0" distL="114300" distR="114300">
                  <wp:extent cx="457200" cy="400050"/>
                  <wp:effectExtent l="0" t="0" r="0" b="0"/>
                  <wp:docPr id="19"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5" descr="IMG_280"/>
                          <pic:cNvPicPr>
                            <a:picLocks noChangeAspect="1"/>
                          </pic:cNvPicPr>
                        </pic:nvPicPr>
                        <pic:blipFill>
                          <a:blip r:embed="rId35"/>
                          <a:stretch>
                            <a:fillRect/>
                          </a:stretch>
                        </pic:blipFill>
                        <pic:spPr>
                          <a:xfrm>
                            <a:off x="0" y="0"/>
                            <a:ext cx="457200" cy="400050"/>
                          </a:xfrm>
                          <a:prstGeom prst="rect">
                            <a:avLst/>
                          </a:prstGeom>
                          <a:noFill/>
                          <a:ln w="9525">
                            <a:noFill/>
                          </a:ln>
                        </pic:spPr>
                      </pic:pic>
                    </a:graphicData>
                  </a:graphic>
                </wp:inline>
              </w:drawing>
            </w:r>
          </w:p>
        </w:tc>
      </w:tr>
      <w:tr w14:paraId="7FE7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DB2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1759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筷子消毒车（含门)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ED9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780*450*800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CE8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231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05DBD">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外壳采用SUS201优质不锈钢加工制作，紫外线及臭氧消毒，红外线加热带循环风机。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358A0">
            <w:pPr>
              <w:keepNext w:val="0"/>
              <w:keepLines w:val="0"/>
              <w:widowControl/>
              <w:suppressLineNumbers w:val="0"/>
              <w:jc w:val="left"/>
              <w:textAlignment w:val="bottom"/>
              <w:rPr>
                <w:rFonts w:hint="eastAsia" w:ascii="楷体" w:hAnsi="楷体" w:eastAsia="宋体" w:cs="楷体"/>
                <w:i w:val="0"/>
                <w:iCs w:val="0"/>
                <w:color w:val="000000"/>
                <w:sz w:val="21"/>
                <w:szCs w:val="24"/>
                <w:u w:val="none"/>
              </w:rPr>
            </w:pPr>
            <w:r>
              <w:rPr>
                <w:rFonts w:hint="eastAsia" w:ascii="楷体" w:hAnsi="楷体" w:eastAsia="宋体" w:cs="楷体"/>
                <w:i w:val="0"/>
                <w:iCs w:val="0"/>
                <w:color w:val="000000"/>
                <w:kern w:val="0"/>
                <w:sz w:val="21"/>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wp:posOffset>
                  </wp:positionH>
                  <wp:positionV relativeFrom="paragraph">
                    <wp:posOffset>-9525</wp:posOffset>
                  </wp:positionV>
                  <wp:extent cx="352425" cy="354965"/>
                  <wp:effectExtent l="0" t="0" r="9525" b="6985"/>
                  <wp:wrapNone/>
                  <wp:docPr id="24" name="图片_3_SpCnt_1"/>
                  <wp:cNvGraphicFramePr/>
                  <a:graphic xmlns:a="http://schemas.openxmlformats.org/drawingml/2006/main">
                    <a:graphicData uri="http://schemas.openxmlformats.org/drawingml/2006/picture">
                      <pic:pic xmlns:pic="http://schemas.openxmlformats.org/drawingml/2006/picture">
                        <pic:nvPicPr>
                          <pic:cNvPr id="24" name="图片_3_SpCnt_1"/>
                          <pic:cNvPicPr/>
                        </pic:nvPicPr>
                        <pic:blipFill>
                          <a:blip r:embed="rId36"/>
                          <a:stretch>
                            <a:fillRect/>
                          </a:stretch>
                        </pic:blipFill>
                        <pic:spPr>
                          <a:xfrm>
                            <a:off x="0" y="0"/>
                            <a:ext cx="352425" cy="354965"/>
                          </a:xfrm>
                          <a:prstGeom prst="rect">
                            <a:avLst/>
                          </a:prstGeom>
                          <a:noFill/>
                          <a:ln>
                            <a:noFill/>
                          </a:ln>
                        </pic:spPr>
                      </pic:pic>
                    </a:graphicData>
                  </a:graphic>
                </wp:anchor>
              </w:drawing>
            </w:r>
          </w:p>
        </w:tc>
      </w:tr>
      <w:tr w14:paraId="41D2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3E6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F52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不锈钢碗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8B5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14CM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B89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AAE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91D36">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双层，采用SUS201优质不锈钢制作。</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44946C40">
            <w:pPr>
              <w:rPr>
                <w:rFonts w:hint="eastAsia" w:ascii="楷体" w:hAnsi="楷体" w:eastAsia="宋体" w:cs="楷体"/>
                <w:i w:val="0"/>
                <w:iCs w:val="0"/>
                <w:color w:val="000000"/>
                <w:sz w:val="21"/>
                <w:szCs w:val="28"/>
                <w:u w:val="none"/>
              </w:rPr>
            </w:pPr>
          </w:p>
        </w:tc>
      </w:tr>
      <w:tr w14:paraId="0239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C9C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D7E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不锈钢餐盘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F23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153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F1E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D1D64">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采用SUS201优质不锈钢制作。</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C073BC0">
            <w:pPr>
              <w:rPr>
                <w:rFonts w:hint="eastAsia" w:ascii="楷体" w:hAnsi="楷体" w:eastAsia="宋体" w:cs="楷体"/>
                <w:i w:val="0"/>
                <w:iCs w:val="0"/>
                <w:color w:val="000000"/>
                <w:sz w:val="21"/>
                <w:szCs w:val="28"/>
                <w:u w:val="none"/>
              </w:rPr>
            </w:pPr>
          </w:p>
        </w:tc>
      </w:tr>
      <w:tr w14:paraId="36B9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D68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688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大包筷子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272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100双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3AC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95E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C69BD">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采用竹木制作。</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63614687">
            <w:pPr>
              <w:rPr>
                <w:rFonts w:hint="eastAsia" w:ascii="楷体" w:hAnsi="楷体" w:eastAsia="宋体" w:cs="楷体"/>
                <w:i w:val="0"/>
                <w:iCs w:val="0"/>
                <w:color w:val="000000"/>
                <w:sz w:val="21"/>
                <w:szCs w:val="28"/>
                <w:u w:val="none"/>
              </w:rPr>
            </w:pPr>
          </w:p>
        </w:tc>
      </w:tr>
      <w:tr w14:paraId="6AE9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37B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7AD0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汤匙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083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14.5*4.2cm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E70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A3A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4F3B2">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采用SUS201优质不锈钢制作。</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BC077CF">
            <w:pPr>
              <w:rPr>
                <w:rFonts w:hint="eastAsia" w:ascii="楷体" w:hAnsi="楷体" w:eastAsia="宋体" w:cs="楷体"/>
                <w:i w:val="0"/>
                <w:iCs w:val="0"/>
                <w:color w:val="000000"/>
                <w:sz w:val="21"/>
                <w:szCs w:val="28"/>
                <w:u w:val="none"/>
              </w:rPr>
            </w:pPr>
          </w:p>
        </w:tc>
      </w:tr>
      <w:tr w14:paraId="3C6B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A8E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D7EC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风幕机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91B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654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AAD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5C0F8">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电机运行平稳，内置过热保护器，性能安全可靠，可持续运行5000小时，出风平稳均匀；锋利强劲，运转平静，低噪音，且更耐腐蚀耐磨损</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DF3D6C9">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-806450</wp:posOffset>
                  </wp:positionV>
                  <wp:extent cx="487045" cy="497205"/>
                  <wp:effectExtent l="0" t="0" r="8255" b="17145"/>
                  <wp:wrapNone/>
                  <wp:docPr id="29" name="图片_56"/>
                  <wp:cNvGraphicFramePr/>
                  <a:graphic xmlns:a="http://schemas.openxmlformats.org/drawingml/2006/main">
                    <a:graphicData uri="http://schemas.openxmlformats.org/drawingml/2006/picture">
                      <pic:pic xmlns:pic="http://schemas.openxmlformats.org/drawingml/2006/picture">
                        <pic:nvPicPr>
                          <pic:cNvPr id="29" name="图片_56"/>
                          <pic:cNvPicPr/>
                        </pic:nvPicPr>
                        <pic:blipFill>
                          <a:blip r:embed="rId37"/>
                          <a:stretch>
                            <a:fillRect/>
                          </a:stretch>
                        </pic:blipFill>
                        <pic:spPr>
                          <a:xfrm>
                            <a:off x="0" y="0"/>
                            <a:ext cx="487045" cy="497205"/>
                          </a:xfrm>
                          <a:prstGeom prst="rect">
                            <a:avLst/>
                          </a:prstGeom>
                          <a:noFill/>
                          <a:ln>
                            <a:noFill/>
                          </a:ln>
                        </pic:spPr>
                      </pic:pic>
                    </a:graphicData>
                  </a:graphic>
                </wp:anchor>
              </w:drawing>
            </w:r>
          </w:p>
        </w:tc>
      </w:tr>
      <w:tr w14:paraId="3C1B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F92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EE9F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风幕机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69D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A36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BCC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CD6D8">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电机运行平稳，内置过热保护器，性能安全可靠，可持续运行5000小时，出风平稳均匀；锋利强劲，运转平静，低噪音，且更耐腐蚀耐磨损</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05904D8">
            <w:pP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-572770</wp:posOffset>
                  </wp:positionV>
                  <wp:extent cx="485140" cy="499745"/>
                  <wp:effectExtent l="0" t="0" r="10160" b="14605"/>
                  <wp:wrapNone/>
                  <wp:docPr id="16" name="图片_56_SpCnt_1"/>
                  <wp:cNvGraphicFramePr/>
                  <a:graphic xmlns:a="http://schemas.openxmlformats.org/drawingml/2006/main">
                    <a:graphicData uri="http://schemas.openxmlformats.org/drawingml/2006/picture">
                      <pic:pic xmlns:pic="http://schemas.openxmlformats.org/drawingml/2006/picture">
                        <pic:nvPicPr>
                          <pic:cNvPr id="16" name="图片_56_SpCnt_1"/>
                          <pic:cNvPicPr/>
                        </pic:nvPicPr>
                        <pic:blipFill>
                          <a:blip r:embed="rId38"/>
                          <a:stretch>
                            <a:fillRect/>
                          </a:stretch>
                        </pic:blipFill>
                        <pic:spPr>
                          <a:xfrm>
                            <a:off x="0" y="0"/>
                            <a:ext cx="485140" cy="499745"/>
                          </a:xfrm>
                          <a:prstGeom prst="rect">
                            <a:avLst/>
                          </a:prstGeom>
                          <a:noFill/>
                          <a:ln>
                            <a:noFill/>
                          </a:ln>
                        </pic:spPr>
                      </pic:pic>
                    </a:graphicData>
                  </a:graphic>
                </wp:anchor>
              </w:drawing>
            </w:r>
          </w:p>
        </w:tc>
      </w:tr>
      <w:tr w14:paraId="57B7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576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5D69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风幕机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CB1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E0B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A51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1C221">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电机运行平稳，内置过热保护器，性能安全可靠，可持续运行5000小时，出风平稳均匀；锋利强劲，运转平静，低噪音，且更耐腐蚀耐磨损</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2C074F2">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-713105</wp:posOffset>
                  </wp:positionV>
                  <wp:extent cx="486410" cy="497205"/>
                  <wp:effectExtent l="0" t="0" r="8890" b="17145"/>
                  <wp:wrapNone/>
                  <wp:docPr id="28" name="图片_56_SpCnt_2"/>
                  <wp:cNvGraphicFramePr/>
                  <a:graphic xmlns:a="http://schemas.openxmlformats.org/drawingml/2006/main">
                    <a:graphicData uri="http://schemas.openxmlformats.org/drawingml/2006/picture">
                      <pic:pic xmlns:pic="http://schemas.openxmlformats.org/drawingml/2006/picture">
                        <pic:nvPicPr>
                          <pic:cNvPr id="28" name="图片_56_SpCnt_2"/>
                          <pic:cNvPicPr/>
                        </pic:nvPicPr>
                        <pic:blipFill>
                          <a:blip r:embed="rId37"/>
                          <a:stretch>
                            <a:fillRect/>
                          </a:stretch>
                        </pic:blipFill>
                        <pic:spPr>
                          <a:xfrm>
                            <a:off x="0" y="0"/>
                            <a:ext cx="486410" cy="497205"/>
                          </a:xfrm>
                          <a:prstGeom prst="rect">
                            <a:avLst/>
                          </a:prstGeom>
                          <a:noFill/>
                          <a:ln>
                            <a:noFill/>
                          </a:ln>
                        </pic:spPr>
                      </pic:pic>
                    </a:graphicData>
                  </a:graphic>
                </wp:anchor>
              </w:drawing>
            </w:r>
          </w:p>
        </w:tc>
      </w:tr>
      <w:tr w14:paraId="2D80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E75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CDB3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紫外线消毒灯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B70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3FF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7CE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C9C35">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 xml:space="preserve">利用紫外线的杀菌作用进行灭菌消毒的灯具，杀菌能力最强，杀菌力 99%                     </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9EA0A39">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anchor distT="0" distB="0" distL="114300" distR="114300" simplePos="0" relativeHeight="251659264" behindDoc="0" locked="0" layoutInCell="1" allowOverlap="1">
                  <wp:simplePos x="0" y="0"/>
                  <wp:positionH relativeFrom="column">
                    <wp:posOffset>38735</wp:posOffset>
                  </wp:positionH>
                  <wp:positionV relativeFrom="paragraph">
                    <wp:posOffset>-59690</wp:posOffset>
                  </wp:positionV>
                  <wp:extent cx="323215" cy="462915"/>
                  <wp:effectExtent l="0" t="0" r="635" b="13335"/>
                  <wp:wrapNone/>
                  <wp:docPr id="20" name="图片_58"/>
                  <wp:cNvGraphicFramePr/>
                  <a:graphic xmlns:a="http://schemas.openxmlformats.org/drawingml/2006/main">
                    <a:graphicData uri="http://schemas.openxmlformats.org/drawingml/2006/picture">
                      <pic:pic xmlns:pic="http://schemas.openxmlformats.org/drawingml/2006/picture">
                        <pic:nvPicPr>
                          <pic:cNvPr id="20" name="图片_58"/>
                          <pic:cNvPicPr/>
                        </pic:nvPicPr>
                        <pic:blipFill>
                          <a:blip r:embed="rId39"/>
                          <a:stretch>
                            <a:fillRect/>
                          </a:stretch>
                        </pic:blipFill>
                        <pic:spPr>
                          <a:xfrm>
                            <a:off x="0" y="0"/>
                            <a:ext cx="323215" cy="462915"/>
                          </a:xfrm>
                          <a:prstGeom prst="rect">
                            <a:avLst/>
                          </a:prstGeom>
                          <a:noFill/>
                          <a:ln>
                            <a:noFill/>
                          </a:ln>
                        </pic:spPr>
                      </pic:pic>
                    </a:graphicData>
                  </a:graphic>
                </wp:anchor>
              </w:drawing>
            </w:r>
          </w:p>
        </w:tc>
      </w:tr>
      <w:tr w14:paraId="2FA8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B7E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904A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灭蝇灯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7D3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1D6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26E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1DAEF">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灭蚊灯是根据蚊子的生活习性，通过释放光束化学物质诱蚊后再通过负压装置捕蚊的一种简易实用机械装置</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55C2705">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anchor distT="0" distB="0" distL="114300" distR="114300" simplePos="0" relativeHeight="251659264" behindDoc="0" locked="0" layoutInCell="1" allowOverlap="1">
                  <wp:simplePos x="0" y="0"/>
                  <wp:positionH relativeFrom="column">
                    <wp:posOffset>-46990</wp:posOffset>
                  </wp:positionH>
                  <wp:positionV relativeFrom="paragraph">
                    <wp:posOffset>-212725</wp:posOffset>
                  </wp:positionV>
                  <wp:extent cx="497205" cy="499745"/>
                  <wp:effectExtent l="0" t="0" r="17145" b="14605"/>
                  <wp:wrapNone/>
                  <wp:docPr id="25" name="图片_59"/>
                  <wp:cNvGraphicFramePr/>
                  <a:graphic xmlns:a="http://schemas.openxmlformats.org/drawingml/2006/main">
                    <a:graphicData uri="http://schemas.openxmlformats.org/drawingml/2006/picture">
                      <pic:pic xmlns:pic="http://schemas.openxmlformats.org/drawingml/2006/picture">
                        <pic:nvPicPr>
                          <pic:cNvPr id="25" name="图片_59"/>
                          <pic:cNvPicPr/>
                        </pic:nvPicPr>
                        <pic:blipFill>
                          <a:blip r:embed="rId40"/>
                          <a:stretch>
                            <a:fillRect/>
                          </a:stretch>
                        </pic:blipFill>
                        <pic:spPr>
                          <a:xfrm>
                            <a:off x="0" y="0"/>
                            <a:ext cx="497205" cy="499745"/>
                          </a:xfrm>
                          <a:prstGeom prst="rect">
                            <a:avLst/>
                          </a:prstGeom>
                          <a:noFill/>
                          <a:ln>
                            <a:noFill/>
                          </a:ln>
                        </pic:spPr>
                      </pic:pic>
                    </a:graphicData>
                  </a:graphic>
                </wp:anchor>
              </w:drawing>
            </w:r>
          </w:p>
        </w:tc>
      </w:tr>
      <w:tr w14:paraId="751E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C2F475">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排烟系统</w:t>
            </w:r>
          </w:p>
        </w:tc>
        <w:tc>
          <w:tcPr>
            <w:tcW w:w="0" w:type="auto"/>
            <w:tcBorders>
              <w:top w:val="single" w:color="000000" w:sz="4" w:space="0"/>
              <w:left w:val="nil"/>
              <w:bottom w:val="single" w:color="000000" w:sz="4" w:space="0"/>
              <w:right w:val="nil"/>
            </w:tcBorders>
            <w:shd w:val="clear" w:color="auto" w:fill="auto"/>
            <w:noWrap/>
            <w:vAlign w:val="center"/>
          </w:tcPr>
          <w:p w14:paraId="1915C457">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4D75D890">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7EE7215C">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6DEAC3D1">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nil"/>
            </w:tcBorders>
            <w:shd w:val="clear" w:color="auto" w:fill="auto"/>
            <w:noWrap/>
            <w:vAlign w:val="center"/>
          </w:tcPr>
          <w:p w14:paraId="1A8AE986">
            <w:pPr>
              <w:rPr>
                <w:rFonts w:hint="eastAsia" w:ascii="楷体" w:hAnsi="楷体" w:eastAsia="宋体" w:cs="楷体"/>
                <w:i w:val="0"/>
                <w:iCs w:val="0"/>
                <w:color w:val="000000"/>
                <w:sz w:val="21"/>
                <w:szCs w:val="2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DBBC40">
            <w:pPr>
              <w:rPr>
                <w:rFonts w:hint="eastAsia" w:ascii="楷体" w:hAnsi="楷体" w:eastAsia="宋体" w:cs="楷体"/>
                <w:i w:val="0"/>
                <w:iCs w:val="0"/>
                <w:color w:val="000000"/>
                <w:sz w:val="21"/>
                <w:szCs w:val="28"/>
                <w:u w:val="none"/>
              </w:rPr>
            </w:pPr>
          </w:p>
        </w:tc>
      </w:tr>
      <w:tr w14:paraId="7CD9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C51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FD3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热菜间不锈钢油烟罩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BBD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3200*1500*500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ADD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EC3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A6D0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采用SUS201 1.0mm厚不锈钢加工制作，烟罩周边作折边加强处理，内置油槽下挂接油盒。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638A1">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561975" cy="371475"/>
                  <wp:effectExtent l="0" t="0" r="9525" b="9525"/>
                  <wp:docPr id="30"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6" descr="IMG_281"/>
                          <pic:cNvPicPr>
                            <a:picLocks noChangeAspect="1"/>
                          </pic:cNvPicPr>
                        </pic:nvPicPr>
                        <pic:blipFill>
                          <a:blip r:embed="rId41"/>
                          <a:stretch>
                            <a:fillRect/>
                          </a:stretch>
                        </pic:blipFill>
                        <pic:spPr>
                          <a:xfrm>
                            <a:off x="0" y="0"/>
                            <a:ext cx="561975" cy="371475"/>
                          </a:xfrm>
                          <a:prstGeom prst="rect">
                            <a:avLst/>
                          </a:prstGeom>
                          <a:noFill/>
                          <a:ln w="9525">
                            <a:noFill/>
                          </a:ln>
                        </pic:spPr>
                      </pic:pic>
                    </a:graphicData>
                  </a:graphic>
                </wp:inline>
              </w:drawing>
            </w:r>
          </w:p>
        </w:tc>
      </w:tr>
      <w:tr w14:paraId="0DA3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380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6FDC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不锈钢隔油网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8F54">
            <w:pPr>
              <w:jc w:val="cente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7D87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73A5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7603B5">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无磁201不锈钢焊接而成。后厨专用，安全方便，寿命长，易清洗。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B106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14325" cy="238125"/>
                  <wp:effectExtent l="0" t="0" r="9525" b="9525"/>
                  <wp:docPr id="14"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7" descr="IMG_282"/>
                          <pic:cNvPicPr>
                            <a:picLocks noChangeAspect="1"/>
                          </pic:cNvPicPr>
                        </pic:nvPicPr>
                        <pic:blipFill>
                          <a:blip r:embed="rId42"/>
                          <a:stretch>
                            <a:fillRect/>
                          </a:stretch>
                        </pic:blipFill>
                        <pic:spPr>
                          <a:xfrm>
                            <a:off x="0" y="0"/>
                            <a:ext cx="314325" cy="238125"/>
                          </a:xfrm>
                          <a:prstGeom prst="rect">
                            <a:avLst/>
                          </a:prstGeom>
                          <a:noFill/>
                          <a:ln w="9525">
                            <a:noFill/>
                          </a:ln>
                        </pic:spPr>
                      </pic:pic>
                    </a:graphicData>
                  </a:graphic>
                </wp:inline>
              </w:drawing>
            </w:r>
            <w:r>
              <w:rPr>
                <w:rFonts w:hint="eastAsia" w:ascii="楷体" w:hAnsi="楷体" w:eastAsia="宋体" w:cs="楷体"/>
                <w:i w:val="0"/>
                <w:iCs w:val="0"/>
                <w:color w:val="000000"/>
                <w:kern w:val="0"/>
                <w:sz w:val="21"/>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121285</wp:posOffset>
                  </wp:positionV>
                  <wp:extent cx="0" cy="424815"/>
                  <wp:effectExtent l="0" t="0" r="0" b="0"/>
                  <wp:wrapNone/>
                  <wp:docPr id="21" name="图片_4_SpCnt_1"/>
                  <wp:cNvGraphicFramePr/>
                  <a:graphic xmlns:a="http://schemas.openxmlformats.org/drawingml/2006/main">
                    <a:graphicData uri="http://schemas.openxmlformats.org/drawingml/2006/picture">
                      <pic:pic xmlns:pic="http://schemas.openxmlformats.org/drawingml/2006/picture">
                        <pic:nvPicPr>
                          <pic:cNvPr id="21" name="图片_4_SpCnt_1"/>
                          <pic:cNvPicPr/>
                        </pic:nvPicPr>
                        <pic:blipFill>
                          <a:blip r:embed="rId43"/>
                          <a:stretch>
                            <a:fillRect/>
                          </a:stretch>
                        </pic:blipFill>
                        <pic:spPr>
                          <a:xfrm>
                            <a:off x="0" y="0"/>
                            <a:ext cx="0" cy="424815"/>
                          </a:xfrm>
                          <a:prstGeom prst="rect">
                            <a:avLst/>
                          </a:prstGeom>
                          <a:noFill/>
                          <a:ln>
                            <a:noFill/>
                          </a:ln>
                        </pic:spPr>
                      </pic:pic>
                    </a:graphicData>
                  </a:graphic>
                </wp:anchor>
              </w:drawing>
            </w:r>
          </w:p>
        </w:tc>
      </w:tr>
      <w:tr w14:paraId="6763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416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5935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LED烟罩灯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79CB">
            <w:pPr>
              <w:jc w:val="cente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3FE9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EAFC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891F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厨房专用，高亮度，防潮，防高温。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865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71475" cy="295275"/>
                  <wp:effectExtent l="0" t="0" r="9525" b="9525"/>
                  <wp:docPr id="22"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8" descr="IMG_283"/>
                          <pic:cNvPicPr>
                            <a:picLocks noChangeAspect="1"/>
                          </pic:cNvPicPr>
                        </pic:nvPicPr>
                        <pic:blipFill>
                          <a:blip r:embed="rId44"/>
                          <a:stretch>
                            <a:fillRect/>
                          </a:stretch>
                        </pic:blipFill>
                        <pic:spPr>
                          <a:xfrm>
                            <a:off x="0" y="0"/>
                            <a:ext cx="371475" cy="295275"/>
                          </a:xfrm>
                          <a:prstGeom prst="rect">
                            <a:avLst/>
                          </a:prstGeom>
                          <a:noFill/>
                          <a:ln w="9525">
                            <a:noFill/>
                          </a:ln>
                        </pic:spPr>
                      </pic:pic>
                    </a:graphicData>
                  </a:graphic>
                </wp:inline>
              </w:drawing>
            </w:r>
          </w:p>
        </w:tc>
      </w:tr>
      <w:tr w14:paraId="3308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BC7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8850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不锈钢管道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391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400*400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A330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700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1BB8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采用SUS201 1.0mm厚不锈钢加工制作，周边作折边加强处理。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5FF5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00050" cy="361950"/>
                  <wp:effectExtent l="0" t="0" r="0" b="0"/>
                  <wp:docPr id="26"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9" descr="IMG_284"/>
                          <pic:cNvPicPr>
                            <a:picLocks noChangeAspect="1"/>
                          </pic:cNvPicPr>
                        </pic:nvPicPr>
                        <pic:blipFill>
                          <a:blip r:embed="rId45"/>
                          <a:stretch>
                            <a:fillRect/>
                          </a:stretch>
                        </pic:blipFill>
                        <pic:spPr>
                          <a:xfrm>
                            <a:off x="0" y="0"/>
                            <a:ext cx="400050" cy="361950"/>
                          </a:xfrm>
                          <a:prstGeom prst="rect">
                            <a:avLst/>
                          </a:prstGeom>
                          <a:noFill/>
                          <a:ln w="9525">
                            <a:noFill/>
                          </a:ln>
                        </pic:spPr>
                      </pic:pic>
                    </a:graphicData>
                  </a:graphic>
                </wp:inline>
              </w:drawing>
            </w:r>
          </w:p>
        </w:tc>
      </w:tr>
      <w:tr w14:paraId="69C9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674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E9D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不锈钢弯头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781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38B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AE7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A415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采用SUS201 1.0mm厚不锈钢加工制作，周边作折边加强处理。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FEFA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00050" cy="361950"/>
                  <wp:effectExtent l="0" t="0" r="0" b="0"/>
                  <wp:docPr id="15"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0" descr="IMG_285"/>
                          <pic:cNvPicPr>
                            <a:picLocks noChangeAspect="1"/>
                          </pic:cNvPicPr>
                        </pic:nvPicPr>
                        <pic:blipFill>
                          <a:blip r:embed="rId45"/>
                          <a:stretch>
                            <a:fillRect/>
                          </a:stretch>
                        </pic:blipFill>
                        <pic:spPr>
                          <a:xfrm>
                            <a:off x="0" y="0"/>
                            <a:ext cx="400050" cy="361950"/>
                          </a:xfrm>
                          <a:prstGeom prst="rect">
                            <a:avLst/>
                          </a:prstGeom>
                          <a:noFill/>
                          <a:ln w="9525">
                            <a:noFill/>
                          </a:ln>
                        </pic:spPr>
                      </pic:pic>
                    </a:graphicData>
                  </a:graphic>
                </wp:inline>
              </w:drawing>
            </w:r>
          </w:p>
        </w:tc>
      </w:tr>
      <w:tr w14:paraId="5E8F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AF2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640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净化器(不锈钢外壳）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20F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Style w:val="54"/>
                <w:rFonts w:eastAsia="宋体"/>
                <w:sz w:val="21"/>
                <w:lang w:val="en-US" w:eastAsia="zh-CN" w:bidi="ar"/>
              </w:rPr>
              <w:t>4000m</w:t>
            </w:r>
            <w:r>
              <w:rPr>
                <w:rStyle w:val="57"/>
                <w:rFonts w:eastAsia="宋体"/>
                <w:sz w:val="21"/>
                <w:lang w:val="en-US" w:eastAsia="zh-CN" w:bidi="ar"/>
              </w:rPr>
              <w:t>³</w:t>
            </w:r>
            <w:r>
              <w:rPr>
                <w:rStyle w:val="54"/>
                <w:rFonts w:eastAsia="宋体"/>
                <w:sz w:val="21"/>
                <w:lang w:val="en-US" w:eastAsia="zh-CN" w:bidi="ar"/>
              </w:rPr>
              <w: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44C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C3D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2D8C8">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高压分离、低压吸附有效避免高低压分离电场出现的仅有高压或低压工作的问题；电离分解作用好，不容易短路，能分解大的颗粒物；内部风道宽大出风口，有效降低整体噪音。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52D98">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504825" cy="485775"/>
                  <wp:effectExtent l="0" t="0" r="9525" b="9525"/>
                  <wp:docPr id="2"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descr="IMG_286"/>
                          <pic:cNvPicPr>
                            <a:picLocks noChangeAspect="1"/>
                          </pic:cNvPicPr>
                        </pic:nvPicPr>
                        <pic:blipFill>
                          <a:blip r:embed="rId46"/>
                          <a:stretch>
                            <a:fillRect/>
                          </a:stretch>
                        </pic:blipFill>
                        <pic:spPr>
                          <a:xfrm>
                            <a:off x="0" y="0"/>
                            <a:ext cx="504825" cy="485775"/>
                          </a:xfrm>
                          <a:prstGeom prst="rect">
                            <a:avLst/>
                          </a:prstGeom>
                          <a:noFill/>
                          <a:ln w="9525">
                            <a:noFill/>
                          </a:ln>
                        </pic:spPr>
                      </pic:pic>
                    </a:graphicData>
                  </a:graphic>
                </wp:inline>
              </w:drawing>
            </w:r>
          </w:p>
        </w:tc>
      </w:tr>
      <w:tr w14:paraId="2D01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4D7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66F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不锈钢百叶窗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CCD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038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884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5F04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主体采用SUS201 1.0㎜厚不锈钢加工制作。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0EF92">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23850" cy="323850"/>
                  <wp:effectExtent l="0" t="0" r="0" b="0"/>
                  <wp:docPr id="6"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2" descr="IMG_287"/>
                          <pic:cNvPicPr>
                            <a:picLocks noChangeAspect="1"/>
                          </pic:cNvPicPr>
                        </pic:nvPicPr>
                        <pic:blipFill>
                          <a:blip r:embed="rId47"/>
                          <a:stretch>
                            <a:fillRect/>
                          </a:stretch>
                        </pic:blipFill>
                        <pic:spPr>
                          <a:xfrm>
                            <a:off x="0" y="0"/>
                            <a:ext cx="323850" cy="323850"/>
                          </a:xfrm>
                          <a:prstGeom prst="rect">
                            <a:avLst/>
                          </a:prstGeom>
                          <a:noFill/>
                          <a:ln w="9525">
                            <a:noFill/>
                          </a:ln>
                        </pic:spPr>
                      </pic:pic>
                    </a:graphicData>
                  </a:graphic>
                </wp:inline>
              </w:drawing>
            </w:r>
          </w:p>
        </w:tc>
      </w:tr>
      <w:tr w14:paraId="6DF5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3BD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E23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轴流机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593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φ40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D0A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C01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563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铜线电机，风量大，外形紧凑。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8A8B2">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81000" cy="381000"/>
                  <wp:effectExtent l="0" t="0" r="0" b="0"/>
                  <wp:docPr id="7"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3" descr="IMG_288"/>
                          <pic:cNvPicPr>
                            <a:picLocks noChangeAspect="1"/>
                          </pic:cNvPicPr>
                        </pic:nvPicPr>
                        <pic:blipFill>
                          <a:blip r:embed="rId48"/>
                          <a:stretch>
                            <a:fillRect/>
                          </a:stretch>
                        </pic:blipFill>
                        <pic:spPr>
                          <a:xfrm>
                            <a:off x="0" y="0"/>
                            <a:ext cx="381000" cy="381000"/>
                          </a:xfrm>
                          <a:prstGeom prst="rect">
                            <a:avLst/>
                          </a:prstGeom>
                          <a:noFill/>
                          <a:ln w="9525">
                            <a:noFill/>
                          </a:ln>
                        </pic:spPr>
                      </pic:pic>
                    </a:graphicData>
                  </a:graphic>
                </wp:inline>
              </w:drawing>
            </w:r>
          </w:p>
        </w:tc>
      </w:tr>
      <w:tr w14:paraId="32FD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45A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7B3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开墙洞(窗洞）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03A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E3F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09F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E304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墙体或窗户开洞（不含修复）。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8B85">
            <w:pPr>
              <w:jc w:val="center"/>
              <w:rPr>
                <w:rFonts w:hint="eastAsia" w:ascii="楷体" w:hAnsi="楷体" w:eastAsia="宋体" w:cs="楷体"/>
                <w:i w:val="0"/>
                <w:iCs w:val="0"/>
                <w:color w:val="000000"/>
                <w:sz w:val="21"/>
                <w:szCs w:val="28"/>
                <w:u w:val="none"/>
              </w:rPr>
            </w:pPr>
          </w:p>
        </w:tc>
      </w:tr>
      <w:tr w14:paraId="38F2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114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23F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安装附件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E1CC">
            <w:pPr>
              <w:jc w:val="cente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61A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F5E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3F31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含角铁、吊杆、燕尾丝、密封胶等附件。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A20E">
            <w:pPr>
              <w:jc w:val="center"/>
              <w:rPr>
                <w:rFonts w:hint="eastAsia" w:ascii="楷体" w:hAnsi="楷体" w:eastAsia="宋体" w:cs="楷体"/>
                <w:i w:val="0"/>
                <w:iCs w:val="0"/>
                <w:color w:val="000000"/>
                <w:sz w:val="21"/>
                <w:szCs w:val="28"/>
                <w:u w:val="none"/>
              </w:rPr>
            </w:pPr>
          </w:p>
        </w:tc>
      </w:tr>
      <w:tr w14:paraId="2872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86B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4F3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主食间不锈钢油烟罩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EFA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4400*1100*500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D5F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76E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C04F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采用SUS201 1.0mm厚不锈钢加工制作，烟罩周边作折边加强处理，内置油槽下挂接油盒。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AFD3C">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561975" cy="371475"/>
                  <wp:effectExtent l="0" t="0" r="9525" b="9525"/>
                  <wp:docPr id="8"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4" descr="IMG_289"/>
                          <pic:cNvPicPr>
                            <a:picLocks noChangeAspect="1"/>
                          </pic:cNvPicPr>
                        </pic:nvPicPr>
                        <pic:blipFill>
                          <a:blip r:embed="rId41"/>
                          <a:stretch>
                            <a:fillRect/>
                          </a:stretch>
                        </pic:blipFill>
                        <pic:spPr>
                          <a:xfrm>
                            <a:off x="0" y="0"/>
                            <a:ext cx="561975" cy="371475"/>
                          </a:xfrm>
                          <a:prstGeom prst="rect">
                            <a:avLst/>
                          </a:prstGeom>
                          <a:noFill/>
                          <a:ln w="9525">
                            <a:noFill/>
                          </a:ln>
                        </pic:spPr>
                      </pic:pic>
                    </a:graphicData>
                  </a:graphic>
                </wp:inline>
              </w:drawing>
            </w:r>
          </w:p>
        </w:tc>
      </w:tr>
      <w:tr w14:paraId="2314C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85A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1DB7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不锈钢隔油网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3F9F">
            <w:pPr>
              <w:jc w:val="cente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0E02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2812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F12C04">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无磁201不锈钢焊接而成。后厨专用，安全方便，寿命长，易清洗。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357C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14325" cy="238125"/>
                  <wp:effectExtent l="0" t="0" r="9525" b="9525"/>
                  <wp:docPr id="9"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5" descr="IMG_290"/>
                          <pic:cNvPicPr>
                            <a:picLocks noChangeAspect="1"/>
                          </pic:cNvPicPr>
                        </pic:nvPicPr>
                        <pic:blipFill>
                          <a:blip r:embed="rId42"/>
                          <a:stretch>
                            <a:fillRect/>
                          </a:stretch>
                        </pic:blipFill>
                        <pic:spPr>
                          <a:xfrm>
                            <a:off x="0" y="0"/>
                            <a:ext cx="314325" cy="238125"/>
                          </a:xfrm>
                          <a:prstGeom prst="rect">
                            <a:avLst/>
                          </a:prstGeom>
                          <a:noFill/>
                          <a:ln w="9525">
                            <a:noFill/>
                          </a:ln>
                        </pic:spPr>
                      </pic:pic>
                    </a:graphicData>
                  </a:graphic>
                </wp:inline>
              </w:drawing>
            </w:r>
            <w:r>
              <w:rPr>
                <w:rFonts w:hint="eastAsia" w:ascii="楷体" w:hAnsi="楷体" w:eastAsia="宋体" w:cs="楷体"/>
                <w:i w:val="0"/>
                <w:iCs w:val="0"/>
                <w:color w:val="000000"/>
                <w:kern w:val="0"/>
                <w:sz w:val="21"/>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121285</wp:posOffset>
                  </wp:positionV>
                  <wp:extent cx="0" cy="386715"/>
                  <wp:effectExtent l="0" t="0" r="0" b="0"/>
                  <wp:wrapNone/>
                  <wp:docPr id="10" name="图片_5"/>
                  <wp:cNvGraphicFramePr/>
                  <a:graphic xmlns:a="http://schemas.openxmlformats.org/drawingml/2006/main">
                    <a:graphicData uri="http://schemas.openxmlformats.org/drawingml/2006/picture">
                      <pic:pic xmlns:pic="http://schemas.openxmlformats.org/drawingml/2006/picture">
                        <pic:nvPicPr>
                          <pic:cNvPr id="10" name="图片_5"/>
                          <pic:cNvPicPr/>
                        </pic:nvPicPr>
                        <pic:blipFill>
                          <a:blip r:embed="rId43"/>
                          <a:stretch>
                            <a:fillRect/>
                          </a:stretch>
                        </pic:blipFill>
                        <pic:spPr>
                          <a:xfrm>
                            <a:off x="0" y="0"/>
                            <a:ext cx="0" cy="386715"/>
                          </a:xfrm>
                          <a:prstGeom prst="rect">
                            <a:avLst/>
                          </a:prstGeom>
                          <a:noFill/>
                          <a:ln>
                            <a:noFill/>
                          </a:ln>
                        </pic:spPr>
                      </pic:pic>
                    </a:graphicData>
                  </a:graphic>
                </wp:anchor>
              </w:drawing>
            </w:r>
          </w:p>
        </w:tc>
      </w:tr>
      <w:tr w14:paraId="7E8E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ECE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6E42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LED烟罩灯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C087">
            <w:pPr>
              <w:jc w:val="cente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0295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DBF1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CEA1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厨房专用，高亮度，防潮，防高温。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3CA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71475" cy="295275"/>
                  <wp:effectExtent l="0" t="0" r="9525" b="9525"/>
                  <wp:docPr id="11"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6" descr="IMG_291"/>
                          <pic:cNvPicPr>
                            <a:picLocks noChangeAspect="1"/>
                          </pic:cNvPicPr>
                        </pic:nvPicPr>
                        <pic:blipFill>
                          <a:blip r:embed="rId44"/>
                          <a:stretch>
                            <a:fillRect/>
                          </a:stretch>
                        </pic:blipFill>
                        <pic:spPr>
                          <a:xfrm>
                            <a:off x="0" y="0"/>
                            <a:ext cx="371475" cy="295275"/>
                          </a:xfrm>
                          <a:prstGeom prst="rect">
                            <a:avLst/>
                          </a:prstGeom>
                          <a:noFill/>
                          <a:ln w="9525">
                            <a:noFill/>
                          </a:ln>
                        </pic:spPr>
                      </pic:pic>
                    </a:graphicData>
                  </a:graphic>
                </wp:inline>
              </w:drawing>
            </w:r>
          </w:p>
        </w:tc>
      </w:tr>
      <w:tr w14:paraId="4572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26F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D1C7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不锈钢管道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1FD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500*500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B00B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B0E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B198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采用SUS201 1.0mm厚不锈钢加工制作，周边作折边加强处理。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D645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00050" cy="361950"/>
                  <wp:effectExtent l="0" t="0" r="0" b="0"/>
                  <wp:docPr id="12"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7" descr="IMG_292"/>
                          <pic:cNvPicPr>
                            <a:picLocks noChangeAspect="1"/>
                          </pic:cNvPicPr>
                        </pic:nvPicPr>
                        <pic:blipFill>
                          <a:blip r:embed="rId45"/>
                          <a:stretch>
                            <a:fillRect/>
                          </a:stretch>
                        </pic:blipFill>
                        <pic:spPr>
                          <a:xfrm>
                            <a:off x="0" y="0"/>
                            <a:ext cx="400050" cy="361950"/>
                          </a:xfrm>
                          <a:prstGeom prst="rect">
                            <a:avLst/>
                          </a:prstGeom>
                          <a:noFill/>
                          <a:ln w="9525">
                            <a:noFill/>
                          </a:ln>
                        </pic:spPr>
                      </pic:pic>
                    </a:graphicData>
                  </a:graphic>
                </wp:inline>
              </w:drawing>
            </w:r>
          </w:p>
        </w:tc>
      </w:tr>
      <w:tr w14:paraId="78C7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939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0B12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不锈钢变接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0E66">
            <w:pPr>
              <w:jc w:val="cente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F87D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D30B">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C5DC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采用SUS201 1.0mm厚不锈钢加工制作，周边作折边加强处理。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298C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00050" cy="361950"/>
                  <wp:effectExtent l="0" t="0" r="0" b="0"/>
                  <wp:docPr id="13"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8" descr="IMG_293"/>
                          <pic:cNvPicPr>
                            <a:picLocks noChangeAspect="1"/>
                          </pic:cNvPicPr>
                        </pic:nvPicPr>
                        <pic:blipFill>
                          <a:blip r:embed="rId45"/>
                          <a:stretch>
                            <a:fillRect/>
                          </a:stretch>
                        </pic:blipFill>
                        <pic:spPr>
                          <a:xfrm>
                            <a:off x="0" y="0"/>
                            <a:ext cx="400050" cy="361950"/>
                          </a:xfrm>
                          <a:prstGeom prst="rect">
                            <a:avLst/>
                          </a:prstGeom>
                          <a:noFill/>
                          <a:ln w="9525">
                            <a:noFill/>
                          </a:ln>
                        </pic:spPr>
                      </pic:pic>
                    </a:graphicData>
                  </a:graphic>
                </wp:inline>
              </w:drawing>
            </w:r>
          </w:p>
        </w:tc>
      </w:tr>
      <w:tr w14:paraId="0F5B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16E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E9A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不锈钢弯头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759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87E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465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57EE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采用SUS201 1.0mm厚不锈钢加工制作，周边作折边加强处理。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8ACC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400050" cy="361950"/>
                  <wp:effectExtent l="0" t="0" r="0" b="0"/>
                  <wp:docPr id="56"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9" descr="IMG_294"/>
                          <pic:cNvPicPr>
                            <a:picLocks noChangeAspect="1"/>
                          </pic:cNvPicPr>
                        </pic:nvPicPr>
                        <pic:blipFill>
                          <a:blip r:embed="rId45"/>
                          <a:stretch>
                            <a:fillRect/>
                          </a:stretch>
                        </pic:blipFill>
                        <pic:spPr>
                          <a:xfrm>
                            <a:off x="0" y="0"/>
                            <a:ext cx="400050" cy="361950"/>
                          </a:xfrm>
                          <a:prstGeom prst="rect">
                            <a:avLst/>
                          </a:prstGeom>
                          <a:noFill/>
                          <a:ln w="9525">
                            <a:noFill/>
                          </a:ln>
                        </pic:spPr>
                      </pic:pic>
                    </a:graphicData>
                  </a:graphic>
                </wp:inline>
              </w:drawing>
            </w:r>
          </w:p>
        </w:tc>
      </w:tr>
      <w:tr w14:paraId="5045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477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85A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净化器(不锈钢外壳）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582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Style w:val="54"/>
                <w:rFonts w:eastAsia="宋体"/>
                <w:sz w:val="21"/>
                <w:lang w:val="en-US" w:eastAsia="zh-CN" w:bidi="ar"/>
              </w:rPr>
              <w:t>8000m</w:t>
            </w:r>
            <w:r>
              <w:rPr>
                <w:rStyle w:val="57"/>
                <w:rFonts w:eastAsia="宋体"/>
                <w:sz w:val="21"/>
                <w:lang w:val="en-US" w:eastAsia="zh-CN" w:bidi="ar"/>
              </w:rPr>
              <w:t>³</w:t>
            </w:r>
            <w:r>
              <w:rPr>
                <w:rStyle w:val="54"/>
                <w:rFonts w:eastAsia="宋体"/>
                <w:sz w:val="21"/>
                <w:lang w:val="en-US" w:eastAsia="zh-CN" w:bidi="ar"/>
              </w:rPr>
              <w: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53B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E0E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EB49B">
            <w:pPr>
              <w:keepNext w:val="0"/>
              <w:keepLines w:val="0"/>
              <w:widowControl/>
              <w:suppressLineNumbers w:val="0"/>
              <w:jc w:val="left"/>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高压分离、低压吸附有效避免高低压分离电场出现的仅有高压或低压工作的问题；电离分解作用好，不容易短路，能分解大的颗粒物；内部风道宽大出风口，有效降低整体噪音。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1786A">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504825" cy="485775"/>
                  <wp:effectExtent l="0" t="0" r="9525" b="9525"/>
                  <wp:docPr id="57"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0" descr="IMG_295"/>
                          <pic:cNvPicPr>
                            <a:picLocks noChangeAspect="1"/>
                          </pic:cNvPicPr>
                        </pic:nvPicPr>
                        <pic:blipFill>
                          <a:blip r:embed="rId46"/>
                          <a:stretch>
                            <a:fillRect/>
                          </a:stretch>
                        </pic:blipFill>
                        <pic:spPr>
                          <a:xfrm>
                            <a:off x="0" y="0"/>
                            <a:ext cx="504825" cy="485775"/>
                          </a:xfrm>
                          <a:prstGeom prst="rect">
                            <a:avLst/>
                          </a:prstGeom>
                          <a:noFill/>
                          <a:ln w="9525">
                            <a:noFill/>
                          </a:ln>
                        </pic:spPr>
                      </pic:pic>
                    </a:graphicData>
                  </a:graphic>
                </wp:inline>
              </w:drawing>
            </w:r>
          </w:p>
        </w:tc>
      </w:tr>
      <w:tr w14:paraId="1939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7EC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760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不锈钢百叶窗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7675">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9206">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785D">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AE58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主体采用SUS201 1.0㎜厚不锈钢加工制作。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46792">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23850" cy="323850"/>
                  <wp:effectExtent l="0" t="0" r="0" b="0"/>
                  <wp:docPr id="58"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1" descr="IMG_296"/>
                          <pic:cNvPicPr>
                            <a:picLocks noChangeAspect="1"/>
                          </pic:cNvPicPr>
                        </pic:nvPicPr>
                        <pic:blipFill>
                          <a:blip r:embed="rId47"/>
                          <a:stretch>
                            <a:fillRect/>
                          </a:stretch>
                        </pic:blipFill>
                        <pic:spPr>
                          <a:xfrm>
                            <a:off x="0" y="0"/>
                            <a:ext cx="323850" cy="323850"/>
                          </a:xfrm>
                          <a:prstGeom prst="rect">
                            <a:avLst/>
                          </a:prstGeom>
                          <a:noFill/>
                          <a:ln w="9525">
                            <a:noFill/>
                          </a:ln>
                        </pic:spPr>
                      </pic:pic>
                    </a:graphicData>
                  </a:graphic>
                </wp:inline>
              </w:drawing>
            </w:r>
          </w:p>
        </w:tc>
      </w:tr>
      <w:tr w14:paraId="021C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B7A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96B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轴流机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1C7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φ60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BC6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9473">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C6E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铜线电机，风量大，外形紧凑。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9CDA3">
            <w:pPr>
              <w:keepNext w:val="0"/>
              <w:keepLines w:val="0"/>
              <w:widowControl/>
              <w:suppressLineNumbers w:val="0"/>
              <w:jc w:val="left"/>
              <w:textAlignment w:val="bottom"/>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drawing>
                <wp:inline distT="0" distB="0" distL="114300" distR="114300">
                  <wp:extent cx="381000" cy="381000"/>
                  <wp:effectExtent l="0" t="0" r="0" b="0"/>
                  <wp:docPr id="59"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2" descr="IMG_297"/>
                          <pic:cNvPicPr>
                            <a:picLocks noChangeAspect="1"/>
                          </pic:cNvPicPr>
                        </pic:nvPicPr>
                        <pic:blipFill>
                          <a:blip r:embed="rId48"/>
                          <a:stretch>
                            <a:fillRect/>
                          </a:stretch>
                        </pic:blipFill>
                        <pic:spPr>
                          <a:xfrm>
                            <a:off x="0" y="0"/>
                            <a:ext cx="381000" cy="381000"/>
                          </a:xfrm>
                          <a:prstGeom prst="rect">
                            <a:avLst/>
                          </a:prstGeom>
                          <a:noFill/>
                          <a:ln w="9525">
                            <a:noFill/>
                          </a:ln>
                        </pic:spPr>
                      </pic:pic>
                    </a:graphicData>
                  </a:graphic>
                </wp:inline>
              </w:drawing>
            </w:r>
          </w:p>
        </w:tc>
      </w:tr>
      <w:tr w14:paraId="0A54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D60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4DEA">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开墙洞(窗洞）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AD3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500*500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2680">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B204">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4FF1F">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墙体或窗户开洞（不含修复）。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D748">
            <w:pPr>
              <w:jc w:val="center"/>
              <w:rPr>
                <w:rFonts w:hint="eastAsia" w:ascii="楷体" w:hAnsi="楷体" w:eastAsia="宋体" w:cs="楷体"/>
                <w:i w:val="0"/>
                <w:iCs w:val="0"/>
                <w:color w:val="000000"/>
                <w:sz w:val="21"/>
                <w:szCs w:val="28"/>
                <w:u w:val="none"/>
              </w:rPr>
            </w:pPr>
          </w:p>
        </w:tc>
      </w:tr>
      <w:tr w14:paraId="3A00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6C5E">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FB5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轴流机固定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8EBE">
            <w:pPr>
              <w:jc w:val="cente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C452">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1F0C">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DC08B">
            <w:pPr>
              <w:jc w:val="cente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C18B">
            <w:pPr>
              <w:jc w:val="center"/>
              <w:rPr>
                <w:rFonts w:hint="eastAsia" w:ascii="楷体" w:hAnsi="楷体" w:eastAsia="宋体" w:cs="楷体"/>
                <w:i w:val="0"/>
                <w:iCs w:val="0"/>
                <w:color w:val="000000"/>
                <w:sz w:val="21"/>
                <w:szCs w:val="28"/>
                <w:u w:val="none"/>
              </w:rPr>
            </w:pPr>
          </w:p>
        </w:tc>
      </w:tr>
      <w:tr w14:paraId="35B6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ABC9">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EFD1">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净化器固定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47C1">
            <w:pPr>
              <w:jc w:val="cente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CD78">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BA07">
            <w:pPr>
              <w:keepNext w:val="0"/>
              <w:keepLines w:val="0"/>
              <w:widowControl/>
              <w:suppressLineNumbers w:val="0"/>
              <w:jc w:val="center"/>
              <w:textAlignment w:val="center"/>
              <w:rPr>
                <w:rFonts w:hint="eastAsia" w:ascii="楷体" w:hAnsi="楷体" w:eastAsia="宋体" w:cs="楷体"/>
                <w:i w:val="0"/>
                <w:iCs w:val="0"/>
                <w:color w:val="000000"/>
                <w:sz w:val="21"/>
                <w:szCs w:val="28"/>
                <w:u w:val="none"/>
              </w:rPr>
            </w:pPr>
            <w:r>
              <w:rPr>
                <w:rFonts w:hint="eastAsia" w:ascii="楷体" w:hAnsi="楷体" w:eastAsia="宋体" w:cs="楷体"/>
                <w:i w:val="0"/>
                <w:iCs w:val="0"/>
                <w:color w:val="000000"/>
                <w:kern w:val="0"/>
                <w:sz w:val="21"/>
                <w:szCs w:val="2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297C1">
            <w:pPr>
              <w:jc w:val="center"/>
              <w:rPr>
                <w:rFonts w:hint="eastAsia" w:ascii="楷体" w:hAnsi="楷体" w:eastAsia="宋体" w:cs="楷体"/>
                <w:i w:val="0"/>
                <w:iCs w:val="0"/>
                <w:color w:val="000000"/>
                <w:sz w:val="21"/>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333D">
            <w:pPr>
              <w:jc w:val="center"/>
              <w:rPr>
                <w:rFonts w:hint="eastAsia" w:ascii="楷体" w:hAnsi="楷体" w:eastAsia="宋体" w:cs="楷体"/>
                <w:i w:val="0"/>
                <w:iCs w:val="0"/>
                <w:color w:val="000000"/>
                <w:sz w:val="21"/>
                <w:szCs w:val="28"/>
                <w:u w:val="none"/>
              </w:rPr>
            </w:pPr>
          </w:p>
        </w:tc>
      </w:tr>
    </w:tbl>
    <w:p w14:paraId="716834F6">
      <w:pPr>
        <w:rPr>
          <w:rFonts w:hint="eastAsia" w:asciiTheme="minorEastAsia" w:hAnsiTheme="minorEastAsia" w:eastAsiaTheme="minorEastAsia" w:cstheme="minorEastAsia"/>
          <w:b/>
          <w:bCs/>
          <w:spacing w:val="18"/>
          <w:sz w:val="31"/>
          <w:szCs w:val="31"/>
          <w:lang w:val="en-US" w:eastAsia="zh-CN"/>
        </w:rPr>
      </w:pPr>
      <w:r>
        <w:rPr>
          <w:rFonts w:hint="eastAsia" w:ascii="宋体" w:hAnsi="宋体" w:eastAsia="宋体" w:cs="宋体"/>
          <w:b/>
          <w:bCs/>
          <w:spacing w:val="18"/>
          <w:sz w:val="24"/>
          <w:szCs w:val="24"/>
          <w:lang w:val="en-US" w:eastAsia="zh-CN"/>
        </w:rPr>
        <w:t>三标段设备采购清单</w:t>
      </w:r>
      <w:r>
        <w:rPr>
          <w:rFonts w:hint="eastAsia" w:asciiTheme="minorEastAsia" w:hAnsiTheme="minorEastAsia" w:eastAsiaTheme="minorEastAsia" w:cstheme="minorEastAsia"/>
          <w:b/>
          <w:bCs/>
          <w:spacing w:val="18"/>
          <w:sz w:val="31"/>
          <w:szCs w:val="31"/>
          <w:lang w:val="en-US" w:eastAsia="zh-CN"/>
        </w:rPr>
        <w:t>：</w:t>
      </w:r>
    </w:p>
    <w:tbl>
      <w:tblPr>
        <w:tblStyle w:val="2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1"/>
        <w:gridCol w:w="829"/>
        <w:gridCol w:w="6962"/>
        <w:gridCol w:w="727"/>
        <w:gridCol w:w="422"/>
      </w:tblGrid>
      <w:tr w14:paraId="6539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4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DBB9E0">
            <w:pPr>
              <w:keepNext w:val="0"/>
              <w:keepLines w:val="0"/>
              <w:widowControl/>
              <w:suppressLineNumbers w:val="0"/>
              <w:jc w:val="center"/>
              <w:textAlignment w:val="center"/>
              <w:rPr>
                <w:rFonts w:hint="eastAsia" w:ascii="仿宋" w:hAnsi="仿宋" w:eastAsia="宋体" w:cs="仿宋"/>
                <w:b/>
                <w:bCs/>
                <w:i w:val="0"/>
                <w:iCs w:val="0"/>
                <w:color w:val="000000"/>
                <w:kern w:val="0"/>
                <w:sz w:val="21"/>
                <w:szCs w:val="20"/>
                <w:u w:val="none"/>
                <w:lang w:val="en-US" w:eastAsia="zh-CN" w:bidi="ar"/>
              </w:rPr>
            </w:pPr>
            <w:r>
              <w:rPr>
                <w:rFonts w:hint="eastAsia" w:ascii="仿宋" w:hAnsi="仿宋" w:eastAsia="宋体" w:cs="仿宋"/>
                <w:b/>
                <w:bCs/>
                <w:i w:val="0"/>
                <w:iCs w:val="0"/>
                <w:color w:val="000000"/>
                <w:kern w:val="0"/>
                <w:sz w:val="21"/>
                <w:szCs w:val="20"/>
                <w:u w:val="none"/>
                <w:lang w:val="en-US" w:eastAsia="zh-CN" w:bidi="ar"/>
              </w:rPr>
              <w:t>校园安防、网络、广播系统(上屯镇第一中心小学)设备设施清单</w:t>
            </w:r>
          </w:p>
        </w:tc>
      </w:tr>
      <w:tr w14:paraId="5F02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4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1EBABA">
            <w:pPr>
              <w:keepNext w:val="0"/>
              <w:keepLines w:val="0"/>
              <w:widowControl/>
              <w:suppressLineNumbers w:val="0"/>
              <w:jc w:val="center"/>
              <w:textAlignment w:val="center"/>
              <w:rPr>
                <w:rFonts w:hint="eastAsia" w:ascii="仿宋" w:hAnsi="仿宋" w:eastAsia="宋体" w:cs="仿宋"/>
                <w:b/>
                <w:bCs/>
                <w:i w:val="0"/>
                <w:iCs w:val="0"/>
                <w:color w:val="000000"/>
                <w:kern w:val="0"/>
                <w:sz w:val="21"/>
                <w:szCs w:val="20"/>
                <w:u w:val="none"/>
                <w:lang w:val="en-US" w:eastAsia="zh-CN" w:bidi="ar"/>
              </w:rPr>
            </w:pPr>
            <w:r>
              <w:rPr>
                <w:rFonts w:hint="eastAsia" w:ascii="仿宋" w:hAnsi="仿宋" w:eastAsia="宋体" w:cs="仿宋"/>
                <w:b/>
                <w:bCs/>
                <w:i w:val="0"/>
                <w:iCs w:val="0"/>
                <w:color w:val="000000"/>
                <w:kern w:val="0"/>
                <w:sz w:val="21"/>
                <w:szCs w:val="20"/>
                <w:u w:val="none"/>
                <w:lang w:val="en-US" w:eastAsia="zh-CN" w:bidi="ar"/>
              </w:rPr>
              <w:t>一、安防系统</w:t>
            </w:r>
          </w:p>
        </w:tc>
      </w:tr>
      <w:tr w14:paraId="0641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A296">
            <w:pPr>
              <w:keepNext w:val="0"/>
              <w:keepLines w:val="0"/>
              <w:widowControl/>
              <w:suppressLineNumbers w:val="0"/>
              <w:jc w:val="center"/>
              <w:textAlignment w:val="center"/>
              <w:rPr>
                <w:rFonts w:hint="eastAsia" w:ascii="仿宋" w:hAnsi="仿宋" w:eastAsia="宋体" w:cs="仿宋"/>
                <w:b/>
                <w:bCs/>
                <w:i w:val="0"/>
                <w:iCs w:val="0"/>
                <w:color w:val="000000"/>
                <w:sz w:val="21"/>
                <w:szCs w:val="20"/>
                <w:u w:val="none"/>
              </w:rPr>
            </w:pPr>
            <w:r>
              <w:rPr>
                <w:rFonts w:hint="eastAsia" w:ascii="仿宋" w:hAnsi="仿宋" w:eastAsia="宋体" w:cs="仿宋"/>
                <w:b/>
                <w:bCs/>
                <w:i w:val="0"/>
                <w:iCs w:val="0"/>
                <w:color w:val="000000"/>
                <w:kern w:val="0"/>
                <w:sz w:val="21"/>
                <w:szCs w:val="20"/>
                <w:u w:val="none"/>
                <w:lang w:val="en-US" w:eastAsia="zh-CN" w:bidi="ar"/>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22A8">
            <w:pPr>
              <w:keepNext w:val="0"/>
              <w:keepLines w:val="0"/>
              <w:widowControl/>
              <w:suppressLineNumbers w:val="0"/>
              <w:jc w:val="left"/>
              <w:textAlignment w:val="center"/>
              <w:rPr>
                <w:rFonts w:hint="eastAsia" w:ascii="仿宋" w:hAnsi="仿宋" w:eastAsia="宋体" w:cs="仿宋"/>
                <w:b/>
                <w:bCs/>
                <w:i w:val="0"/>
                <w:iCs w:val="0"/>
                <w:color w:val="000000"/>
                <w:sz w:val="21"/>
                <w:szCs w:val="20"/>
                <w:u w:val="none"/>
              </w:rPr>
            </w:pPr>
            <w:r>
              <w:rPr>
                <w:rFonts w:hint="eastAsia" w:ascii="仿宋" w:hAnsi="仿宋" w:eastAsia="宋体" w:cs="仿宋"/>
                <w:b/>
                <w:bCs/>
                <w:i w:val="0"/>
                <w:iCs w:val="0"/>
                <w:color w:val="000000"/>
                <w:kern w:val="0"/>
                <w:sz w:val="21"/>
                <w:szCs w:val="20"/>
                <w:u w:val="none"/>
                <w:lang w:val="en-US" w:eastAsia="zh-CN" w:bidi="ar"/>
              </w:rPr>
              <w:t>产品名称</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A43F">
            <w:pPr>
              <w:keepNext w:val="0"/>
              <w:keepLines w:val="0"/>
              <w:widowControl/>
              <w:suppressLineNumbers w:val="0"/>
              <w:jc w:val="center"/>
              <w:textAlignment w:val="center"/>
              <w:rPr>
                <w:rFonts w:hint="eastAsia" w:ascii="仿宋" w:hAnsi="仿宋" w:eastAsia="宋体" w:cs="仿宋"/>
                <w:b/>
                <w:bCs/>
                <w:i w:val="0"/>
                <w:iCs w:val="0"/>
                <w:color w:val="000000"/>
                <w:sz w:val="21"/>
                <w:szCs w:val="20"/>
                <w:u w:val="none"/>
              </w:rPr>
            </w:pPr>
            <w:r>
              <w:rPr>
                <w:rFonts w:hint="eastAsia" w:ascii="仿宋" w:hAnsi="仿宋" w:eastAsia="宋体" w:cs="仿宋"/>
                <w:b/>
                <w:bCs/>
                <w:i w:val="0"/>
                <w:iCs w:val="0"/>
                <w:color w:val="000000"/>
                <w:kern w:val="0"/>
                <w:sz w:val="21"/>
                <w:szCs w:val="20"/>
                <w:u w:val="none"/>
                <w:lang w:val="en-US" w:eastAsia="zh-CN" w:bidi="ar"/>
              </w:rPr>
              <w:t>产品描述</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EC95">
            <w:pPr>
              <w:keepNext w:val="0"/>
              <w:keepLines w:val="0"/>
              <w:widowControl/>
              <w:suppressLineNumbers w:val="0"/>
              <w:jc w:val="center"/>
              <w:textAlignment w:val="center"/>
              <w:rPr>
                <w:rFonts w:hint="eastAsia" w:ascii="仿宋" w:hAnsi="仿宋" w:eastAsia="宋体" w:cs="仿宋"/>
                <w:b/>
                <w:bCs/>
                <w:i w:val="0"/>
                <w:iCs w:val="0"/>
                <w:color w:val="000000"/>
                <w:sz w:val="21"/>
                <w:szCs w:val="20"/>
                <w:u w:val="none"/>
              </w:rPr>
            </w:pPr>
            <w:r>
              <w:rPr>
                <w:rFonts w:hint="eastAsia" w:ascii="仿宋" w:hAnsi="仿宋" w:eastAsia="宋体" w:cs="仿宋"/>
                <w:b/>
                <w:bCs/>
                <w:i w:val="0"/>
                <w:iCs w:val="0"/>
                <w:color w:val="000000"/>
                <w:kern w:val="0"/>
                <w:sz w:val="21"/>
                <w:szCs w:val="20"/>
                <w:u w:val="none"/>
                <w:lang w:val="en-US" w:eastAsia="zh-CN" w:bidi="ar"/>
              </w:rPr>
              <w:t>数量</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FA19">
            <w:pPr>
              <w:keepNext w:val="0"/>
              <w:keepLines w:val="0"/>
              <w:widowControl/>
              <w:suppressLineNumbers w:val="0"/>
              <w:jc w:val="center"/>
              <w:textAlignment w:val="center"/>
              <w:rPr>
                <w:rFonts w:hint="eastAsia" w:ascii="仿宋" w:hAnsi="仿宋" w:eastAsia="宋体" w:cs="仿宋"/>
                <w:b/>
                <w:bCs/>
                <w:i w:val="0"/>
                <w:iCs w:val="0"/>
                <w:color w:val="000000"/>
                <w:sz w:val="21"/>
                <w:szCs w:val="20"/>
                <w:u w:val="none"/>
              </w:rPr>
            </w:pPr>
            <w:r>
              <w:rPr>
                <w:rFonts w:hint="eastAsia" w:ascii="仿宋" w:hAnsi="仿宋" w:eastAsia="宋体" w:cs="仿宋"/>
                <w:b/>
                <w:bCs/>
                <w:i w:val="0"/>
                <w:iCs w:val="0"/>
                <w:color w:val="000000"/>
                <w:kern w:val="0"/>
                <w:sz w:val="21"/>
                <w:szCs w:val="20"/>
                <w:u w:val="none"/>
                <w:lang w:val="en-US" w:eastAsia="zh-CN" w:bidi="ar"/>
              </w:rPr>
              <w:t>单位</w:t>
            </w:r>
          </w:p>
        </w:tc>
      </w:tr>
      <w:tr w14:paraId="617C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F2F5">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7C08">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400万星光枪机</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74C9716B">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传感器类型：1/2.7英寸CMOS；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像素：400万；</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宽动态试验不小于120dB</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不小于1500TVL</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最低照度检验，关闭红外灯： 彩色： ≤0.0002lx（AGC ON，应能分辨反射式视频矩阵测试卡中彩色色块） 黑白： ≤0.0001lx（AGC ON，应能分辨反射式视频分辨率测试卡中圆形轮廓）</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红外控制功能检验：可通过IE浏览器开启/关闭红外灯或使红外灯在低照度下自动开启（提供公安部有效检测报告复印件加盖公章或投标专用章）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抓拍图片分辨率2688x1520</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设备支持智能动态检测（SMD）分析触发后联动抓图、录像、目标跟踪、报警上传、发送邮件等多种报警触发方式 支持设置报警目标为人、机动车、全部（人或机动车）进行检测，支持灵敏度设置低、中、高三档，具备智能分析抗干扰功能，当小动物、灯光、树叶、气球等非人或机动车目标出现在画面时，不会触发报警。 支持人或机动车报警去重（提供公安部有效检测报告复印件加盖公章或投标专用章）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支持扰动过滤； 支持灵敏度设置1~10； 当小动物、灯光、树叶、气球等非人或机动车目标出现在检测区域时，不会触发报警。 可对打伞、拎包、骑车的人员进行检测； 可对目标大小（像素值）范围进行设置，使样机只对预设大小（像素值）范围内的人员及机动车辆进行检测；（提供公安部有效检测报告复印件加盖公章或投标专用章）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当以下的智能分析行为进行智能分析，并通过客户端软件或IE浏览器给出报警提示。 a）拌线入侵； b）区域入侵； c）物品遗留； d）物品搬移； e）徘徊检测； f）停车检测； g）快速移动； h）人员聚集； 样机支持行为分析触发后联动抓图、录像、目标跟踪、报警上传、发送邮件等多种报警触发方式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红外夜视距离检验：可识别距样机150m处的人体轮廓</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可伸缩编码（SVC）设置检验：在IE浏览器下，具有可伸缩编码(SVC)设置选项（提供公安部有效检测报告复印件加盖公章或投标专用章）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感兴趣区域（ROI）设置检验：在IE浏览器下，具有感兴趣区域(ROI)设置选项，可设置4块感兴趣区域（提供公安部有效检测报告复印件加盖公章或投标专用章）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叠加图片功能检验：可在监视画面上叠加128× 128像素16位的BMP格式图片，叠加位置可调，并可开后/关闭叠加图片功能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供电方式：POE</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防护等级：IP67</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F93A">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B98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个</w:t>
            </w:r>
          </w:p>
        </w:tc>
      </w:tr>
      <w:tr w14:paraId="0719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F8FC">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B93E">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枪机支架</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009FA87D">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安装方式：壁装；</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承重：1.0kg；</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执行标准：Q/DXJ 064-2018；</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外观颜色：白色；</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适配机型：适配M型/K型/B型/D型/F型枪机</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18A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477D">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个</w:t>
            </w:r>
          </w:p>
        </w:tc>
      </w:tr>
      <w:tr w14:paraId="63CE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B307">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1794">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400万高清半球</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26312FAE">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传感器类型：1/3英寸CMOS；像素：400万；最大分辨率：2560×1440；</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内置补光灯检查:内置2颗红外灯。</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接口检查:具备1路100/1000M以太网接口(RJ45接口)、1个内置麦克风。</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网络协议设置检查:在IE浏览器下,具有TCP/IP、HTTP、HTTPS、FTP、DNS、DDNS、RTSP、PPPOE、IPv4/v6、SMTP、NTP、UPnP、802.1x、QoS、组播、UDP、Onvif、Bonjour等设置选项。</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视频编码格式设置检查:在IE浏览器下,具有H.265、H.264设置选项;可将H.264格式设置为Baseline/Main Profile。</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智能编码功能检查:同一静止场景相同图像质量下,设备在H.265编码方式时,开启智能编码功能和不开启智能编码相比,最多可节约码流90%。（提供公安部有效检测报告复印件加盖公章或投标专用章）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码率设置检查:可通过IE浏览器将码率设置为12kbps~6Mbpsc（提供公安部有效检测报告复印件加盖公章或投标专用章）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平台接入功能检查:样机接入城市监控报警联网系统时支持向SIP服务器主动注册登记的工作模式;如果注册不成功,延迟一定的随机时间后重新注册。（提供公安部有效检测报告复印件加盖公章或投标专用章）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唇像参数设置检查:在IE浏览器下,具有亮度、对比度、饱和度、锐度、gamma设置选项。</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自动维护功能检查:可设置时间自动重启系统或者自动删除旧文件。</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彩色/黑白模式设置检查:在客户端软件或IE浏览器下,具有彩色模式、黑白模式设置选项;并具有自动、定时转换设置选项。</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数字降噪设置检查:在IE浏览器下,具有数字降噪(3D降噪)设置选项。（提供公安部有效检测报告复印件加盖公章或投标专用章）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多路访问功能检查:在同一个客户端上,可最多同时开启20个视频窗口进行画面浏览。（提供公安部有效检测报告复印件加盖公章或投标专用章）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区域遮挡功能检查:可在监视画面上设置遮盖区域,区域的个数、大小、位置可设置,最多可设置4个区域。（提供公安部有效检测报告复印件加盖公章或投标专用章）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感兴趣区域(ROI)设置检查:在IE浏览器下,具有感兴趣区域(ROI)设置选项,可设置4块感兴趣区域、6个图像质量等级。（提供公安部有效检测报告复印件加盖公章或投标专用章）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字符叠加功能检查:可通过IE浏览器在视频图像上叠加最多7行字符,字符可选择项包括通道名称、时间、地理位置等。（提供公安部有效检测报告复印件加盖公章或投标专用章）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水平中心分辨力检查:不小于1300TVL(分辨率设置为2560×1440、帧率设置为25fps、码率设置为1Mbps、RJ45输出)。（提供公安部有效检测报告复印件加盖公章或投标专用章）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红外夜视距离检查:可识别距样机50米处的人体轮廓。（提供公安部有效检测报告复印件加盖公章或投标专用章）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供电方式：DC12V/PoE；防护等级：IP67；</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5BF5">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102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E83">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个</w:t>
            </w:r>
          </w:p>
        </w:tc>
      </w:tr>
      <w:tr w14:paraId="157D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FB94">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70D3">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400万高清球机</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2B772827">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由2路全景摄像机和1路细节摄像机组成，可同时输出全景和细节两路视频图像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细节相机支持不小于23倍光学变倍、16倍数字变倍</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全景通道可输出2个镜头无缝拼接的全景图像，纵向拼接偏差像素≤4个像素点；全景通道水平视场角≥185°</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设备支持全景摄像机与细节摄像机互为180°夹角监控</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支持快速智能切换，当更换智能模式时设备不重启，新智能使能后即可生效</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支持不少于1路音频输入和1路音频输出</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内置不少于2路报警输入和1路报警输出，支持报警联动功能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支持国密算法 SM1、SM2、SM3、SM4，支持GB35114 A级</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内置喇叭可随设备的转动进行水平、垂直不同方向的定向播放；喇叭支持水平0~360°，垂直-20~90°旋转（提供公安部有效检测报告复印件加盖公章或投标专用章）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全景摄像机内置4颗白光灯，细节摄像机内置4颗红外灯、2颗白光灯</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设备具有AR标签管理功能，可对监控区域的常规点位、卡口点位、人脸点位、重点道路等添加标签进行标注</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全景最大分辨率不小于3840x1080；细节最大分辨率不小于1920x1080（提供公安部有效检测报告复印件加盖公章或投标专用章）</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2D04">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41D5">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2A1E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B85B">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E2FA">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球机支架</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1179663E">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安装方式：壁装；</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承重：7kg；</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适用机型：SD6A、SD6C、SD60、SD63、SD65；</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执行标准：Q/DXJ 064-2018</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5C97">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3E0B">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个</w:t>
            </w:r>
          </w:p>
        </w:tc>
      </w:tr>
      <w:tr w14:paraId="5BE3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trPr>
        <w:tc>
          <w:tcPr>
            <w:tcW w:w="398" w:type="dxa"/>
            <w:tcBorders>
              <w:top w:val="single" w:color="000000" w:sz="4" w:space="0"/>
              <w:left w:val="single" w:color="000000" w:sz="4" w:space="0"/>
              <w:bottom w:val="single" w:color="auto" w:sz="4" w:space="0"/>
              <w:right w:val="single" w:color="000000" w:sz="4" w:space="0"/>
            </w:tcBorders>
            <w:shd w:val="clear" w:color="auto" w:fill="auto"/>
            <w:vAlign w:val="center"/>
          </w:tcPr>
          <w:p w14:paraId="4D0134A4">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6</w:t>
            </w:r>
          </w:p>
        </w:tc>
        <w:tc>
          <w:tcPr>
            <w:tcW w:w="7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F0A47A0">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视频监控平台</w:t>
            </w:r>
          </w:p>
        </w:tc>
        <w:tc>
          <w:tcPr>
            <w:tcW w:w="6203" w:type="dxa"/>
            <w:tcBorders>
              <w:top w:val="single" w:color="000000" w:sz="4" w:space="0"/>
              <w:left w:val="single" w:color="000000" w:sz="4" w:space="0"/>
              <w:bottom w:val="single" w:color="auto" w:sz="4" w:space="0"/>
              <w:right w:val="single" w:color="000000" w:sz="4" w:space="0"/>
            </w:tcBorders>
            <w:shd w:val="clear" w:color="auto" w:fill="auto"/>
            <w:vAlign w:val="top"/>
          </w:tcPr>
          <w:p w14:paraId="309C53A7">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支持雷球联动功能检查，支持添加、删除、查询、修改雷达设备，支持在地图中按地图距离和真实距离标定雷达设备；支持接收入侵报警并显示雷球监控区域画面；支持接收雷达检测报警和消警（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录像支持1/2、1/4、1/8、1/16、1/32、1/64、2、4、8、16、32、64倍速快/慢放</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防区管理功能检查，支持自动获取设备防区类型（即时防区、延时防区、24小时防区)并可自定义修改类型，客户端支持防区布防、撤防、消警、旁路、隔离、取消旁路操作</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支持配置菜单列表的显示字段， 可根 据列表的字段对列表记录进行筛选、排序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支持设备信息管理，可按设备/通道 名称，IP 地址进行模糊搜索， 可显示异常设备的异常状态原因说明（提供公安部有效检测报告复印件加盖公章或投标专用章）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支持接入结构化视频设备进行实时 监控，预览画面的检测框可跟踪人体/车体，并支持人体/车体滚动显示（提供公安部有效检测报告复印件加盖公章或投标专用章）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卡口应用-过车记录，支持根据时间、车牌号码、车速等信 息查询卡口通道的过车记录， 并支持导出 过车记录</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卡口应用-车辆轨迹，支持生成车辆轨迹并可按车辆行进  时间点播放轨迹信息，可查询轨迹的详细信息</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客流管理-区域设置，支持区域卡片展示， 双向客流设备可 展示区域名称、区域编号、标签、实时人 数、当天进入人数、当天离开人数数据； 支持批量导出数据</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客流管理-分布排行，支持根据区域类别进行筛选列表展 示区域进客流、出客流及占比数据。支持 按日、周、月、年、自定义维度统计。支持报表导出（提供公安部有效检测报告复印件加盖公章或投标专用章）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4个HDMI接口，可外接显示器进行基础配置</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配置1块512G SSD固态硬盘，最大支持16块SATA硬盘扩展</w:t>
            </w:r>
          </w:p>
        </w:tc>
        <w:tc>
          <w:tcPr>
            <w:tcW w:w="670" w:type="dxa"/>
            <w:tcBorders>
              <w:top w:val="single" w:color="000000" w:sz="4" w:space="0"/>
              <w:left w:val="single" w:color="000000" w:sz="4" w:space="0"/>
              <w:bottom w:val="single" w:color="auto" w:sz="4" w:space="0"/>
              <w:right w:val="single" w:color="000000" w:sz="4" w:space="0"/>
            </w:tcBorders>
            <w:shd w:val="clear" w:color="auto" w:fill="auto"/>
            <w:vAlign w:val="center"/>
          </w:tcPr>
          <w:p w14:paraId="04F4C0E9">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auto" w:sz="4" w:space="0"/>
              <w:right w:val="single" w:color="000000" w:sz="4" w:space="0"/>
            </w:tcBorders>
            <w:shd w:val="clear" w:color="auto" w:fill="auto"/>
            <w:vAlign w:val="center"/>
          </w:tcPr>
          <w:p w14:paraId="02EBCF4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1DAB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14:paraId="5C0CE2D0">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7</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B862510">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存储硬盘</w:t>
            </w:r>
          </w:p>
        </w:tc>
        <w:tc>
          <w:tcPr>
            <w:tcW w:w="6203" w:type="dxa"/>
            <w:tcBorders>
              <w:top w:val="single" w:color="auto" w:sz="4" w:space="0"/>
              <w:left w:val="single" w:color="auto" w:sz="4" w:space="0"/>
              <w:bottom w:val="single" w:color="auto" w:sz="4" w:space="0"/>
              <w:right w:val="single" w:color="auto" w:sz="4" w:space="0"/>
            </w:tcBorders>
            <w:shd w:val="clear" w:color="auto" w:fill="auto"/>
            <w:vAlign w:val="bottom"/>
          </w:tcPr>
          <w:p w14:paraId="28E84D93">
            <w:pPr>
              <w:keepNext w:val="0"/>
              <w:keepLines w:val="0"/>
              <w:widowControl/>
              <w:suppressLineNumbers w:val="0"/>
              <w:jc w:val="left"/>
              <w:textAlignment w:val="bottom"/>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单盘容量：10TB；</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缓存：256MB；</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转速：7200RPM；</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硬盘接口：SATA</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3AEF2919">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16</w:t>
            </w:r>
          </w:p>
        </w:tc>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14:paraId="0A4C5521">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块</w:t>
            </w:r>
          </w:p>
        </w:tc>
      </w:tr>
      <w:tr w14:paraId="34B1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98" w:type="dxa"/>
            <w:tcBorders>
              <w:top w:val="single" w:color="auto" w:sz="4" w:space="0"/>
              <w:left w:val="single" w:color="000000" w:sz="4" w:space="0"/>
              <w:bottom w:val="single" w:color="000000" w:sz="4" w:space="0"/>
              <w:right w:val="single" w:color="000000" w:sz="4" w:space="0"/>
            </w:tcBorders>
            <w:shd w:val="clear" w:color="auto" w:fill="auto"/>
            <w:vAlign w:val="center"/>
          </w:tcPr>
          <w:p w14:paraId="1A61CE02">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8</w:t>
            </w:r>
          </w:p>
        </w:tc>
        <w:tc>
          <w:tcPr>
            <w:tcW w:w="760" w:type="dxa"/>
            <w:tcBorders>
              <w:top w:val="single" w:color="auto" w:sz="4" w:space="0"/>
              <w:left w:val="single" w:color="000000" w:sz="4" w:space="0"/>
              <w:bottom w:val="single" w:color="000000" w:sz="4" w:space="0"/>
              <w:right w:val="single" w:color="000000" w:sz="4" w:space="0"/>
            </w:tcBorders>
            <w:shd w:val="clear" w:color="auto" w:fill="auto"/>
            <w:vAlign w:val="center"/>
          </w:tcPr>
          <w:p w14:paraId="5D95AC36">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24口POE接入交换机</w:t>
            </w:r>
          </w:p>
        </w:tc>
        <w:tc>
          <w:tcPr>
            <w:tcW w:w="6203" w:type="dxa"/>
            <w:tcBorders>
              <w:top w:val="single" w:color="auto" w:sz="4" w:space="0"/>
              <w:left w:val="single" w:color="000000" w:sz="4" w:space="0"/>
              <w:bottom w:val="single" w:color="000000" w:sz="4" w:space="0"/>
              <w:right w:val="single" w:color="000000" w:sz="4" w:space="0"/>
            </w:tcBorders>
            <w:shd w:val="clear" w:color="auto" w:fill="auto"/>
            <w:vAlign w:val="top"/>
          </w:tcPr>
          <w:p w14:paraId="441EF421">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24个10/100Mbps自适应PoE电口，2个10/100/1000Mbps自适应上行Combo电口，2个1000Mbps上行光口；</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1-2单口最大PoE输出功率90w，3-24口单口最大PoE输出功率30w，整机最大PoE输出功率240w；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交换容量：64Gbps，包转发率：11.1Mpps/18.6Mpps；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支持250米远距离供电；支持250米远距离供电；支持PoE看门狗功能；支持基于端口的VLAN，支持环路告警，流量控制；支持网络拓扑自动生成；支持云商APP中的云管功能实现云运维；</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工作温度：-10 ℃~+55 ℃；</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含对应数量光模块</w:t>
            </w:r>
          </w:p>
        </w:tc>
        <w:tc>
          <w:tcPr>
            <w:tcW w:w="6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29A2632">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7</w:t>
            </w:r>
          </w:p>
        </w:tc>
        <w:tc>
          <w:tcPr>
            <w:tcW w:w="398" w:type="dxa"/>
            <w:tcBorders>
              <w:top w:val="single" w:color="auto" w:sz="4" w:space="0"/>
              <w:left w:val="single" w:color="000000" w:sz="4" w:space="0"/>
              <w:bottom w:val="single" w:color="000000" w:sz="4" w:space="0"/>
              <w:right w:val="single" w:color="000000" w:sz="4" w:space="0"/>
            </w:tcBorders>
            <w:shd w:val="clear" w:color="auto" w:fill="auto"/>
            <w:vAlign w:val="center"/>
          </w:tcPr>
          <w:p w14:paraId="1E25F10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个</w:t>
            </w:r>
          </w:p>
        </w:tc>
      </w:tr>
      <w:tr w14:paraId="589C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FA50">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DF58">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安防核心交换机</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3752B9FB">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交换容量：880Gbps/8.8Tbps，包转发率：267Mpps/320Mpps；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Port 1-24：24*RJ-45 10/100/1000Mbps、Port 25-48：24*SFP 100/1000Mbps、Port 49-58:10*SFP+；</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支持IEEE 802.3，IEEE 802.3u，IEEE 802.3X，IEEE 802.3ab，IEEE 802.3z，IEEE 802.3ad，IEEE 802.3ae，IEEE 802.3ba通信协议；</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支持静态聚合，支持动态聚合；</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支持环网协议STP、RSTP、MSTP；ERPS；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支持IGMP Snooping v1/v2/v3、支持IGMP v1/v2/v3；</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支持ARP、RARP、免费ARP、支持Dynamic ARP Inspection、支持ARP anti-attack、支持ARP源抑制、支持ARP Detection功能；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支持DHCP Client、支持DHCP Snooping、支持DHCP Relay、支持DHCP Server、支持DHCP Snooping option82、支持DHCP Relay option82；</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支持用户分级管理和口令保护；支持802.1X认证；支持Guest VLAN；支持RADIUS认证；支持SSH 2.0；支持端口隔离；支持端口安全；</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支持uRPF(单播反向路径检测)，杜绝IP源地址欺骗，防范病毒和攻击；</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支持IP/Port/MAC的绑定功能；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支持XModem/FTP/TFTP加载升级、支持命令行接口（CLI）、Telnet、Console口进行配置；</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支持SNMPv1/v2/v3；</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支持系统日志、分级告警、调试信息输出；</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支持NTP；</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支持电源、风扇、温度告警功能；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支持Ping、Tracert；</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支持LLDP；</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支持Loopback-detection端口环回检测；</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1U高度，19英寸宽，支持桌面、机架式安装方式；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工作温度：0℃～45℃；</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含对应数量的光模块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0A82">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9A07">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个</w:t>
            </w:r>
          </w:p>
        </w:tc>
      </w:tr>
      <w:tr w14:paraId="050F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47DC">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55EB">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拼接屏</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511988D1">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产品尺寸：55英寸，双边拼缝：3.5mm，分辨率：1920*1080，亮度：500cd/m2</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输入接口：VGA(D-Sub)*1、CVBS(BNC)*2、DVI-D*1、HDMI*1、RS232(RJ45)*1、USB（升级和多媒体）*1</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输出接口：CVBS(BNC)*2、RS232(RJ45)*1</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浪涌（冲击）抗扰度按GB/T17799.1表4中4.4的要求进行，交流电源输入端口：线-线：1.0kV（开路试验电压）；线-地：2.0kV（开路试验电压）</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电快速瞬变脉冲群抗扰度按GB/T17799.1表2中2.2和表4中4.5的要求进行，信号、数据和控制端口：0.5kV（峰值）；5kHz（重复频率），交流电源端口：1kV（峰值）；5kHz（重复频率）</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静电放电抗扰度按GB/T17799.1表1中1.4的要求进行，接触放电：4kV；空气放电8kV</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电源插头或电源引入端子与外壳裸露金属部件之间，应能承受1.5kV交流电压，历史1min的抗电强度试验，应无击穿和飞弧现象</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几何失真应≤3%</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图像显示清晰度，水平分辨力应≥800TVL</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图像质量主观评价应达到《民用闭路监视电视系统工程技术规范》（GB50198-2011）规定的五级损伤评分等级四级以上的要求</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09F6">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6</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8E38">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4E15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0B34">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BF64">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拼接屏支架</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2FAA30BC">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定制2*3电视墙，两行三列布局，铝合金材质，表面黑色喷砂处理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E419">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D8B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套</w:t>
            </w:r>
          </w:p>
        </w:tc>
      </w:tr>
      <w:tr w14:paraId="4B2C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C112">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E3AE">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解码器</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0AA4B894">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支持6路HDMI信号输出</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输出接口最大支持1920×1080@60及以下常规分辨率输出</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支持超高超宽自定义分辨率输出设置，水平分辨率最宽可达3840像素，垂直分辨率最高可达3840像素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支持2路HDMI信号输入</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输入接口最大支持3840×2160@60及以下常规分辨率</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具备1对语音对讲接口：1个3.5mm音频输入接口和1个3.5mm音频输出接口</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整机解码支持2路32MP@25fps（仅H.265支持）/7路12MP@25fps/10路8MP@25fps/14路6MP@25fps/18路5MP@25fps/21路4MP@25fps/28路3MP@25fps/43路1080p@25fps/108路D1@25fps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支持MPEG2/MPEG4/H.264/H.265/SVAC/MJPEG标准网络视频流解码</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支持QCIF/CIF/2CIF/HD1/D1/960H/720p/1080p/3MP/4MP/5MP/6MP/8MP/12MP/32MP视频解码</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支持音频压缩格式：PCM/G711/AAC</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具有智能防火功能，当火情传感器检测到当前环境存在火情时，可自动控制显示器关闭。（提供公安部有效检测报告复印件加盖公章或投标专用章）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无视频信号输入时，应自动调整屏幕画面为黑屏。（提供公安部有效检测报告复印件加盖公章或投标专用章）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支持同时接入不少于3个人体检测传感器。（提供公安部有效检测报告复印件加盖公章或投标专用章）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具有智能节能功能，当传感器检测到当前环境无人时，可自动控制电视墙熄屏。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应能设置从检测到无人到进行熄屏的时间间隔。（提供公安部有效检测报告复印件加盖公章或投标专用章）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支持虚拟云台控制功能，具备虚拟云台控制按键，应能调整球机和云台的步长和转动方向。（提供公安部有效检测报告复印件加盖公章或投标专用章）</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AA46">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8C2A">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5CA4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8BD9">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1FA9">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视频高清线</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0B0A7ECA">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拼接屏高清HDMI线，线缆长度根据现场情况定制</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A3B7">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BB3D">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批</w:t>
            </w:r>
          </w:p>
        </w:tc>
      </w:tr>
      <w:tr w14:paraId="6181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02C2">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8AF3">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智能烟感</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7B9F02D2">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运营商：中国移动、中国电信、中国联通、中国广电</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通讯方式：4G通讯；</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报警音量：≥80 dB@3m(A计权)；</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报警方式：声、光报警；</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消音功能：支持；</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工作温度：–10℃～+55℃；</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工作湿度：≤95% RH无凝露</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含三年流量、三年平台接入费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F167">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185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764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套</w:t>
            </w:r>
          </w:p>
        </w:tc>
      </w:tr>
      <w:tr w14:paraId="317A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8CF7">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A889">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会议室多媒体系统</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15590E36">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尺寸 86英寸，背光类型 LED，分辨率 3840 * 2160，亮度 320 cd/㎡，对比度 1200：1，响应时间 8ms，可视角度 ≥178°，刷新率 60Hz，触摸面板 4mm防眩光钢化玻璃，触摸技术 全贴合红外触控，触摸点数 20点，触摸分辨率 32767 * 32767，触摸精度 ≤±1mm，响应时间 ≤7ms，接口类型 USB 2.0+串口，书写方式 手指或非透明物体，最小识别物 3mm，平均帧率 ≥142Hz，支持系统 Android/Win7/Win8/Win10，Android版本 Android 11.0，CPU ARM CortexA75 * 2 + A55*2，内存RAM 4G，存储ROM 32G 摄像头 1300W像素+8麦克，前置接口 HDMI_INx1, TYPE-C(全功能)x1, USB3.0x3，TOUCH USBx1，后置接口 DB9(RS232), MIC IN, MINI AV IN, HEADPHONE OUT, RJ45 IN, COAX OUT,TF卡 , HDMIin,PC AUDIO IN, VGA IN, USB2.0*2, USB3.0, TOUCH USB，高音喇叭 高音喇叭15W*2，后朝向20W，低音扬声器1个，Wifi 2.4GHz/5GHz双频，工作电压 200-240VAC 50/60Hz，待机功耗 ＜0.5W，电源接口 三插品字尾，存储温度： －20℃ ～ 60℃，存储湿度 10%RH ～ 90%RH，工作温度 0℃ ～ 50℃，工作湿度 10%RH ～ 90%RH，使用寿命 ≥30000小时</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包含会议室内配套的会议桌、会议椅等家具。</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实木会议桌一张，尺寸：6000*1800*760，配套会议座椅22把。</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BA63">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A665">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套</w:t>
            </w:r>
          </w:p>
        </w:tc>
      </w:tr>
      <w:tr w14:paraId="4954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BC1D">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3FC7">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车辆出入口道闸</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5FBCEDE2">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杆件类型：栅栏杆；</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支持杆长：4米；</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起杆速度：4s；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电机类型：直流无刷；</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防砸功能：支持，线圈防砸，雷达防砸；</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遇阻反弹：支持；</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断电手摇：支持；</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远程遥控：支持遥控器远程开关，最大距离50m（空旷无干扰）；</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供电方式：220VAC±10%；</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工作温度：–30℃～+65℃；</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防护等级：IP54；</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安装方式：底部膨胀螺丝固定安装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5C53">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11A4">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套</w:t>
            </w:r>
          </w:p>
        </w:tc>
      </w:tr>
      <w:tr w14:paraId="6B33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E0A8">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17</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445D">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出入口抓拍一体机</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65012E21">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显示屏尺寸：304.0mm×152.0mm×15.0mm（高×宽×厚）；</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补光灯数量：3颗（上部）+8颗（下部）（亮度可调）；</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传感器类型：1/3英寸CMOS；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图像分辨率：2688×1520（不包含OSD黑边）；</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视频压缩标准：H.265;H.264B;H.264M;H.264H;MJPEG；</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抓拍距离：2.5m～6m；</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除雾功能：支持自动除雾；</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供电方式：AC110–230V；</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镜头：标配；</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镜头类型：变焦；</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镜头焦距：2.7mm～13.5mm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773A">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5C0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套</w:t>
            </w:r>
          </w:p>
        </w:tc>
      </w:tr>
      <w:tr w14:paraId="1E70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7F72">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C0EE">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操作电脑</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21742B23">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标配：Intel 12代酷睿i5-12400，6核12线程，最大睿频4.4GHz，基本频率2.5GHz处理器平台</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标配：Intel B760主板</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标配：8GB DDR4内存，支持扩展至128GB</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标配：1个256GB固态硬盘，1个1TB机械硬盘</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标配：2G独立显卡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0BDA">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6B90">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418F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5165">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562C">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机柜</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75117F78">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42U机柜</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DFCA">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3EB4">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套</w:t>
            </w:r>
          </w:p>
        </w:tc>
      </w:tr>
      <w:tr w14:paraId="512C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1597">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7C74">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操作台</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67C849D1">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监控操作台，三联，平面操作台，冷轧钢材质，尺寸可定制，白色，含座椅。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3C8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E647">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套</w:t>
            </w:r>
          </w:p>
        </w:tc>
      </w:tr>
      <w:tr w14:paraId="4AC3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B87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49A9">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超五类网线</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4BAA48AC">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材质：聚酯纤维；</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材质：无氧铜(99.97%)；</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导体结构：0.45mm±0.01mm；</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绝缘材质：HDPE；</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护套材料：PVC；</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护套颜色：灰色；</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工作温度：-20°C～+60°C；</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净重：7.7kg±0.4kg；</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毛重：8.5kg±0.4kg；</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执行标准：Q/DXJ 067-2019</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324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24640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520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米</w:t>
            </w:r>
          </w:p>
        </w:tc>
      </w:tr>
      <w:tr w14:paraId="79DE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3DF9">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5E76">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电源线</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1F5DF015">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RVV2*1.0电源线</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230A">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20000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1930">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米</w:t>
            </w:r>
          </w:p>
        </w:tc>
      </w:tr>
      <w:tr w14:paraId="4DC5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AC7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DDAE">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光缆</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5CE47116">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24芯光缆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1386">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1500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C931">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米</w:t>
            </w:r>
          </w:p>
        </w:tc>
      </w:tr>
      <w:tr w14:paraId="3256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01D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D88C">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光缆附件</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058E36C7">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熔纤盒、跳纤等</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53F3">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FD37">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批</w:t>
            </w:r>
          </w:p>
        </w:tc>
      </w:tr>
      <w:tr w14:paraId="09C5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E981">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E674">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防欺凌监测主机</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3E8F2120">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AI算法：系统包含终端算法、音视频处理算法，敏感词识别引擎等，不定期远程升级让系统更智能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新一代音频降噪技术、高智能语音识别技术，在语识别任务中可实现高精度语音识别，高清晰对讲广播</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高清监控：两百万高清摄像头支持远程视频对讲，远程监控录像。可拓展火焰识别报警、人形识别报警算法</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百度地图定位，报警终端实时位置显示，报警北斗系统精准定位</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多网络支持：支持4G网络、互联网、局域网通信，没网也能用</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管理便捷：支持多部门多账户管理，分级权限管理、终端分组管理、分组联防等多种管理方式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当有人在遇到危险的情况下可以按下紧急按钮或语音呼救，终端接收到呼救词（如：“救命”、“着火啦”）立即触发报警，及时通知手机绑定的负责人和管理中心，同时现场播放预制录音震慑犯罪，负责人通过远程视频对讲确认并及时出警。</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支持实时广播，定时广播，应急广播，校园广播，广播喊话，背景音乐等功能，一套系统即可解决校园防欺凌问题，又可以解决校园广播需求，避免重复安装维护，节约资金，省时省力。</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终端可增加探测器联动和输出模块，支持一键呼叫视频对讲远程开闸、联动红外、门磁等探测器防盗报警，同时支持各终端联动报警，一户呼叫多户联动报警对讲，群防群控。</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AI语音识别一键报警终端支持4G+IP双网通信，支持互联网SIP协议，可以与其他SIP系统完美扩展兼容。同时我们还支持API对接和定制开发服务，可以根据需求进行定制开发。</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8CDC">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685A">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2193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4341">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DD5A">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防欺凌平台</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291A1D53">
            <w:pPr>
              <w:keepNext w:val="0"/>
              <w:keepLines w:val="0"/>
              <w:widowControl/>
              <w:suppressLineNumbers w:val="0"/>
              <w:spacing w:after="200" w:afterAutospacing="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校园防欺凌系统是基于大数据、云计算和AI技术的一套新系统，系统由AI语音识别一键报警终端、APP、云平台、电脑管理软件等构成。防欺凌AI语音识别一键报警终端部署在学校卫生间、宿舍、教室、楼道、操场等区域，实时AI分析设备区域内的音频信息，若识别出欺凌常发的“救命、打架、着火”等关键词时，则现场触发预警语音自动报警干预，同时报警消息可通过手机APP、云平台、电脑端等实时通知相关管理人员，相关人员收到预警后，可通过收听实时视频监控、语音监听对讲等方式来判断现场情况快速出警。</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校园防欺凌联网中心平台，接收前端报警主机的报警信息，自动视频弹窗，可以多平台多级管理，平台带应急广播播报功能。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系统同时支持一键报警、语音广播、远程开闸、报警录像、电子地图定位、联动探测器防盗报警、联防报警等功能拓展。</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校园防欺凌系统管理端包括电脑软件、手机APP和管理机三种模式，可根据需求选择接警方式，校园防欺凌系统管理端支持局域网和互联网使用，可以配合报警/对讲服务器管理AI语音识别报警终端，也可在局域网内独立管理报警终端。</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校园防欺凌系统管理端具有报警弹窗、可视对讲、远程控制、自动排队、报警录音录像、电子地图定位、处理远程呼叫、远程监控、远程广播、分组管理、远程回呼、远程音量调节、远程升级等功能；</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E5D9">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7D67">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套</w:t>
            </w:r>
          </w:p>
        </w:tc>
      </w:tr>
      <w:tr w14:paraId="2C16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0A84">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27</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29F7">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辅材</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10CE">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水晶头、插排、胶带、扎带、接地线管材、设备箱等</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18C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ABD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项</w:t>
            </w:r>
          </w:p>
        </w:tc>
      </w:tr>
      <w:tr w14:paraId="197A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DEC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D327">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系统集成费</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DC28">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系统集成服务费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64AC">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F359">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项</w:t>
            </w:r>
          </w:p>
        </w:tc>
      </w:tr>
      <w:tr w14:paraId="41FE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4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65B06">
            <w:pPr>
              <w:jc w:val="center"/>
              <w:rPr>
                <w:rFonts w:hint="eastAsia" w:ascii="仿宋" w:hAnsi="仿宋" w:eastAsia="宋体" w:cs="仿宋"/>
                <w:i w:val="0"/>
                <w:iCs w:val="0"/>
                <w:color w:val="000000"/>
                <w:sz w:val="21"/>
                <w:szCs w:val="20"/>
                <w:u w:val="none"/>
              </w:rPr>
            </w:pPr>
            <w:r>
              <w:rPr>
                <w:rFonts w:hint="eastAsia" w:ascii="仿宋" w:hAnsi="仿宋" w:eastAsia="宋体" w:cs="仿宋"/>
                <w:b w:val="0"/>
                <w:bCs w:val="0"/>
                <w:i w:val="0"/>
                <w:iCs w:val="0"/>
                <w:color w:val="000000"/>
                <w:kern w:val="0"/>
                <w:sz w:val="21"/>
                <w:szCs w:val="20"/>
                <w:u w:val="none"/>
                <w:lang w:val="en-US" w:eastAsia="zh-CN" w:bidi="ar"/>
              </w:rPr>
              <w:t>二、校园网络系统</w:t>
            </w:r>
          </w:p>
        </w:tc>
      </w:tr>
      <w:tr w14:paraId="55DD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CDA9">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B532">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核心交换机</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07267534">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48个千兆电口，4个万兆SFP+光口；</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交换容量：520Gbps/5.2Tbps，包转发率：166Mpps；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支持VLAN：802.1Q VLAN、端口VLAN、QinQ、Voice VLAN、协议VLAN、MAC VLAN；</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支持链路聚合：静态、动态链路聚合；</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支持生成树STP/RSTP/MSTP协议，支持RRPP/ERPS；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支持虚拟化堆叠技术；</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支持IPv4路由、IPv6路由、组播、MPLS；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支持ACL、QoS、端口镜像；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支持CLI、WEB、SSH、SNMP v1/v2c/v3等管理方式；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1U高度，19英寸宽，支持桌面、机架式安装方式；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工作温度：-5℃～45℃；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185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08B3">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个</w:t>
            </w:r>
          </w:p>
        </w:tc>
      </w:tr>
      <w:tr w14:paraId="3D71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586B">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A716">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楼栋POE汇聚交换机</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01AEC61E">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24个10/100Mbps自适应PoE电口，2个10/100/1000Mbps自适应上行Combo电口，2个1000Mbps上行光口；</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1-2单口最大PoE输出功率90w，3-24口单口最大PoE输出功率30w，整机最大PoE输出功率240w；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交换容量：64Gbps，包转发率：11.1Mpps/18.6Mpps；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支持250米远距离供电；支持250米远距离供电；支持PoE看门狗功能；支持基于端口的VLAN，支持环路告警，流量控制；支持网络拓扑自动生成；支持云商APP中的云管功能实现云运维；</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工作温度：-10 ℃~+55 ℃；</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含对应数量光模块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A998">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6</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9389">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4ABE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BCC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3E34">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无线AP</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3CDBC18F">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网络接口：具备1个10/100/1000Mbps自协商以太网上行口(PoE IN)，1个10/100/1000Mbps自协商以太网下行口；</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无线标准：支持IEEE 802.11a/b/g/n/ac Wave 2标准；</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无线射频：采用双射频设计，整机最大支持4条空间流，整机无线接入速率最高可达1.167Gbps；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建议最大带机量：60；</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Wi-Fi天线：内置高增益全向天线；</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集中管理：支持DH-EAC系列无线控制器集中管理；</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工作模式：支持FIT/FAT/网关三种工作模式，可根据组网情况灵活切换模式；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支持MU-MIMO技术：可实现AP同一时刻向多个终端发送数据，提升用户上网体验；</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供电方式：设备支持PoE和12VDC两种供电方式，可根据实际情况灵活选择（PoE电源、DC电源均不标配）；</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9C8C">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30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8F8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62FF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557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2680">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AC控制器</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3D463904">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网络接口：具备1个10/100/1000Mbps自协商以太网上行口（WAN口），1个10/100/1000Mbps自协商以太网下行口（LAN口），3个10/100/1000Mbps自协商以太网口（LAN口，支持LAN/WAN切换）；</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设备功能：集成网关和AC功能，支持管理E系列无线AP；</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旁挂部署：支持；</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缺省管理AP数：128；</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最大管理AP数：128；</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无线漫游：支持；</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智能无线优化：支持；</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设备管理：本地Web管理；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53A5">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D1E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30AE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EA1">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5DAC">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无线网卡</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578AE204">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NC1800是一款支持新一代802.11 ax无线技术的USB无线网卡，外置2根高增益5dBi天线，支持2.4GHz、5GHz双频段可选，配合USB 3.0的接口，性能倍增。外观设计时尚科技，安装方便快捷。可支持Windows10操作系统的免驱安装，使用灵活方便。搭配802.11 ax路由器使用，旺旺、看视频、玩游戏更加流畅。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06B0">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30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F178">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00A2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303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9FCB">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超五类网线</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7F6046D0">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材质：聚酯纤维；</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材质：无氧铜(99.97%)；</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导体结构：0.45mm±0.01mm；</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绝缘材质：HDPE；</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护套材料：PVC；</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护套颜色：灰色；</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工作温度：-20°C～+60°C；</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净重：7.7kg±0.4kg；</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毛重：8.5kg±0.4kg；</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执行标准：Q/DXJ 067-2019</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D18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4480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CA51">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米</w:t>
            </w:r>
          </w:p>
        </w:tc>
      </w:tr>
      <w:tr w14:paraId="28B0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C359">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7</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DC4F">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广播室电脑</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00E58058">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标配：Intel 12代酷睿i5-12400，6核12线程，最大睿频4.4GHz，基本频率2.5GHz处理器平台</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标配：Intel B760主板</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标配：8GB DDR4内存，支持扩展至128GB</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标配：1个256GB固态硬盘，1个1TB机械硬盘</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标配：2G独立显卡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B98B">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D962">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0BA7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B99">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B453">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宽带线路</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E7B5">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互联网宽带，三年</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1256">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3400">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条</w:t>
            </w:r>
          </w:p>
        </w:tc>
      </w:tr>
      <w:tr w14:paraId="37AF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DB1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E0E0">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辅材</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ECC8">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水晶头、插排、胶带、扎带、接地线、管材、设备箱、接线箱、防水盒等</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E661">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E9E1">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项</w:t>
            </w:r>
          </w:p>
        </w:tc>
      </w:tr>
      <w:tr w14:paraId="61F4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7B0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25C7">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系统集成费</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ECFA">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系统集成服务费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E4C6">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06B8">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项</w:t>
            </w:r>
          </w:p>
        </w:tc>
      </w:tr>
      <w:tr w14:paraId="548C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4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18C046">
            <w:pPr>
              <w:jc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三、校园广播系统</w:t>
            </w:r>
          </w:p>
        </w:tc>
      </w:tr>
      <w:tr w14:paraId="389D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06E8F856">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61D5">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网络管理主机</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04182C3B">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 工业级工控机机箱设计，采用钢结构，有较高防磁、防尘、防冲击能力。</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2.采用17寸工业级加固触摸屏，具有可抽拉隐藏式键盘、滑鼠板，简单易用的触摸屏操控。</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3.内置大容量固态硬盘，具有抗震动、抗摔、读写速度快、功耗低等特点。</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4.工业级专用主板设计，处理速度更快，运作性能更强，适用于长时间运行。</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5.安装广播系统服务器软件后，构成IP广播系统的管理控制中心，对广播系统各路音源信号控制，广播区域分配，终端信息的配置。</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6.可根据服务软件形成的电子地图，查看各路广播终端实时情况，尽在掌控。</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7.具有紧急广播按钮及紧急广播话筒，可进行快速的紧急广播和应急演习。</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8.标准RJ45网络接口，有以太网口的地方即可接入，支持跨网段和跨路由。</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9.预装服务器软件。</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电源、功耗 DC 12V/10A，≤50W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显示屏幕 17寸电阻式(四线)触控屏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显示语言 中文、英文</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CPU Intel I5</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硬盘 120G固态硬盘</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内存 4GB</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网络通讯协议 TCP、UDP、ARP、ICMP、IGMP</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网络芯片速率 10/100Mbps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音频编码 MP2/MP3/PCM/ADPCM</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音频采样 8kHz～44.1kHz，16bit</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传输位率 16kbps-192kbps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信噪比/频响 LINE: ≥70dB， MIC: ≥70dB，20Hz-20KHz</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接口 2个RJ45网口、6个USB口、1个 DVI接口、1路线路输入、1路线路输出、1路VGA输出、1路话筒输入</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工作温度、湿度 5℃～45℃， ≤90%RH（无结露）</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3A08">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6142">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55EC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68F75D4E">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A508">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IP网络音频系统软件</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46906130">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系统软件包支持操作系统linux，Windows10/Server 2003/Server 2008/Server 2012。</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 系统采用B/S架构，跨平台应用，方便维护、升级。</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 涵盖传统广播系统功能：包含定时打铃任务，业务讲话广播、背景音乐、电台转播和消防报警广播等；可进行分区管理、广播权限等设置。</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 节目资源库，维护系统所需各种音频文件，供终端播放。</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 统一管理系统内终端, 主界面显示各终端当前工作状态，远程批量调节终端音量。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5.系统概览，可快速了解系统内终端在线情况、系统资源占用情况、各种类型任务状态等，对系统运行一目了然。</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6支持离线广播，可将要播放的媒体文件提前推送到终端保存，终端按照预设置的播放策略进行播放。</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7.呼叫转移：系统具有占线转移、关机转移、无响应转移和人工转移的方案策略设定。</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8.后台录音：系统支持广播、对讲、监听内容录制在服务器硬盘中，录音文件支持多种方式查询，查询出的录音文件支持导出功能。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9.报告查询功能：可查看系统各种状态、应用日志、系统日志等报告，及时、准确了解系统状态。</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10.用户管理：可添加删除用户帐户,并设定其角色，每个角色权限范围可自定义，包括功能权限和操作终端权限。</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11.支持主服务器和备用服务器热切换，支持系统崩溃自动恢复。</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 xml:space="preserve">12.多级服务器管理：支持搭建多级服务器架构，根据用户地域管理部署。                   </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13.集群服务器：支持集群分布式服务器，实现终端大规模扩容。</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14.SDK：提供SDK二次开发包与其它系统平台集成整合，第三方软件可直接控制对讲和广播，并接收终端当前状态；与监控系统配合，可由监控系统控制通话开关， 或通话时自动切换监控画面。</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8DB5">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E5D6">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7199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27600882">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99C3">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IP网络寻呼话筒-4寸</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361B4354">
            <w:pPr>
              <w:keepNext w:val="0"/>
              <w:keepLines w:val="0"/>
              <w:widowControl/>
              <w:suppressLineNumbers w:val="0"/>
              <w:jc w:val="left"/>
              <w:textAlignment w:val="top"/>
              <w:rPr>
                <w:rFonts w:hint="eastAsia" w:ascii="仿宋" w:hAnsi="仿宋" w:eastAsia="宋体" w:cs="仿宋"/>
                <w:b/>
                <w:bCs/>
                <w:i w:val="0"/>
                <w:iCs w:val="0"/>
                <w:color w:val="000000"/>
                <w:sz w:val="21"/>
                <w:szCs w:val="20"/>
                <w:u w:val="none"/>
              </w:rPr>
            </w:pPr>
            <w:r>
              <w:rPr>
                <w:rFonts w:hint="eastAsia" w:ascii="仿宋" w:hAnsi="仿宋" w:eastAsia="宋体" w:cs="仿宋"/>
                <w:b/>
                <w:bCs/>
                <w:i w:val="0"/>
                <w:iCs w:val="0"/>
                <w:color w:val="000000"/>
                <w:kern w:val="0"/>
                <w:sz w:val="21"/>
                <w:szCs w:val="20"/>
                <w:u w:val="none"/>
                <w:lang w:val="en-US" w:eastAsia="zh-CN" w:bidi="ar"/>
              </w:rPr>
              <w:t>增强版：</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1.专业控制台设计，高档铝合金面板，坚固耐用。</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2.4英寸触摸显示屏，分辨率480*480。</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3.可进行全区、分区、终端进行广播喊话。</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4.支持U盘和外部音源混音输入，通过网络广播发送到前端设备。</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5.支持用户权限管理,显示用户终端列表。</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6.支持广播任务中随意增加/删减任务终端。</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7.内置3W扬声器，免提通话、接收广播、实况监听。</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8.支持广播、对讲、监听多种义快捷方式与收藏夹。</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9.内置数字音频处理器，提升降噪效果、提高受话距离和音频音质。</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10.兼容标准SIP协议，可单独接入VoIP电话系统(Asterisk等主流IP-PBX)。</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11.支持无服务器情况下的脱机对讲和广播(发起和接收)。</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12.带路报警输入，可外接报警按钮。</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13.标准RJ45接口，有以太网口的地方即可接入，跨网段和跨路由。</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14.自带NAS服务器应用，可进行web管理，可接入30个终端。</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15.支持终端管理，包括终端名称、状态、IP、音量设置。</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16.支持终端分区管理，可根据应用场景将终端分配到不同分区。</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17.自带flash存储，支持存储和管理音频媒体库文件。</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18.自带3个无极音量调节旋钮，用于快速调节音量。</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19.支持定时打铃方案管理，可自定义定时打铃任务和消防报警任务。</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20.支持手机app扫码认证连接内置服务器，通过手机APP可对内置服务进行终端名称和分区管理，可获取定时打铃任务信息进行编辑。</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21.手机app具有快速建立作息时间表和临时广播任务。</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22.手机app自带人工智能语音识别，可快速将文字转换成广播节目，支持添加片头、片尾和背景音乐。</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电源、功耗 DC12V/1A，≤3W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网络通讯协议 TCP/IP、UDP、ARP、SIP、ICMP、IGMP、HTTP、FTP</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网络芯片速率 10/100Mbps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音频采样、位率 8Khz-44.1Khz,16bit,8Kbps-320kbps内置功放 3W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信噪比、频响 ＞90dB、20Hz-16Khz显示屏 4英寸显示语言 中文</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接口 1个RJ45网络接口、1个电源开关、1路报警输入、2路线路输入、1线路输出、1个USB接口，1路麦克风输入</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工作温度、湿度 0-45℃，≤90％（无结露）</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1334">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AC8">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6A13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72FB0372">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2EF1">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数字调谐器</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7461DFEA">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1.标准机箱设计，1U铝合金面板，微电脑控制，轻触式按键操作，高亮度动态LED数码显示屏，清晰醒目。</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2.调频/FM，电台频率记忆存储可达99个。</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3.电台频率自动搜索存储功能，且有断电记忆功能。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4.石英锁相环路频率合成器式调谐回路技术，接收频率精确稳定。</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5.FM接收天线75Ω输入。</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6.1路音频信号左右声道(L /R)输出。</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7.具4个操作按键，完成电台存储，选台等操作。</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电源、功耗   AC220V 50Hz，15W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频率范围 AM 522kHz～1620kHz；FM 87.0MHz～108.0MHz</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信噪比、频响  ≥92dB、20Hz-20KHz</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接口 1个RJ45网口、1路音频线路输出</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音频输出 1KΩ，0.775V非平衡</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工作温度、湿度 5℃～45℃，≤80%RH（无结露）</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AC7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F73C">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4890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66AADA76">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5791">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CD/MP3播放器</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318FA6F1">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Style w:val="56"/>
                <w:rFonts w:hint="eastAsia" w:ascii="仿宋" w:hAnsi="仿宋" w:eastAsia="宋体" w:cs="仿宋"/>
                <w:sz w:val="21"/>
                <w:lang w:val="en-US" w:eastAsia="zh-CN" w:bidi="ar"/>
              </w:rPr>
              <w:t>1U铝合金面板，人性化的抽手设计，美观实用。</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微电脑控制，轻触式按键操作，高亮度动态LED显示，清晰醒目。</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采用数码机芯，吸入式防震设备，超强纠错功能。</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自动播放控制，全数码伺服。</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带USB接口，支持1G至32G U盘，支持MP3、WMA、APE、FLAC等格式播放。</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可播放：CD/VCD/MP3/DVD碟片，U盘播放。</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1路音频信号左右声道（L /R）输出。</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视频输出、分量输出、同轴、S端子及光纤输出。</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可通过面板按键或红外遥控器控制操作。</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可扩展红外遥控面板，对其进行控制。</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带网络远程控制接口，可由PC服务器、远程网络话筒、主机控制播放所需音乐、开关机等。</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规格参数</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频率响应 20-20KHz</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播放类型 CD/VCD/ MP3/DVD碟片，U盘播放</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播放格式 MP3、WMA、WAV、CD、AAC、FLAC</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动态范围 90dB</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音频输出 1KΩ 0-1.5V 非平衡</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 xml:space="preserve">音频失真度 0.05%                                                                                                                                                                        </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信噪比 92dB</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保护 AC FUSE</w:t>
            </w:r>
            <w:r>
              <w:rPr>
                <w:rFonts w:hint="eastAsia" w:ascii="仿宋" w:hAnsi="仿宋" w:eastAsia="宋体" w:cs="仿宋"/>
                <w:i w:val="0"/>
                <w:iCs w:val="0"/>
                <w:color w:val="000000"/>
                <w:kern w:val="0"/>
                <w:sz w:val="21"/>
                <w:szCs w:val="20"/>
                <w:u w:val="none"/>
                <w:lang w:val="en-US" w:eastAsia="zh-CN" w:bidi="ar"/>
              </w:rPr>
              <w:t>×</w:t>
            </w:r>
            <w:r>
              <w:rPr>
                <w:rStyle w:val="56"/>
                <w:rFonts w:hint="eastAsia" w:ascii="仿宋" w:hAnsi="仿宋" w:eastAsia="宋体" w:cs="仿宋"/>
                <w:sz w:val="21"/>
                <w:lang w:val="en-US" w:eastAsia="zh-CN" w:bidi="ar"/>
              </w:rPr>
              <w:t>1A</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 xml:space="preserve">工作电压 AC 220V/50Hz                                                                                                                                                             </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功率消耗 20W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764D">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BDB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41B6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00E73658">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87C0">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前置放大器</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142F69D4">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 有10个输入通道：包括5路话筒(MIC)输入， 3路标准信号线路(AUX)输入， 2路紧急线路(EMC)输入，2路音源输出(OUT)，可环接至下一台功放音频输入接口。</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 第5个话筒(MIC5)具有最高优先、强行切入优先功能。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 MIC 1、2、3、4为XLR，TRS二合一接口，方便接入各路话筒。</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电源、功耗 AC220V 50Hz ≤20W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信噪比、频响 MIC输入：50dB; AUX输入：80dB，20Hz-20KHz</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保护 AC FUSE×1A</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接口 MIC:1、2、3、4、5； AUX1、2、3；2路线路输出</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工作温度、湿度  -10℃～50℃，≤90%RH、无结露</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DF00">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137A">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4126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6F1513BA">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7</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D324">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消防报警矩阵</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264481F4">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1.32路报警输入接口(支持2种方式触发:开关量和24V输入)， 从消防中心接入信号。</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2.8路报警输出接口(常开触点，DC24V/1A)，可外接警灯，显示报警状态。</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3.系统中可使用任意多个IP网络报警接口，以增加输入口数目。</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4.自动发送报警信息到服务器，服务器执行相应报警播放任务。</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5.标准RJ45接口，有以太网口地方即可接入，支持跨网段和路由。</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电源, 功耗   AC185V～260V 50～60Hz，≤15W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接口         1个RJ45网口、32路报警输入、8路报警输出、1个数据更新接口</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工作温度、湿度  -10℃～70℃，≤90%RH（无结露）</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3C80">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5D23">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2723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1D826336">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F605">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IP网络调音台</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4B9AF148">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1.专业调音台设计、具有4.3寸真彩液晶屏， 中英文界面、启动时间≤1秒。</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2.带8路音频输入(4路话筒/线路输入，1路紧急输入，4路立体声线路输入)，每路音量使用推子调节，手感极佳。</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3.带3路音频输出(1路线路输出， 2路监听耳机输出)。</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4.通过网络对其他IP音频终端远程播放(分区或全区)。</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5.可点播服务器节目或插入SD卡，做为音源播放，并能控制暂停/快进/快退。</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6.一键式广播功能(具有8个可编程广播按键， 预设节目源和目标分区)， 并配有无线遥控器(其数字键也是用于一键广播，空旷距离300米范围)。</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7.标准RJ45网络接口、有以太网口的地方即可接入、支持跨网段和跨路由。</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电源、功耗 AC220V  50Hz，≤15W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网络通讯协议 TCP/IP、UDP、ARP、ICMP、IGMP</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网络芯片速率 10/100Mbps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音频编码 MP2/MP3/PCM/ADPCM</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音频采样、位率 8kHz～44.1kHz， 16bit， 8kbps-320kbps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 xml:space="preserve">信噪比、频响 ≥90dB，20Hz-16KHz </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显示屏 TFT 4.3"LCD 480x272</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接口 1个RJ45网口、4路话筒/线路输入、1路紧急输入、4路线路输入、1路线路输出、2路耳机监听输出、1个SD卡插口</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工作温度、湿度 -10℃～50℃，≤90%RH（无结露）</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27EB">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A977">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69AC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215BAF69">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A229">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IP网络远程播控器</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5AF2474C">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1.用于现场播音、壁挂式安装、4.3寸真彩液晶屏(中英文界面)，启动时间≤1秒。</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2.带8路音频输入(6路话筒输入，2路线路输入)，1路音频输出。</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3.通过网络对其他IP音频终端远程播放(分区或全区)，播音音量可调节。</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4.可点播服务器节目或插入SD卡，做为音源播放，并能控制暂停/快进/快退。</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5.一键式广播功能(具有8个可编程广播按键， 预设节目源和目标分区)， 并配有无线遥控器(其数字键也是用于一键广播，空旷距离300米范围)。</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6. 标准RJ45网络接口、有以太网口的地方即可接入、支持跨网段和跨路由。</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电源、功耗 DC12V/2A ，≤5W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网络通讯协议 TCP/IP、UDP、ARP、ICMP、IGMP</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网络芯片速率 10/100Mbps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音频编码 MP2/MP3/PCM/ADPCM</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音频采样、位率 8kHz～44.1kHz，16bit，8kbps-320kbps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信噪比、频响 ≥90dB，20Hz-16KHz</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显示屏 TFT 4.3”LCD 480x272</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接口 1个RJ45网口、6路话筒输入、2路线路输入、1路线路输出、1个SD卡插口</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工作温度、湿度 -10℃～50℃，≤90%RH（无结露）</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FF02">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3964">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7962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595FE82B">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97FA">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电源时序器</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1E9A9CC2">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1.标准机箱设计，2U铝合金面板。</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2.16路电源输出，每路输出AC 220V(10A)。</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3.16路电源插座依次接通或断开，每一路接通或断开时间相差1S。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4.电源插口总容量达10KVA。</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5.采用万能电源插座设计，以适合不同标准插头的用电设备接入。</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6.1路短路触发信号输入，1路短路触发信号扩展输出，简明的LED工作状态指示灯显示，显示当前接通的通道。</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电源、功耗 AC220V 50Hz，≤40W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 xml:space="preserve">单路容量 3KVA </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整机容量 10KVA</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信噪比   ≥85dB</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接口 16路电源输出接口</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工作温度、湿度 -10℃～50℃， ≤90%RH（无结露）</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8384">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1166">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121F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721F5572">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0904">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主备功放切换器</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58BFECE2">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1、能自动发现声频功放故障并在“主功放”和“备用功放”之间实现自动切换。</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2、具有4个完全相同的独立通道，每个通道均能完成主/备功放之自动检测与切换。</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3、兼有手动主/备切换之功能。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4、一目了然的工作状态指示。</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电源、功耗   AC220～240V 50～60Hz</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通道工作容量  100V/10A（音频信号）</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工作组态    4主4备或4主1备</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通道检测时间   40ms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输入检测电压阀值   &lt;500mV</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接口     4路音源输入口、4路主功放输入端接口、4路备份功放输入端接口 、4路主功放输出端接口、4路备份功放输出端接口、4路扬声器接口、1个电源输入口</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工作温度、湿度    -10℃～50℃，≤90%RH（无结露）</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43D9">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00B1">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72FD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403D4ED5">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8CB1">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多通道音频放大器</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25FFDA46">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1.机架式设计（1U）、防蚀铝拉丝面板、采用硬件音频编码。</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2.4路独立网络解码芯片，可同时解码四路数字音频。</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3.4路模拟音频输入(端子插座)，4路同时编码、高品质的数字音频传输。</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4.4路输入通道可通过网络远程进行音量调节、每路音量可单独调节、可将每路通道输入的音频作为音源分别传输到任意指定的终端进行还原。</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5.内置4路报警输入、4路报警输出用于联动触发，可输出报警无电压信号到第三方设备实现联机自动控制、适应于与外部设备联动的场合。</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6.超低的网络声音传输延时、广播延时低于30ms。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7.标准RJ45网络接口、有以太网口的地方即可接入、支持跨网段和跨路由。</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电源、功耗 AC120V-240V，≤20W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网络通讯协议 TCP/IP、UDP、ARP、ICMP、IGMP</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网络芯片速率 10/100Mbps</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音频编码 MP3/PCM/ADPCM</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音频采样、位率 22.05-48kHz，16bit</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 xml:space="preserve">信噪比、 频响 ≥90dB，20Hz-16KHz </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 xml:space="preserve">接口 4个RJ45网口、4路线路输入、4路线路输出、4路报警输入、4路报警输出 </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工作温度、湿度 -10℃～50℃，≤90%RH（无结露）</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07BE">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6D4A">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4A5E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441B5385">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2906">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IP网络功放终端</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3F882D91">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 xml:space="preserve">1.19英寸标准机架式，2U高度； </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2.采用固定静态的IP地址，当网络发生改变时地址不会丢失，工作稳定</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3.TCP/IP高品质的数字音频传输，无噪音</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4.≥3路MIC输入，≥1路AUX输入，≥1路AUX输出，≥MIC1具有强插默音功能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5.报警信号优先，自动强插，带24V强切功能、2位凤凰端子。</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6.智能电源管理，无音乐或呼叫时，设备自动切断主电源，进入待机状态</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7.待机功率小于3W,满足国家节能认证的标准</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8.温度风机冷却功能</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9.定压输出:70V、100V;定阻输出：4-16Ω，功率280W</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66DC">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F0A1">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572E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38B64628">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81C2">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音柱</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6C55DE86">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Style w:val="56"/>
                <w:rFonts w:hint="eastAsia" w:ascii="仿宋" w:hAnsi="仿宋" w:eastAsia="宋体" w:cs="仿宋"/>
                <w:sz w:val="21"/>
                <w:lang w:val="en-US" w:eastAsia="zh-CN" w:bidi="ar"/>
              </w:rPr>
              <w:t>1.名称:音柱</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2.规格:产品特点：外壳采用铝合金材料，配可调节多种角度支架，安装方便；专业的表面处理工艺，防水防锈；匹配2路扬声器单元，音质更好。</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技术参数：</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1．额定功率（100V）：12.5W,25W</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2．额定功率（70V）：6.2W,12.5W</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3．灵敏度：91dB±3dB</w:t>
            </w:r>
            <w:r>
              <w:rPr>
                <w:rStyle w:val="56"/>
                <w:rFonts w:hint="eastAsia" w:ascii="仿宋" w:hAnsi="仿宋" w:eastAsia="宋体" w:cs="仿宋"/>
                <w:sz w:val="21"/>
                <w:lang w:val="en-US" w:eastAsia="zh-CN" w:bidi="ar"/>
              </w:rPr>
              <w:br w:type="textWrapping"/>
            </w:r>
            <w:r>
              <w:rPr>
                <w:rStyle w:val="56"/>
                <w:rFonts w:hint="eastAsia" w:ascii="仿宋" w:hAnsi="仿宋" w:eastAsia="宋体" w:cs="仿宋"/>
                <w:sz w:val="21"/>
                <w:lang w:val="en-US" w:eastAsia="zh-CN" w:bidi="ar"/>
              </w:rPr>
              <w:t>4．阻抗：黑:COM白:800</w:t>
            </w:r>
            <w:r>
              <w:rPr>
                <w:rFonts w:hint="eastAsia" w:ascii="仿宋" w:hAnsi="仿宋" w:eastAsia="宋体" w:cs="仿宋"/>
                <w:i w:val="0"/>
                <w:iCs w:val="0"/>
                <w:color w:val="000000"/>
                <w:kern w:val="0"/>
                <w:sz w:val="21"/>
                <w:szCs w:val="20"/>
                <w:u w:val="none"/>
                <w:lang w:val="en-US" w:eastAsia="zh-CN" w:bidi="ar"/>
              </w:rPr>
              <w:t>Ω绿:400Ω</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5．频率响应：50-18KHz</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6．喇叭单元：4"×2,2.5"×1</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7．防护等级：IP66</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8.材料：铝合金</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77D6">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6</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546F">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30FE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1515DC61">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0236">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壁挂音箱</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76E57412">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1.名称:壁挂音箱</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2.规格:产品特点：</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室内壁挂音箱，流线型外观，声音辐射角度大，采用全频设计，使用于学校，酒店，宾馆，超市等。</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技术参数：</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1．额定功率（100V）：3W,6W,10W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2．额定功率（70V）：1.5W,3W,5W</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3．灵敏度：91dB±3dB</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4．阻抗：COM/3.3KΩ/1.7KΩ/1KΩ</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5．频率响应：130-18KHz</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6．喇叭单元：6.5"×1</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7．防护等级：IP5X</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8.材料：塑料</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95C8">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59</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967B">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台</w:t>
            </w:r>
          </w:p>
        </w:tc>
      </w:tr>
      <w:tr w14:paraId="5F1D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4646931A">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17</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4001">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光纤收发器</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top"/>
          </w:tcPr>
          <w:p w14:paraId="72D9552E">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千兆光纤收发器</w:t>
            </w:r>
          </w:p>
        </w:tc>
        <w:tc>
          <w:tcPr>
            <w:tcW w:w="670" w:type="dxa"/>
            <w:tcBorders>
              <w:top w:val="single" w:color="000000" w:sz="4" w:space="0"/>
              <w:left w:val="nil"/>
              <w:bottom w:val="single" w:color="000000" w:sz="4" w:space="0"/>
              <w:right w:val="single" w:color="000000" w:sz="4" w:space="0"/>
            </w:tcBorders>
            <w:shd w:val="clear" w:color="auto" w:fill="auto"/>
            <w:noWrap/>
            <w:vAlign w:val="center"/>
          </w:tcPr>
          <w:p w14:paraId="62E2FC23">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20</w:t>
            </w:r>
          </w:p>
        </w:tc>
        <w:tc>
          <w:tcPr>
            <w:tcW w:w="398" w:type="dxa"/>
            <w:tcBorders>
              <w:top w:val="single" w:color="000000" w:sz="4" w:space="0"/>
              <w:left w:val="single" w:color="000000" w:sz="4" w:space="0"/>
              <w:bottom w:val="single" w:color="000000" w:sz="4" w:space="0"/>
              <w:right w:val="nil"/>
            </w:tcBorders>
            <w:shd w:val="clear" w:color="auto" w:fill="FFFFFF"/>
            <w:vAlign w:val="center"/>
          </w:tcPr>
          <w:p w14:paraId="3D9EDA5B">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对</w:t>
            </w:r>
          </w:p>
        </w:tc>
      </w:tr>
      <w:tr w14:paraId="14B8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758CD68C">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76BA">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前端机柜</w:t>
            </w:r>
          </w:p>
        </w:tc>
        <w:tc>
          <w:tcPr>
            <w:tcW w:w="6203" w:type="dxa"/>
            <w:tcBorders>
              <w:top w:val="single" w:color="000000" w:sz="4" w:space="0"/>
              <w:left w:val="single" w:color="000000" w:sz="4" w:space="0"/>
              <w:bottom w:val="single" w:color="auto" w:sz="4" w:space="0"/>
              <w:right w:val="single" w:color="000000" w:sz="4" w:space="0"/>
            </w:tcBorders>
            <w:shd w:val="clear" w:color="auto" w:fill="auto"/>
            <w:vAlign w:val="top"/>
          </w:tcPr>
          <w:p w14:paraId="7C7F2614">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6U网络壁挂机柜SPCC优质冷轧钢板，灰白色/黑色可选</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钥匙1套、托盘1块、螺丝1包玻璃前门、支持壁挂、下走线</w:t>
            </w:r>
          </w:p>
        </w:tc>
        <w:tc>
          <w:tcPr>
            <w:tcW w:w="670" w:type="dxa"/>
            <w:tcBorders>
              <w:top w:val="single" w:color="000000" w:sz="4" w:space="0"/>
              <w:left w:val="nil"/>
              <w:bottom w:val="single" w:color="auto" w:sz="4" w:space="0"/>
              <w:right w:val="single" w:color="000000" w:sz="4" w:space="0"/>
            </w:tcBorders>
            <w:shd w:val="clear" w:color="auto" w:fill="auto"/>
            <w:noWrap/>
            <w:vAlign w:val="center"/>
          </w:tcPr>
          <w:p w14:paraId="48FD52AA">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20</w:t>
            </w:r>
          </w:p>
        </w:tc>
        <w:tc>
          <w:tcPr>
            <w:tcW w:w="398" w:type="dxa"/>
            <w:tcBorders>
              <w:top w:val="single" w:color="000000" w:sz="4" w:space="0"/>
              <w:left w:val="single" w:color="000000" w:sz="4" w:space="0"/>
              <w:bottom w:val="single" w:color="auto" w:sz="4" w:space="0"/>
              <w:right w:val="nil"/>
            </w:tcBorders>
            <w:shd w:val="clear" w:color="auto" w:fill="auto"/>
            <w:vAlign w:val="center"/>
          </w:tcPr>
          <w:p w14:paraId="65926FFC">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个</w:t>
            </w:r>
          </w:p>
        </w:tc>
      </w:tr>
      <w:tr w14:paraId="25A0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53023692">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20</w:t>
            </w:r>
          </w:p>
        </w:tc>
        <w:tc>
          <w:tcPr>
            <w:tcW w:w="760" w:type="dxa"/>
            <w:tcBorders>
              <w:top w:val="single" w:color="000000" w:sz="4" w:space="0"/>
              <w:left w:val="single" w:color="000000" w:sz="4" w:space="0"/>
              <w:bottom w:val="single" w:color="000000" w:sz="4" w:space="0"/>
              <w:right w:val="single" w:color="auto" w:sz="4" w:space="0"/>
            </w:tcBorders>
            <w:shd w:val="clear" w:color="auto" w:fill="auto"/>
            <w:vAlign w:val="center"/>
          </w:tcPr>
          <w:p w14:paraId="52F316D0">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超五类网线</w:t>
            </w:r>
          </w:p>
        </w:tc>
        <w:tc>
          <w:tcPr>
            <w:tcW w:w="6203" w:type="dxa"/>
            <w:tcBorders>
              <w:top w:val="single" w:color="auto" w:sz="4" w:space="0"/>
              <w:left w:val="single" w:color="auto" w:sz="4" w:space="0"/>
              <w:bottom w:val="single" w:color="auto" w:sz="4" w:space="0"/>
              <w:right w:val="single" w:color="auto" w:sz="4" w:space="0"/>
            </w:tcBorders>
            <w:shd w:val="clear" w:color="auto" w:fill="auto"/>
            <w:vAlign w:val="top"/>
          </w:tcPr>
          <w:p w14:paraId="5C97539F">
            <w:pPr>
              <w:keepNext w:val="0"/>
              <w:keepLines w:val="0"/>
              <w:widowControl/>
              <w:suppressLineNumbers w:val="0"/>
              <w:jc w:val="left"/>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材质：聚酯纤维；</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材质：无氧铜(99.97%)；</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导体结构：0.45mm±0.01mm；</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绝缘材质：HDPE；</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护套材料：PVC；</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护套颜色：灰色；</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工作温度：-20°C～+60°C；</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净重：7.7kg±0.4kg；</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毛重：8.5kg±0.4kg；</w:t>
            </w:r>
            <w:r>
              <w:rPr>
                <w:rFonts w:hint="eastAsia" w:ascii="仿宋" w:hAnsi="仿宋" w:eastAsia="宋体" w:cs="仿宋"/>
                <w:i w:val="0"/>
                <w:iCs w:val="0"/>
                <w:color w:val="000000"/>
                <w:kern w:val="0"/>
                <w:sz w:val="21"/>
                <w:szCs w:val="20"/>
                <w:u w:val="none"/>
                <w:lang w:val="en-US" w:eastAsia="zh-CN" w:bidi="ar"/>
              </w:rPr>
              <w:br w:type="textWrapping"/>
            </w:r>
            <w:r>
              <w:rPr>
                <w:rFonts w:hint="eastAsia" w:ascii="仿宋" w:hAnsi="仿宋" w:eastAsia="宋体" w:cs="仿宋"/>
                <w:i w:val="0"/>
                <w:iCs w:val="0"/>
                <w:color w:val="000000"/>
                <w:kern w:val="0"/>
                <w:sz w:val="21"/>
                <w:szCs w:val="20"/>
                <w:u w:val="none"/>
                <w:lang w:val="en-US" w:eastAsia="zh-CN" w:bidi="ar"/>
              </w:rPr>
              <w:t>执行标准：Q/DXJ 067-2019</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F3CB8">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2240</w:t>
            </w:r>
          </w:p>
        </w:tc>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14:paraId="32B72225">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米</w:t>
            </w:r>
          </w:p>
        </w:tc>
      </w:tr>
      <w:tr w14:paraId="343B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168CC9D1">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21</w:t>
            </w:r>
          </w:p>
        </w:tc>
        <w:tc>
          <w:tcPr>
            <w:tcW w:w="760" w:type="dxa"/>
            <w:tcBorders>
              <w:top w:val="single" w:color="000000" w:sz="4" w:space="0"/>
              <w:left w:val="single" w:color="000000" w:sz="4" w:space="0"/>
              <w:bottom w:val="single" w:color="000000" w:sz="4" w:space="0"/>
              <w:right w:val="single" w:color="auto" w:sz="4" w:space="0"/>
            </w:tcBorders>
            <w:shd w:val="clear" w:color="auto" w:fill="auto"/>
            <w:vAlign w:val="center"/>
          </w:tcPr>
          <w:p w14:paraId="5CC7F95D">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室内广播线</w:t>
            </w:r>
          </w:p>
        </w:tc>
        <w:tc>
          <w:tcPr>
            <w:tcW w:w="6203" w:type="dxa"/>
            <w:tcBorders>
              <w:top w:val="single" w:color="auto" w:sz="4" w:space="0"/>
              <w:left w:val="single" w:color="auto" w:sz="4" w:space="0"/>
              <w:bottom w:val="single" w:color="auto" w:sz="4" w:space="0"/>
              <w:right w:val="single" w:color="auto" w:sz="4" w:space="0"/>
            </w:tcBorders>
            <w:shd w:val="clear" w:color="auto" w:fill="auto"/>
            <w:vAlign w:val="center"/>
          </w:tcPr>
          <w:p w14:paraId="42D48DD2">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RVV2*1.5</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6D5D2">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4000</w:t>
            </w:r>
          </w:p>
        </w:tc>
        <w:tc>
          <w:tcPr>
            <w:tcW w:w="398" w:type="dxa"/>
            <w:tcBorders>
              <w:top w:val="single" w:color="auto" w:sz="4" w:space="0"/>
              <w:left w:val="single" w:color="auto" w:sz="4" w:space="0"/>
              <w:bottom w:val="single" w:color="auto" w:sz="4" w:space="0"/>
              <w:right w:val="single" w:color="auto" w:sz="4" w:space="0"/>
            </w:tcBorders>
            <w:shd w:val="clear" w:color="auto" w:fill="auto"/>
            <w:vAlign w:val="center"/>
          </w:tcPr>
          <w:p w14:paraId="0F7A6557">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米</w:t>
            </w:r>
          </w:p>
        </w:tc>
      </w:tr>
      <w:tr w14:paraId="4754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62007DE5">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805C">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辅材</w:t>
            </w:r>
          </w:p>
        </w:tc>
        <w:tc>
          <w:tcPr>
            <w:tcW w:w="6203" w:type="dxa"/>
            <w:tcBorders>
              <w:top w:val="single" w:color="auto" w:sz="4" w:space="0"/>
              <w:left w:val="single" w:color="000000" w:sz="4" w:space="0"/>
              <w:bottom w:val="single" w:color="000000" w:sz="4" w:space="0"/>
              <w:right w:val="single" w:color="000000" w:sz="4" w:space="0"/>
            </w:tcBorders>
            <w:shd w:val="clear" w:color="auto" w:fill="auto"/>
            <w:vAlign w:val="center"/>
          </w:tcPr>
          <w:p w14:paraId="658A1777">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音频插头、线管、顶管、不锈钢扎带、接线盒、防水箱等</w:t>
            </w:r>
          </w:p>
        </w:tc>
        <w:tc>
          <w:tcPr>
            <w:tcW w:w="670" w:type="dxa"/>
            <w:tcBorders>
              <w:top w:val="single" w:color="auto" w:sz="4" w:space="0"/>
              <w:left w:val="nil"/>
              <w:bottom w:val="single" w:color="000000" w:sz="4" w:space="0"/>
              <w:right w:val="single" w:color="000000" w:sz="4" w:space="0"/>
            </w:tcBorders>
            <w:shd w:val="clear" w:color="auto" w:fill="auto"/>
            <w:noWrap/>
            <w:vAlign w:val="center"/>
          </w:tcPr>
          <w:p w14:paraId="30EE1F58">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D55C48">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项</w:t>
            </w:r>
          </w:p>
        </w:tc>
      </w:tr>
      <w:tr w14:paraId="2DBE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top"/>
          </w:tcPr>
          <w:p w14:paraId="7CF08097">
            <w:pPr>
              <w:keepNext w:val="0"/>
              <w:keepLines w:val="0"/>
              <w:widowControl/>
              <w:suppressLineNumbers w:val="0"/>
              <w:jc w:val="center"/>
              <w:textAlignment w:val="top"/>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23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BA1C">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系统集成费</w:t>
            </w:r>
          </w:p>
        </w:tc>
        <w:tc>
          <w:tcPr>
            <w:tcW w:w="6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75A0">
            <w:pPr>
              <w:keepNext w:val="0"/>
              <w:keepLines w:val="0"/>
              <w:widowControl/>
              <w:suppressLineNumbers w:val="0"/>
              <w:jc w:val="left"/>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系统集成服务费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289B">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2234">
            <w:pPr>
              <w:keepNext w:val="0"/>
              <w:keepLines w:val="0"/>
              <w:widowControl/>
              <w:suppressLineNumbers w:val="0"/>
              <w:jc w:val="center"/>
              <w:textAlignment w:val="center"/>
              <w:rPr>
                <w:rFonts w:hint="eastAsia" w:ascii="仿宋" w:hAnsi="仿宋" w:eastAsia="宋体" w:cs="仿宋"/>
                <w:i w:val="0"/>
                <w:iCs w:val="0"/>
                <w:color w:val="000000"/>
                <w:sz w:val="21"/>
                <w:szCs w:val="20"/>
                <w:u w:val="none"/>
              </w:rPr>
            </w:pPr>
            <w:r>
              <w:rPr>
                <w:rFonts w:hint="eastAsia" w:ascii="仿宋" w:hAnsi="仿宋" w:eastAsia="宋体" w:cs="仿宋"/>
                <w:i w:val="0"/>
                <w:iCs w:val="0"/>
                <w:color w:val="000000"/>
                <w:kern w:val="0"/>
                <w:sz w:val="21"/>
                <w:szCs w:val="20"/>
                <w:u w:val="none"/>
                <w:lang w:val="en-US" w:eastAsia="zh-CN" w:bidi="ar"/>
              </w:rPr>
              <w:t>项</w:t>
            </w:r>
          </w:p>
        </w:tc>
      </w:tr>
    </w:tbl>
    <w:p w14:paraId="1E975427">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核心产品</w:t>
      </w:r>
      <w:r>
        <w:rPr>
          <w:rFonts w:hint="eastAsia" w:ascii="宋体" w:hAnsi="宋体" w:eastAsia="宋体" w:cs="宋体"/>
          <w:sz w:val="24"/>
          <w:szCs w:val="24"/>
          <w:lang w:eastAsia="zh-CN"/>
        </w:rPr>
        <w:t>：</w:t>
      </w:r>
    </w:p>
    <w:p w14:paraId="77571E50">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关于核心产品本项目/包不适用。</w:t>
      </w:r>
    </w:p>
    <w:p w14:paraId="7178AD12">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本项目/包为单一产品采购项目。</w:t>
      </w:r>
    </w:p>
    <w:p w14:paraId="690B2B98">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本项目/包为非单一产品采购项目，核心产品为:第一标段:智慧管理云平台：监管端、学校端、家长端</w:t>
      </w:r>
      <w:r>
        <w:rPr>
          <w:rFonts w:hint="eastAsia" w:ascii="宋体" w:hAnsi="宋体" w:eastAsia="宋体" w:cs="宋体"/>
          <w:sz w:val="24"/>
          <w:szCs w:val="24"/>
          <w:lang w:eastAsia="zh-CN"/>
        </w:rPr>
        <w:t>；</w:t>
      </w:r>
      <w:r>
        <w:rPr>
          <w:rFonts w:hint="eastAsia" w:ascii="宋体" w:hAnsi="宋体" w:eastAsia="宋体" w:cs="宋体"/>
          <w:sz w:val="24"/>
          <w:szCs w:val="24"/>
        </w:rPr>
        <w:t>第二标段:电磁大锅灶</w:t>
      </w:r>
      <w:r>
        <w:rPr>
          <w:rFonts w:hint="eastAsia" w:ascii="宋体" w:hAnsi="宋体" w:eastAsia="宋体" w:cs="宋体"/>
          <w:sz w:val="24"/>
          <w:szCs w:val="24"/>
          <w:lang w:eastAsia="zh-CN"/>
        </w:rPr>
        <w:t>；</w:t>
      </w:r>
      <w:r>
        <w:rPr>
          <w:rFonts w:hint="eastAsia" w:ascii="宋体" w:hAnsi="宋体" w:eastAsia="宋体" w:cs="宋体"/>
          <w:sz w:val="24"/>
          <w:szCs w:val="24"/>
        </w:rPr>
        <w:t>第三标段:会议室多媒体系统。</w:t>
      </w:r>
    </w:p>
    <w:p w14:paraId="72DBD734">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二、项目商务</w:t>
      </w:r>
      <w:r>
        <w:rPr>
          <w:rFonts w:hint="eastAsia" w:ascii="宋体" w:hAnsi="宋体" w:eastAsia="宋体" w:cs="宋体"/>
          <w:sz w:val="24"/>
          <w:szCs w:val="24"/>
          <w:lang w:val="en-US" w:eastAsia="zh-CN"/>
        </w:rPr>
        <w:t>要</w:t>
      </w:r>
      <w:r>
        <w:rPr>
          <w:rFonts w:hint="eastAsia" w:ascii="宋体" w:hAnsi="宋体" w:eastAsia="宋体" w:cs="宋体"/>
          <w:sz w:val="24"/>
          <w:szCs w:val="24"/>
        </w:rPr>
        <w:t>求</w:t>
      </w:r>
    </w:p>
    <w:p w14:paraId="20482B66">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1.交货时间:合同签订后</w:t>
      </w:r>
      <w:r>
        <w:rPr>
          <w:rFonts w:hint="eastAsia" w:ascii="宋体" w:hAnsi="宋体" w:eastAsia="宋体" w:cs="宋体"/>
          <w:sz w:val="24"/>
          <w:szCs w:val="24"/>
          <w:lang w:val="en-US" w:eastAsia="zh-CN"/>
        </w:rPr>
        <w:t>30</w:t>
      </w:r>
      <w:r>
        <w:rPr>
          <w:rFonts w:hint="eastAsia" w:ascii="宋体" w:hAnsi="宋体" w:eastAsia="宋体" w:cs="宋体"/>
          <w:sz w:val="24"/>
          <w:szCs w:val="24"/>
        </w:rPr>
        <w:t xml:space="preserve"> 日历天内供货、安装、调试完毕</w:t>
      </w:r>
    </w:p>
    <w:p w14:paraId="1C60928F">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交货地点:采购人指定地点。</w:t>
      </w:r>
    </w:p>
    <w:p w14:paraId="02B3FB91">
      <w:pPr>
        <w:spacing w:line="360" w:lineRule="auto"/>
        <w:ind w:firstLine="480" w:firstLineChars="200"/>
        <w:jc w:val="both"/>
        <w:rPr>
          <w:rFonts w:hint="default" w:ascii="宋体" w:hAnsi="宋体" w:eastAsia="宋体" w:cs="宋体"/>
          <w:sz w:val="24"/>
          <w:szCs w:val="24"/>
          <w:lang w:val="en-US"/>
        </w:rPr>
      </w:pPr>
      <w:r>
        <w:rPr>
          <w:rFonts w:hint="eastAsia" w:ascii="宋体" w:hAnsi="宋体" w:eastAsia="宋体" w:cs="宋体"/>
          <w:sz w:val="24"/>
          <w:szCs w:val="24"/>
        </w:rPr>
        <w:t>3.付款方式:</w:t>
      </w:r>
      <w:r>
        <w:rPr>
          <w:rFonts w:hint="eastAsia" w:ascii="宋体" w:hAnsi="宋体" w:eastAsia="宋体" w:cs="宋体"/>
          <w:sz w:val="24"/>
          <w:szCs w:val="24"/>
          <w:lang w:val="en-US" w:eastAsia="zh-CN"/>
        </w:rPr>
        <w:t>本次付款分两次付清，中标供货商供货安装调试完毕并经县级验收小组验收合格后，支付合同货款的50%,经第三方机构验收合格后，次年支付合同总货款的50%.</w:t>
      </w:r>
    </w:p>
    <w:p w14:paraId="2191218F">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4.包装和运输(须满足财政部《关于印发《商品包装政府采购需求标准(试行)》、(快递包装政府采购需求标准(试行))的通知》(财办库(2020)123号)，</w:t>
      </w:r>
    </w:p>
    <w:p w14:paraId="54F88F30">
      <w:pPr>
        <w:spacing w:line="360" w:lineRule="auto"/>
        <w:ind w:firstLine="480" w:firstLineChars="200"/>
        <w:jc w:val="both"/>
        <w:rPr>
          <w:rFonts w:hint="eastAsia" w:asciiTheme="minorEastAsia" w:hAnsiTheme="minorEastAsia" w:eastAsiaTheme="minorEastAsia" w:cstheme="minorEastAsia"/>
          <w:b/>
          <w:bCs/>
          <w:spacing w:val="18"/>
          <w:sz w:val="31"/>
          <w:szCs w:val="31"/>
        </w:rPr>
      </w:pPr>
      <w:r>
        <w:rPr>
          <w:rFonts w:hint="eastAsia" w:ascii="宋体" w:hAnsi="宋体" w:eastAsia="宋体" w:cs="宋体"/>
          <w:sz w:val="24"/>
          <w:szCs w:val="24"/>
        </w:rPr>
        <w:t>5.质量保证期:三年。</w:t>
      </w:r>
      <w:r>
        <w:rPr>
          <w:rFonts w:hint="eastAsia" w:asciiTheme="minorEastAsia" w:hAnsiTheme="minorEastAsia" w:eastAsiaTheme="minorEastAsia" w:cstheme="minorEastAsia"/>
          <w:b/>
          <w:bCs/>
          <w:spacing w:val="18"/>
          <w:sz w:val="31"/>
          <w:szCs w:val="31"/>
        </w:rPr>
        <w:br w:type="page"/>
      </w:r>
    </w:p>
    <w:p w14:paraId="55702182">
      <w:pPr>
        <w:spacing w:before="101" w:line="225" w:lineRule="auto"/>
        <w:jc w:val="center"/>
        <w:outlineLvl w:val="0"/>
        <w:rPr>
          <w:rFonts w:asciiTheme="minorEastAsia" w:hAnsiTheme="minorEastAsia" w:eastAsiaTheme="minorEastAsia" w:cstheme="minorEastAsia"/>
          <w:b/>
          <w:bCs/>
          <w:sz w:val="31"/>
          <w:szCs w:val="31"/>
        </w:rPr>
      </w:pPr>
      <w:bookmarkStart w:id="3" w:name="_Toc2144"/>
      <w:r>
        <w:rPr>
          <w:rFonts w:hint="eastAsia" w:asciiTheme="minorEastAsia" w:hAnsiTheme="minorEastAsia" w:eastAsiaTheme="minorEastAsia" w:cstheme="minorEastAsia"/>
          <w:b/>
          <w:bCs/>
          <w:spacing w:val="18"/>
          <w:sz w:val="31"/>
          <w:szCs w:val="31"/>
        </w:rPr>
        <w:t>第</w:t>
      </w:r>
      <w:r>
        <w:rPr>
          <w:rFonts w:hint="eastAsia" w:asciiTheme="minorEastAsia" w:hAnsiTheme="minorEastAsia" w:eastAsiaTheme="minorEastAsia" w:cstheme="minorEastAsia"/>
          <w:b/>
          <w:bCs/>
          <w:spacing w:val="9"/>
          <w:sz w:val="31"/>
          <w:szCs w:val="31"/>
          <w:lang w:val="en-US" w:eastAsia="zh-CN"/>
        </w:rPr>
        <w:t>四</w:t>
      </w:r>
      <w:r>
        <w:rPr>
          <w:rFonts w:hint="eastAsia" w:asciiTheme="minorEastAsia" w:hAnsiTheme="minorEastAsia" w:eastAsiaTheme="minorEastAsia" w:cstheme="minorEastAsia"/>
          <w:b/>
          <w:bCs/>
          <w:spacing w:val="9"/>
          <w:sz w:val="31"/>
          <w:szCs w:val="31"/>
        </w:rPr>
        <w:t>部分</w:t>
      </w:r>
      <w:r>
        <w:rPr>
          <w:rFonts w:hint="eastAsia" w:asciiTheme="minorEastAsia" w:hAnsiTheme="minorEastAsia" w:eastAsiaTheme="minorEastAsia" w:cstheme="minorEastAsia"/>
          <w:b/>
          <w:bCs/>
          <w:spacing w:val="9"/>
          <w:sz w:val="31"/>
          <w:szCs w:val="31"/>
          <w:lang w:val="en-US" w:eastAsia="zh-CN"/>
        </w:rPr>
        <w:t xml:space="preserve"> </w:t>
      </w:r>
      <w:r>
        <w:rPr>
          <w:rFonts w:hint="eastAsia" w:asciiTheme="minorEastAsia" w:hAnsiTheme="minorEastAsia" w:eastAsiaTheme="minorEastAsia" w:cstheme="minorEastAsia"/>
          <w:b/>
          <w:bCs/>
          <w:spacing w:val="9"/>
          <w:sz w:val="31"/>
          <w:szCs w:val="31"/>
        </w:rPr>
        <w:t>投标人须知正文部分</w:t>
      </w:r>
      <w:bookmarkEnd w:id="3"/>
    </w:p>
    <w:p w14:paraId="601B875E">
      <w:pPr>
        <w:spacing w:line="262" w:lineRule="auto"/>
        <w:rPr>
          <w:rFonts w:asciiTheme="minorEastAsia" w:hAnsiTheme="minorEastAsia" w:eastAsiaTheme="minorEastAsia" w:cstheme="minorEastAsia"/>
        </w:rPr>
      </w:pPr>
    </w:p>
    <w:p w14:paraId="5DAED237">
      <w:pPr>
        <w:spacing w:line="360" w:lineRule="auto"/>
        <w:ind w:firstLine="480" w:firstLineChars="200"/>
        <w:jc w:val="both"/>
        <w:outlineLvl w:val="9"/>
        <w:rPr>
          <w:rFonts w:ascii="宋体" w:hAnsi="宋体" w:eastAsia="宋体" w:cs="宋体"/>
          <w:sz w:val="24"/>
          <w:szCs w:val="24"/>
        </w:rPr>
      </w:pPr>
      <w:r>
        <w:rPr>
          <w:rFonts w:hint="eastAsia" w:ascii="宋体" w:hAnsi="宋体" w:eastAsia="宋体" w:cs="宋体"/>
          <w:sz w:val="24"/>
          <w:szCs w:val="24"/>
        </w:rPr>
        <w:t>一、总则</w:t>
      </w:r>
    </w:p>
    <w:p w14:paraId="0BE8763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适用法律</w:t>
      </w:r>
    </w:p>
    <w:p w14:paraId="3D842902">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本次招标采购适用的主要法律法规为《中华人民共和国政府采购法》、《中华人民共和国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》、《中华人民共和国政府采购法实施条例》等。</w:t>
      </w:r>
    </w:p>
    <w:p w14:paraId="1A1E599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定义</w:t>
      </w:r>
    </w:p>
    <w:p w14:paraId="774F9A1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.1“采购人(招标人)”：指本项目采购单位；</w:t>
      </w:r>
    </w:p>
    <w:p w14:paraId="6B9D0453">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.2“代理机构”：指受采购人委托的有代理资质的第三方机构；</w:t>
      </w:r>
    </w:p>
    <w:p w14:paraId="37231613">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.3“供应商(投标人)”系指向招标采购单位提交投标文件的供应商；</w:t>
      </w:r>
    </w:p>
    <w:p w14:paraId="4BC48FC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.4“中标人(成交人)”系指被确定为承接本项目并负责其实施的投标人(供应商)；</w:t>
      </w:r>
    </w:p>
    <w:p w14:paraId="58EF2C0E">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.5“货物”系指供应商按招标文件要求，须向采购人提供的货物内容及相应资料；包括手册及其它有关技术资料；</w:t>
      </w:r>
    </w:p>
    <w:p w14:paraId="3B93EE3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.6“服务”指招标文件中规定的供应商须承担的服务内容。</w:t>
      </w:r>
    </w:p>
    <w:p w14:paraId="782C8814">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合格的货物和服务：</w:t>
      </w:r>
    </w:p>
    <w:p w14:paraId="161D3991">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供应商须提供符合国家质量标准，相关行业强制执行标准的全新货物及采购人要求的与采购货物相配套的技术服务。</w:t>
      </w:r>
    </w:p>
    <w:p w14:paraId="626F2A72">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投标人应具</w:t>
      </w:r>
      <w:r>
        <w:rPr>
          <w:rFonts w:hint="eastAsia" w:ascii="宋体" w:hAnsi="宋体" w:eastAsia="宋体" w:cs="宋体"/>
          <w:sz w:val="24"/>
          <w:szCs w:val="24"/>
        </w:rPr>
        <w:t>备的条件：见投标人须知前附表</w:t>
      </w:r>
    </w:p>
    <w:p w14:paraId="4058E52A">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投标人不</w:t>
      </w:r>
      <w:r>
        <w:rPr>
          <w:rFonts w:hint="eastAsia" w:ascii="宋体" w:hAnsi="宋体" w:eastAsia="宋体" w:cs="宋体"/>
          <w:sz w:val="24"/>
          <w:szCs w:val="24"/>
        </w:rPr>
        <w:t>得存在下列情形之一</w:t>
      </w:r>
    </w:p>
    <w:p w14:paraId="0FA2DB8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.1为招标人不具有独立法人资格的附属机构(单位) ；</w:t>
      </w:r>
    </w:p>
    <w:p w14:paraId="722E4381">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.2为本项目前期准备提供咨询服务的；</w:t>
      </w:r>
    </w:p>
    <w:p w14:paraId="1CEA21AD">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.3为本项目提供招标代理服务的；</w:t>
      </w:r>
    </w:p>
    <w:p w14:paraId="5A41AFEB">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.4被责令停业的；</w:t>
      </w:r>
    </w:p>
    <w:p w14:paraId="299B122B">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.5被暂停或取消投标资格的；</w:t>
      </w:r>
    </w:p>
    <w:p w14:paraId="2F144E90">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.6财产被接管或冻结的；</w:t>
      </w:r>
    </w:p>
    <w:p w14:paraId="229B8EF3">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.7在最近三年内有骗取中标或严重违约或重大质量问题的。</w:t>
      </w:r>
    </w:p>
    <w:p w14:paraId="08CBA3BE">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费</w:t>
      </w:r>
      <w:r>
        <w:rPr>
          <w:rFonts w:hint="eastAsia" w:ascii="宋体" w:hAnsi="宋体" w:eastAsia="宋体" w:cs="宋体"/>
          <w:spacing w:val="-1"/>
          <w:sz w:val="24"/>
          <w:szCs w:val="24"/>
        </w:rPr>
        <w:t>用承担</w:t>
      </w:r>
    </w:p>
    <w:p w14:paraId="1D20B86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投标人准备和参加投标活动发生的一切费用自理，不论投标结果如何，招标人概不负责。</w:t>
      </w:r>
    </w:p>
    <w:p w14:paraId="628C9BB9">
      <w:pPr>
        <w:spacing w:line="360" w:lineRule="auto"/>
        <w:ind w:firstLine="464" w:firstLineChars="200"/>
        <w:jc w:val="both"/>
        <w:rPr>
          <w:rFonts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保密</w:t>
      </w:r>
    </w:p>
    <w:p w14:paraId="3134BD7B">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参与</w:t>
      </w:r>
      <w:r>
        <w:rPr>
          <w:rFonts w:hint="eastAsia" w:ascii="宋体" w:hAnsi="宋体" w:eastAsia="宋体" w:cs="宋体"/>
          <w:sz w:val="24"/>
          <w:szCs w:val="24"/>
        </w:rPr>
        <w:t>招标投标活动的各方应对招标文件和投标文件中的商业和技术等秘密保密，违者应对由此造成的</w:t>
      </w:r>
      <w:r>
        <w:rPr>
          <w:rFonts w:hint="eastAsia" w:ascii="宋体" w:hAnsi="宋体" w:eastAsia="宋体" w:cs="宋体"/>
          <w:spacing w:val="-4"/>
          <w:sz w:val="24"/>
          <w:szCs w:val="24"/>
        </w:rPr>
        <w:t>后果</w:t>
      </w:r>
      <w:r>
        <w:rPr>
          <w:rFonts w:hint="eastAsia" w:ascii="宋体" w:hAnsi="宋体" w:eastAsia="宋体" w:cs="宋体"/>
          <w:spacing w:val="-2"/>
          <w:sz w:val="24"/>
          <w:szCs w:val="24"/>
        </w:rPr>
        <w:t>承担法律责任。</w:t>
      </w:r>
    </w:p>
    <w:p w14:paraId="28359BDC">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hint="eastAsia" w:ascii="宋体" w:hAnsi="宋体" w:eastAsia="宋体" w:cs="宋体"/>
          <w:spacing w:val="-2"/>
          <w:sz w:val="24"/>
          <w:szCs w:val="24"/>
        </w:rPr>
        <w:t>语言文字</w:t>
      </w:r>
    </w:p>
    <w:p w14:paraId="6D4F5967">
      <w:pPr>
        <w:spacing w:line="360" w:lineRule="auto"/>
        <w:ind w:firstLine="456" w:firstLineChars="200"/>
        <w:jc w:val="both"/>
        <w:rPr>
          <w:rFonts w:ascii="宋体" w:hAnsi="宋体" w:eastAsia="宋体" w:cs="宋体"/>
          <w:sz w:val="24"/>
          <w:szCs w:val="24"/>
        </w:rPr>
      </w:pPr>
      <w:r>
        <w:rPr>
          <w:rFonts w:hint="eastAsia" w:ascii="宋体" w:hAnsi="宋体" w:eastAsia="宋体" w:cs="宋体"/>
          <w:spacing w:val="-6"/>
          <w:sz w:val="24"/>
          <w:szCs w:val="24"/>
        </w:rPr>
        <w:t>除专用术语</w:t>
      </w:r>
      <w:r>
        <w:rPr>
          <w:rFonts w:hint="eastAsia" w:ascii="宋体" w:hAnsi="宋体" w:eastAsia="宋体" w:cs="宋体"/>
          <w:spacing w:val="-4"/>
          <w:sz w:val="24"/>
          <w:szCs w:val="24"/>
        </w:rPr>
        <w:t>外</w:t>
      </w:r>
      <w:r>
        <w:rPr>
          <w:rFonts w:hint="eastAsia" w:ascii="宋体" w:hAnsi="宋体" w:eastAsia="宋体" w:cs="宋体"/>
          <w:spacing w:val="-3"/>
          <w:sz w:val="24"/>
          <w:szCs w:val="24"/>
        </w:rPr>
        <w:t>，与招标投标有关的语言均使用中文。必要时专用术语应附有中文注释。</w:t>
      </w:r>
    </w:p>
    <w:p w14:paraId="0069273A">
      <w:pPr>
        <w:spacing w:line="360" w:lineRule="auto"/>
        <w:ind w:firstLine="468" w:firstLineChars="200"/>
        <w:jc w:val="both"/>
        <w:rPr>
          <w:rFonts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9、</w:t>
      </w:r>
      <w:r>
        <w:rPr>
          <w:rFonts w:hint="eastAsia" w:ascii="宋体" w:hAnsi="宋体" w:eastAsia="宋体" w:cs="宋体"/>
          <w:spacing w:val="-2"/>
          <w:sz w:val="24"/>
          <w:szCs w:val="24"/>
        </w:rPr>
        <w:t>计量单位</w:t>
      </w:r>
    </w:p>
    <w:p w14:paraId="661D093C">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所有计</w:t>
      </w:r>
      <w:r>
        <w:rPr>
          <w:rFonts w:hint="eastAsia" w:ascii="宋体" w:hAnsi="宋体" w:eastAsia="宋体" w:cs="宋体"/>
          <w:sz w:val="24"/>
          <w:szCs w:val="24"/>
        </w:rPr>
        <w:t>量均采用中华人民共和国法定计量单位。</w:t>
      </w:r>
    </w:p>
    <w:p w14:paraId="26736CEA">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rPr>
        <w:t>踏勘现场</w:t>
      </w:r>
    </w:p>
    <w:p w14:paraId="53589A55">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本项目不组织现场踏勘</w:t>
      </w:r>
      <w:r>
        <w:rPr>
          <w:rFonts w:hint="eastAsia" w:ascii="宋体" w:hAnsi="宋体" w:eastAsia="宋体" w:cs="宋体"/>
          <w:spacing w:val="-1"/>
          <w:sz w:val="24"/>
          <w:szCs w:val="24"/>
        </w:rPr>
        <w:t>。</w:t>
      </w:r>
    </w:p>
    <w:p w14:paraId="47C88F85">
      <w:pPr>
        <w:spacing w:line="360" w:lineRule="auto"/>
        <w:ind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2"/>
          <w:sz w:val="24"/>
          <w:szCs w:val="24"/>
          <w:lang w:val="en-US" w:eastAsia="zh-CN"/>
        </w:rPr>
        <w:t>1、</w:t>
      </w:r>
      <w:r>
        <w:rPr>
          <w:rFonts w:hint="eastAsia" w:ascii="宋体" w:hAnsi="宋体" w:eastAsia="宋体" w:cs="宋体"/>
          <w:sz w:val="24"/>
          <w:szCs w:val="24"/>
        </w:rPr>
        <w:t>投标预备会</w:t>
      </w:r>
    </w:p>
    <w:p w14:paraId="675029F1">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本项目不召开预备会。</w:t>
      </w:r>
    </w:p>
    <w:p w14:paraId="05C535A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2、</w:t>
      </w:r>
      <w:r>
        <w:rPr>
          <w:rFonts w:hint="eastAsia" w:ascii="宋体" w:hAnsi="宋体" w:eastAsia="宋体" w:cs="宋体"/>
          <w:sz w:val="24"/>
          <w:szCs w:val="24"/>
        </w:rPr>
        <w:t>分包</w:t>
      </w:r>
    </w:p>
    <w:p w14:paraId="207B4777">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本项目不接受任何分包。</w:t>
      </w:r>
    </w:p>
    <w:p w14:paraId="7CDE050A">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3、</w:t>
      </w:r>
      <w:r>
        <w:rPr>
          <w:rFonts w:hint="eastAsia" w:ascii="宋体" w:hAnsi="宋体" w:eastAsia="宋体" w:cs="宋体"/>
          <w:sz w:val="24"/>
          <w:szCs w:val="24"/>
        </w:rPr>
        <w:t>偏离</w:t>
      </w:r>
    </w:p>
    <w:p w14:paraId="1578FA4F">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投标文件对招标文件的全部偏差，均应在投标文件的商务和技术偏差表中列明。</w:t>
      </w:r>
    </w:p>
    <w:p w14:paraId="733602F4">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二、招标文件</w:t>
      </w:r>
    </w:p>
    <w:p w14:paraId="3ED92B08">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招标文件构成</w:t>
      </w:r>
    </w:p>
    <w:p w14:paraId="1D90820C">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要求提供的货物和服务、招标过程、合同条件和技术要求在招标文件中均有说明。招标文件的内容如下：</w:t>
      </w:r>
    </w:p>
    <w:p w14:paraId="117CBCBC">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第一部分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招标公告</w:t>
      </w:r>
    </w:p>
    <w:p w14:paraId="3E4DB46E">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第二部分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投标人须知</w:t>
      </w:r>
    </w:p>
    <w:p w14:paraId="66166B2A">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第三部分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投标人须知正文部分</w:t>
      </w:r>
    </w:p>
    <w:p w14:paraId="750370D7">
      <w:pPr>
        <w:spacing w:line="360" w:lineRule="auto"/>
        <w:ind w:firstLine="476" w:firstLineChars="200"/>
        <w:jc w:val="both"/>
        <w:rPr>
          <w:rFonts w:eastAsia="宋体"/>
        </w:rPr>
      </w:pPr>
      <w:r>
        <w:rPr>
          <w:rFonts w:hint="eastAsia" w:ascii="宋体" w:hAnsi="宋体" w:eastAsia="宋体" w:cs="宋体"/>
          <w:spacing w:val="-1"/>
          <w:sz w:val="24"/>
          <w:szCs w:val="24"/>
        </w:rPr>
        <w:t>第四部分 项目采购内容及技术要求</w:t>
      </w:r>
    </w:p>
    <w:p w14:paraId="01869318">
      <w:pPr>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rPr>
        <w:t>第五部分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合同</w:t>
      </w:r>
      <w:r>
        <w:rPr>
          <w:rFonts w:hint="eastAsia" w:ascii="宋体" w:hAnsi="宋体" w:eastAsia="宋体" w:cs="宋体"/>
          <w:spacing w:val="-1"/>
          <w:sz w:val="24"/>
          <w:szCs w:val="24"/>
          <w:lang w:eastAsia="zh-CN"/>
        </w:rPr>
        <w:t>格式</w:t>
      </w:r>
    </w:p>
    <w:p w14:paraId="4D426337">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第六部分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标投标文件格式</w:t>
      </w:r>
    </w:p>
    <w:p w14:paraId="11FAE9E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eastAsia="zh-CN"/>
        </w:rPr>
        <w:t>、</w:t>
      </w:r>
      <w:r>
        <w:rPr>
          <w:rFonts w:hint="eastAsia" w:ascii="宋体" w:hAnsi="宋体" w:eastAsia="宋体" w:cs="宋体"/>
          <w:sz w:val="24"/>
          <w:szCs w:val="24"/>
        </w:rPr>
        <w:t>招标文件的澄清</w:t>
      </w:r>
    </w:p>
    <w:p w14:paraId="0B3E464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投标人应仔细阅读和检查招标文件的全部内容。如发现缺页或附件不全或者有其他疑问，应及时向招标人(或代理机构)提出，以便补齐。如有疑问，</w:t>
      </w:r>
      <w:r>
        <w:rPr>
          <w:rFonts w:ascii="宋体" w:hAnsi="宋体" w:eastAsia="宋体" w:cs="宋体"/>
          <w:sz w:val="24"/>
          <w:szCs w:val="24"/>
        </w:rPr>
        <w:t>应按</w:t>
      </w:r>
      <w:r>
        <w:rPr>
          <w:rFonts w:hint="eastAsia" w:ascii="宋体" w:hAnsi="宋体" w:eastAsia="宋体" w:cs="宋体"/>
          <w:sz w:val="24"/>
          <w:szCs w:val="24"/>
          <w:lang w:eastAsia="zh-CN"/>
        </w:rPr>
        <w:t>投标人</w:t>
      </w:r>
      <w:r>
        <w:rPr>
          <w:rFonts w:ascii="宋体" w:hAnsi="宋体" w:eastAsia="宋体" w:cs="宋体"/>
          <w:sz w:val="24"/>
          <w:szCs w:val="24"/>
        </w:rPr>
        <w:t>须知前附表规定的时间</w:t>
      </w:r>
      <w:r>
        <w:rPr>
          <w:rFonts w:hint="eastAsia" w:ascii="宋体" w:hAnsi="宋体" w:eastAsia="宋体" w:cs="宋体"/>
          <w:sz w:val="24"/>
          <w:szCs w:val="24"/>
        </w:rPr>
        <w:t>以书面形式(加盖单位公章且法人签字)由法定代表人或其原授权代表携带企业营业执照副本(原件)及本人身份证件(原件)向招标人和招标代理机构提出(邮件、传真件不予受理)，要求招标人(或代理机构)对招标文件予以澄清。投标人在规定时间内未对招标文件提出澄清要求，视为投标人全部认同招标文件。</w:t>
      </w:r>
    </w:p>
    <w:p w14:paraId="1DB8E314">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2.2.2 招标文件的澄清将在投标人须知前附表规定的投标截止时间15天前以公告形式通知投标人，但不指明澄清问题的来源。澄清发出的时间距投标截止时间不足 15 日的，并且澄清内容可能影响投标文件编制的，将相应延长投标截止时间。</w:t>
      </w:r>
    </w:p>
    <w:p w14:paraId="01CFCD13">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w:t>
      </w:r>
      <w:r>
        <w:rPr>
          <w:rFonts w:hint="eastAsia" w:ascii="宋体" w:hAnsi="宋体" w:eastAsia="宋体" w:cs="宋体"/>
          <w:sz w:val="24"/>
          <w:szCs w:val="24"/>
        </w:rPr>
        <w:t>招标文件的修改</w:t>
      </w:r>
    </w:p>
    <w:p w14:paraId="0429C40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在投标截止时间15天前，招标人可以书面形式修改招标文件，并以公告形式通知投标人。</w:t>
      </w:r>
    </w:p>
    <w:p w14:paraId="28D104F2">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w:t>
      </w:r>
      <w:r>
        <w:rPr>
          <w:rFonts w:hint="eastAsia" w:ascii="宋体" w:hAnsi="宋体" w:eastAsia="宋体" w:cs="宋体"/>
          <w:sz w:val="24"/>
          <w:szCs w:val="24"/>
        </w:rPr>
        <w:t>质疑</w:t>
      </w:r>
    </w:p>
    <w:p w14:paraId="6D913767">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潜在供应商已依法获取其可质疑的采购文件的，可以对该文件提出质疑。对采购文件提出质疑的，应当在获取采购文件或</w:t>
      </w:r>
      <w:r>
        <w:rPr>
          <w:rFonts w:hint="eastAsia" w:ascii="宋体" w:hAnsi="宋体" w:eastAsia="宋体" w:cs="宋体"/>
          <w:sz w:val="24"/>
          <w:szCs w:val="24"/>
          <w:lang w:eastAsia="zh-CN"/>
        </w:rPr>
        <w:t>者采购文件公告期限届满之日起7个工作日内提出，供应商在法定质疑期内一次性提出针对同一采购程序环节的质疑。质疑函须按照财政部发布的质疑函范本格式提交，不符合格式要求的将被拒绝接收。</w:t>
      </w:r>
    </w:p>
    <w:p w14:paraId="25F07AF4">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采购人、采购代理机构不得拒收质疑供应商在法定质疑期内发出的质疑函，应当在收到质疑函后7个工作日内作出答复，并以书面形式通知质疑供应商和其他有关供应商。具体参照中华人民共和国财政部令第94号--《政府采购质疑和投诉办法》。超出法定质疑期的、重复提出的、分次提出的或内容、形式不符合《政府采购质疑和投诉办法》的，质疑供应商将依法承担不利后果。</w:t>
      </w:r>
    </w:p>
    <w:p w14:paraId="144C444D">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2.5、政府采购项目实行网上受理，开标前所有信息保密。因此，发布的一切公告信息（包括采购公告、变更公告、澄清公告等）均在“河南省政府采购网”、“唐河县公共资源交易中心网”等媒体发布，请潜在投标供应商随时查询有关公告信息。若因潜在投标供应商没有及时查看到公告信息而造成的投标失误，责任自负。</w:t>
      </w:r>
    </w:p>
    <w:p w14:paraId="3A2B26D0">
      <w:pPr>
        <w:spacing w:line="360" w:lineRule="auto"/>
        <w:ind w:firstLine="476" w:firstLineChars="200"/>
        <w:jc w:val="both"/>
        <w:outlineLvl w:val="9"/>
        <w:rPr>
          <w:rFonts w:ascii="宋体" w:hAnsi="宋体" w:eastAsia="宋体" w:cs="宋体"/>
          <w:sz w:val="24"/>
          <w:szCs w:val="24"/>
        </w:rPr>
      </w:pPr>
      <w:r>
        <w:rPr>
          <w:rFonts w:hint="eastAsia" w:ascii="宋体" w:hAnsi="宋体" w:eastAsia="宋体" w:cs="宋体"/>
          <w:spacing w:val="-1"/>
          <w:sz w:val="24"/>
          <w:szCs w:val="24"/>
        </w:rPr>
        <w:t>三</w:t>
      </w:r>
      <w:r>
        <w:rPr>
          <w:rFonts w:hint="eastAsia" w:ascii="宋体" w:hAnsi="宋体" w:eastAsia="宋体" w:cs="宋体"/>
          <w:sz w:val="24"/>
          <w:szCs w:val="24"/>
        </w:rPr>
        <w:t>、投标文件</w:t>
      </w:r>
    </w:p>
    <w:p w14:paraId="7A7EB864">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3.1</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投标的语言</w:t>
      </w:r>
    </w:p>
    <w:p w14:paraId="6565FAE0">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投标人提交的投标文件以及投标人与招标人就有关投标的所有来往函电均应使用中文书写。</w:t>
      </w:r>
    </w:p>
    <w:p w14:paraId="28CFB526">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3.2</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投标文件构成</w:t>
      </w:r>
    </w:p>
    <w:p w14:paraId="63163E23">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投标人编写的投标文件应包括下列内容(不限于)：</w:t>
      </w:r>
    </w:p>
    <w:p w14:paraId="02F7F795">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1）投标函</w:t>
      </w:r>
    </w:p>
    <w:p w14:paraId="19FF828C">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2）法定代表人身份证明</w:t>
      </w:r>
    </w:p>
    <w:p w14:paraId="696AA537">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3）授权委托书</w:t>
      </w:r>
    </w:p>
    <w:p w14:paraId="1D2D84B2">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4）项目清单报价表</w:t>
      </w:r>
    </w:p>
    <w:p w14:paraId="38E2795B">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5）售后服务计划</w:t>
      </w:r>
    </w:p>
    <w:p w14:paraId="780AB2CB">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6）供货安装方案及培训方案</w:t>
      </w:r>
    </w:p>
    <w:p w14:paraId="50BF93CB">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7）其他资料</w:t>
      </w:r>
    </w:p>
    <w:p w14:paraId="28CFCDDE">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3.3</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投标文件的编制</w:t>
      </w:r>
    </w:p>
    <w:p w14:paraId="08891223">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3.3.1 投标文件应按招标文件提供的“投标文件格式”进行编写，如有必要，可以增加附页，作为投标文件的组成部分。其中，投标文件中的开标一览表在满足招标文件实质性要求的基础上，可以提出比招标文件要求更有利于招标人的承诺。</w:t>
      </w:r>
    </w:p>
    <w:p w14:paraId="7ACA3B3A">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3.3.2 投标文件应当对招标文件有关</w:t>
      </w:r>
      <w:r>
        <w:rPr>
          <w:rFonts w:hint="eastAsia" w:ascii="宋体" w:hAnsi="宋体" w:eastAsia="宋体" w:cs="宋体"/>
          <w:sz w:val="24"/>
          <w:szCs w:val="24"/>
          <w:lang w:val="en-US" w:eastAsia="zh-CN"/>
        </w:rPr>
        <w:t>供货期</w:t>
      </w:r>
      <w:r>
        <w:rPr>
          <w:rFonts w:hint="eastAsia" w:ascii="宋体" w:hAnsi="宋体" w:eastAsia="宋体" w:cs="宋体"/>
          <w:sz w:val="24"/>
          <w:szCs w:val="24"/>
        </w:rPr>
        <w:t>、投标有效期、质量要求、技术标准和要求、招标范围等实质性内容作出响应。</w:t>
      </w:r>
    </w:p>
    <w:p w14:paraId="41E3251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3.3.3 投标文件电子签章的具体要求见投标人须知前附表。</w:t>
      </w:r>
    </w:p>
    <w:p w14:paraId="15E7EF99">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3.3.4 投标文件份数详见投标人须知前附表。</w:t>
      </w:r>
    </w:p>
    <w:p w14:paraId="11A71E69">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3.3.5 不允许递交备选投标方案。</w:t>
      </w:r>
    </w:p>
    <w:p w14:paraId="323E8C65">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3.4</w:t>
      </w:r>
      <w:r>
        <w:rPr>
          <w:rFonts w:hint="eastAsia" w:ascii="宋体" w:hAnsi="宋体" w:eastAsia="宋体" w:cs="宋体"/>
          <w:sz w:val="24"/>
          <w:szCs w:val="24"/>
          <w:lang w:eastAsia="zh-CN"/>
        </w:rPr>
        <w:t>、</w:t>
      </w:r>
      <w:r>
        <w:rPr>
          <w:rFonts w:hint="eastAsia" w:ascii="宋体" w:hAnsi="宋体" w:eastAsia="宋体" w:cs="宋体"/>
          <w:sz w:val="24"/>
          <w:szCs w:val="24"/>
        </w:rPr>
        <w:t>投标报价</w:t>
      </w:r>
    </w:p>
    <w:p w14:paraId="36F96AAB">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3.4.1 投标人根据招标人提供的有关资料、招标文件及招标文件补充答疑，结合本项目实际情况和市场行情自主合理报价,投标人在预算价的基础上确定投标报价，投标报价不得低于企业实际成本。</w:t>
      </w:r>
    </w:p>
    <w:p w14:paraId="24087642">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3.4.2 本次投标报价为采购范围内固定总价方式。投标报价包括全部费用，应计算的项目若无计取，则视为包含在报价内。</w:t>
      </w:r>
    </w:p>
    <w:p w14:paraId="3C4866B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3.4.3 投标报价应包含全部货物及服务正式交付使用所发生的一切费用。</w:t>
      </w:r>
    </w:p>
    <w:p w14:paraId="35AF937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3.4.4 如投标人报价表中的大写金额和小写金额不一致的，以大写金额为准；总金额与单价金额不一致的，以单价金额为准。全部报价均以人民币为计量币种，并以人民币进行结算。</w:t>
      </w:r>
    </w:p>
    <w:p w14:paraId="5140C51E">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3.4.5 投标人应仔细审阅招标文件中的全部内容，如有不明确的，须在答疑时以书面形式提出，由招标人明确；否则视为投标人在投标报价中已完善计入。</w:t>
      </w:r>
    </w:p>
    <w:p w14:paraId="5719F7CB">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3.5</w:t>
      </w:r>
      <w:r>
        <w:rPr>
          <w:rFonts w:hint="eastAsia" w:ascii="宋体" w:hAnsi="宋体" w:eastAsia="宋体" w:cs="宋体"/>
          <w:spacing w:val="-1"/>
          <w:sz w:val="24"/>
          <w:szCs w:val="24"/>
          <w:lang w:eastAsia="zh-CN"/>
        </w:rPr>
        <w:t>、</w:t>
      </w:r>
      <w:r>
        <w:rPr>
          <w:rFonts w:hint="eastAsia" w:ascii="宋体" w:hAnsi="宋体" w:eastAsia="宋体" w:cs="宋体"/>
          <w:sz w:val="24"/>
          <w:szCs w:val="24"/>
        </w:rPr>
        <w:t>投标保证金</w:t>
      </w:r>
    </w:p>
    <w:p w14:paraId="3BC21790">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本项</w:t>
      </w:r>
      <w:r>
        <w:rPr>
          <w:rFonts w:hint="eastAsia" w:ascii="宋体" w:hAnsi="宋体" w:eastAsia="宋体" w:cs="宋体"/>
          <w:sz w:val="24"/>
          <w:szCs w:val="24"/>
        </w:rPr>
        <w:t>目不收取投标保证金。</w:t>
      </w:r>
    </w:p>
    <w:p w14:paraId="12E32484">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3.6</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w:t>
      </w:r>
      <w:r>
        <w:rPr>
          <w:rFonts w:hint="eastAsia" w:ascii="宋体" w:hAnsi="宋体" w:eastAsia="宋体" w:cs="宋体"/>
          <w:sz w:val="24"/>
          <w:szCs w:val="24"/>
        </w:rPr>
        <w:t>有效期</w:t>
      </w:r>
    </w:p>
    <w:p w14:paraId="2F3751F0">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3.6.1 投标有效期为投标截止之日起60天。</w:t>
      </w:r>
    </w:p>
    <w:p w14:paraId="15C7D5C7">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3.6.2 如遇特殊情况，招标方可在投标有效期期满前，要求供应商延长其投标有效期。供应商可以拒绝或同意上述要求，延长有效期的要求与答复均为书面形式。不同意上述要求的供应商将视为自动放弃投标。</w:t>
      </w:r>
    </w:p>
    <w:p w14:paraId="18CFEF00">
      <w:pPr>
        <w:spacing w:line="360" w:lineRule="auto"/>
        <w:ind w:firstLine="456" w:firstLineChars="200"/>
        <w:jc w:val="both"/>
        <w:outlineLvl w:val="9"/>
        <w:rPr>
          <w:rFonts w:ascii="宋体" w:hAnsi="宋体" w:eastAsia="宋体" w:cs="宋体"/>
          <w:sz w:val="24"/>
          <w:szCs w:val="24"/>
        </w:rPr>
      </w:pPr>
      <w:r>
        <w:rPr>
          <w:rFonts w:hint="eastAsia" w:ascii="宋体" w:hAnsi="宋体" w:eastAsia="宋体" w:cs="宋体"/>
          <w:spacing w:val="-6"/>
          <w:sz w:val="24"/>
          <w:szCs w:val="24"/>
        </w:rPr>
        <w:t>四</w:t>
      </w:r>
      <w:r>
        <w:rPr>
          <w:rFonts w:hint="eastAsia" w:ascii="宋体" w:hAnsi="宋体" w:eastAsia="宋体" w:cs="宋体"/>
          <w:spacing w:val="-4"/>
          <w:sz w:val="24"/>
          <w:szCs w:val="24"/>
        </w:rPr>
        <w:t>、投标</w:t>
      </w:r>
    </w:p>
    <w:p w14:paraId="193A3673">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4.1</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投标文件的递交</w:t>
      </w:r>
    </w:p>
    <w:p w14:paraId="3CB0334A">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4.1.1 电子投标文件备份 U 盘的要求:见投标人须知前附表。</w:t>
      </w:r>
    </w:p>
    <w:p w14:paraId="419A5A45">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4.1.2 电子投标文件的递交：见投标人须知前附表。</w:t>
      </w:r>
    </w:p>
    <w:p w14:paraId="3052042E">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电子投</w:t>
      </w:r>
      <w:r>
        <w:rPr>
          <w:rFonts w:hint="eastAsia" w:ascii="宋体" w:hAnsi="宋体" w:eastAsia="宋体" w:cs="宋体"/>
          <w:color w:val="0C0C0C"/>
          <w:sz w:val="24"/>
          <w:szCs w:val="24"/>
        </w:rPr>
        <w:t>标文件的修改与撤回</w:t>
      </w:r>
    </w:p>
    <w:p w14:paraId="2EF7F2C8">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4.2.1 投标人可以在投标截止期之前修改电子</w:t>
      </w:r>
      <w:r>
        <w:rPr>
          <w:rFonts w:hint="eastAsia" w:ascii="宋体" w:hAnsi="宋体" w:eastAsia="宋体" w:cs="宋体"/>
          <w:color w:val="0C0C0C"/>
          <w:sz w:val="24"/>
          <w:szCs w:val="24"/>
        </w:rPr>
        <w:t>投标文件。</w:t>
      </w:r>
    </w:p>
    <w:p w14:paraId="5B457124">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4.2.2 在投标截止期后不能修改及撤回其电子</w:t>
      </w:r>
      <w:r>
        <w:rPr>
          <w:rFonts w:hint="eastAsia" w:ascii="宋体" w:hAnsi="宋体" w:eastAsia="宋体" w:cs="宋体"/>
          <w:color w:val="0C0C0C"/>
          <w:sz w:val="24"/>
          <w:szCs w:val="24"/>
        </w:rPr>
        <w:t>投标文件。</w:t>
      </w:r>
    </w:p>
    <w:p w14:paraId="0D941CE3">
      <w:pPr>
        <w:spacing w:line="360" w:lineRule="auto"/>
        <w:ind w:firstLine="476" w:firstLineChars="200"/>
        <w:jc w:val="both"/>
        <w:outlineLvl w:val="9"/>
        <w:rPr>
          <w:rFonts w:ascii="宋体" w:hAnsi="宋体" w:eastAsia="宋体" w:cs="宋体"/>
          <w:sz w:val="24"/>
          <w:szCs w:val="24"/>
        </w:rPr>
      </w:pPr>
      <w:r>
        <w:rPr>
          <w:rFonts w:hint="eastAsia" w:ascii="宋体" w:hAnsi="宋体" w:eastAsia="宋体" w:cs="宋体"/>
          <w:spacing w:val="-1"/>
          <w:sz w:val="24"/>
          <w:szCs w:val="24"/>
        </w:rPr>
        <w:t>五、开</w:t>
      </w:r>
      <w:r>
        <w:rPr>
          <w:rFonts w:hint="eastAsia" w:ascii="宋体" w:hAnsi="宋体" w:eastAsia="宋体" w:cs="宋体"/>
          <w:sz w:val="24"/>
          <w:szCs w:val="24"/>
        </w:rPr>
        <w:t>标与评标</w:t>
      </w:r>
    </w:p>
    <w:p w14:paraId="399ED2D9">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5.</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开标时间及地点</w:t>
      </w:r>
    </w:p>
    <w:p w14:paraId="1178B1F5">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5.1.1 开标时间：详见投标人须知前附表</w:t>
      </w:r>
    </w:p>
    <w:p w14:paraId="0D049309">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5.1.2 开标地点：详见投标人须知前附表</w:t>
      </w:r>
    </w:p>
    <w:p w14:paraId="1665EC45">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5.1.3 供应商应派法定代表人或授权委托人持本公司 CA 数字证书可在不见面开标大厅中参加开标会议，与会的供应商法定代表人或授权委托人应在不见面开标大厅上签到证明出席。</w:t>
      </w:r>
    </w:p>
    <w:p w14:paraId="53DD09E4">
      <w:pPr>
        <w:spacing w:line="360" w:lineRule="auto"/>
        <w:ind w:firstLine="476" w:firstLineChars="200"/>
        <w:jc w:val="both"/>
        <w:rPr>
          <w:rFonts w:hint="eastAsia" w:ascii="宋体" w:hAnsi="宋体" w:eastAsia="宋体" w:cs="宋体"/>
          <w:color w:val="0C0C0C"/>
          <w:sz w:val="24"/>
          <w:szCs w:val="24"/>
        </w:rPr>
      </w:pPr>
      <w:r>
        <w:rPr>
          <w:rFonts w:hint="eastAsia" w:ascii="宋体" w:hAnsi="宋体" w:eastAsia="宋体" w:cs="宋体"/>
          <w:color w:val="0C0C0C"/>
          <w:spacing w:val="-1"/>
          <w:sz w:val="24"/>
          <w:szCs w:val="24"/>
        </w:rPr>
        <w:t>5.2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开标程序</w:t>
      </w:r>
    </w:p>
    <w:p w14:paraId="101148C4">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5.2.1、投标人代表持本单位 CA 数字证书提前登录不见面开标系统并在线签到。</w:t>
      </w:r>
    </w:p>
    <w:p w14:paraId="73593522">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5.2.2、开标时间到，在线公布投标人、招标人代表、监标人等有关名单。</w:t>
      </w:r>
    </w:p>
    <w:p w14:paraId="79453FF4">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5.2.3、开标顺序：按电子投标文件到达交易系统的先后顺序，分标段进行开标。</w:t>
      </w:r>
    </w:p>
    <w:p w14:paraId="3137C92E">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5.2.4、投标单位在线确认开标结果并提交电子签章，在规定时限内</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lang w:val="en-US" w:eastAsia="zh-CN"/>
        </w:rPr>
        <w:t>30分钟内</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未作确认的视为默认开标结果。采购人代表、监督人、记录人等有关人员在开标记录上签字确认。</w:t>
      </w:r>
    </w:p>
    <w:p w14:paraId="69F2F2AE">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5</w:t>
      </w:r>
      <w:r>
        <w:rPr>
          <w:rFonts w:hint="eastAsia" w:ascii="宋体" w:hAnsi="宋体" w:eastAsia="宋体" w:cs="宋体"/>
          <w:color w:val="0C0C0C"/>
          <w:sz w:val="24"/>
          <w:szCs w:val="24"/>
        </w:rPr>
        <w:t>、代理机构在开标结束后将招标文件和有效电子投标文件导入评标系统。</w:t>
      </w:r>
    </w:p>
    <w:p w14:paraId="0B636D59">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6</w:t>
      </w:r>
      <w:r>
        <w:rPr>
          <w:rFonts w:hint="eastAsia" w:ascii="宋体" w:hAnsi="宋体" w:eastAsia="宋体" w:cs="宋体"/>
          <w:color w:val="0C0C0C"/>
          <w:sz w:val="24"/>
          <w:szCs w:val="24"/>
        </w:rPr>
        <w:t>、评标委员会将审查每一份投标文件是否对招标文件提出的所有实质性要求和条件作出响应。未能在实质上响应的投标，将作为无效标处理。实质上未响应是指：</w:t>
      </w:r>
    </w:p>
    <w:p w14:paraId="6B896EA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未按招标文件规定签章的；</w:t>
      </w:r>
    </w:p>
    <w:p w14:paraId="1282585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未按招标文件规定的格式填写，内容不完整或无法辨认的；</w:t>
      </w:r>
    </w:p>
    <w:p w14:paraId="02173216">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(3) 投标人资格条件不符合国家规定和招标文件要求的；</w:t>
      </w:r>
    </w:p>
    <w:p w14:paraId="397EE19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(4) 违反国家强制性标准的；</w:t>
      </w:r>
    </w:p>
    <w:p w14:paraId="3EBD799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 投标文件附有招标人不能接受的条件的；</w:t>
      </w:r>
    </w:p>
    <w:p w14:paraId="23C37CE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 对同一标段递交内容不同的投标文件(一标多投)，或在一份投标文件中对同一标段报有两个(含两个)以上报价的；</w:t>
      </w:r>
    </w:p>
    <w:p w14:paraId="369EE9D9">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 以他人名义投标、串通投标、弄虚作假的；</w:t>
      </w:r>
    </w:p>
    <w:p w14:paraId="41692ABB">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(8) 投标人名称、组织机构等重要人员与报名时不一致的；</w:t>
      </w:r>
    </w:p>
    <w:p w14:paraId="55810D8E">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(9) 超出招标文件规定及违反国家有关规定的；</w:t>
      </w:r>
    </w:p>
    <w:p w14:paraId="5D19878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(10) 投标报价高出本标段最高投标限价的；</w:t>
      </w:r>
    </w:p>
    <w:p w14:paraId="3789621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(11) 招标文件规定的其它情况。</w:t>
      </w:r>
    </w:p>
    <w:p w14:paraId="583EDED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7</w:t>
      </w:r>
      <w:r>
        <w:rPr>
          <w:rFonts w:hint="eastAsia" w:ascii="宋体" w:hAnsi="宋体" w:eastAsia="宋体" w:cs="宋体"/>
          <w:color w:val="0C0C0C"/>
          <w:sz w:val="24"/>
          <w:szCs w:val="24"/>
        </w:rPr>
        <w:t>、评标和决标过程的保密</w:t>
      </w:r>
    </w:p>
    <w:p w14:paraId="79E1630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开标后至招标人公布中标结果之前，有关投标文件的检查、澄清、评比和定标等信息对与本过程无关的投标人及其他人员保密。投标人不应对招标人或有关人员施加影响和试图获取评标信息，违者导致被取消中标资格。</w:t>
      </w:r>
    </w:p>
    <w:p w14:paraId="7261F1F4">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8</w:t>
      </w:r>
      <w:r>
        <w:rPr>
          <w:rFonts w:hint="eastAsia" w:ascii="宋体" w:hAnsi="宋体" w:eastAsia="宋体" w:cs="宋体"/>
          <w:color w:val="0C0C0C"/>
          <w:sz w:val="24"/>
          <w:szCs w:val="24"/>
        </w:rPr>
        <w:t>、投标文件的澄清</w:t>
      </w:r>
    </w:p>
    <w:p w14:paraId="2CA1CA6C">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为了有助于投标文件的检查和评审，招标人可以单独要求投标人澄清其投标文件。招标的澄清要求和投标人的答复均应采用书面形式。除了规定改正算术错误外，投标人不得修改投标报价和投标文件中的其它实质性内容。</w:t>
      </w:r>
    </w:p>
    <w:p w14:paraId="79C85036">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投标人以书面形式澄清的问题，需由投标人法定代表人或其委托代理人签字确认后作为投标文件的组成部分，提交一式两份。投标人未按评标委员会的澄清要求进行澄清的，评标委员会可以不对其投标文件继续评审。</w:t>
      </w:r>
    </w:p>
    <w:p w14:paraId="704A999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9</w:t>
      </w:r>
      <w:r>
        <w:rPr>
          <w:rFonts w:hint="eastAsia" w:ascii="宋体" w:hAnsi="宋体" w:eastAsia="宋体" w:cs="宋体"/>
          <w:color w:val="0C0C0C"/>
          <w:sz w:val="24"/>
          <w:szCs w:val="24"/>
        </w:rPr>
        <w:t>、投标文件的检查和响应性评定</w:t>
      </w:r>
    </w:p>
    <w:p w14:paraId="3FC0ECE6">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在评审时，招标人将首先审定投标文件是否在实质上影响了招标文件的要求。招标人对投标响应性的鉴定将基于投标文件的本身内容。</w:t>
      </w:r>
    </w:p>
    <w:p w14:paraId="7614666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实质上响应招标文件要求的投标文件应该与招标文件所有条款、条件和规范相符，无重大偏关或保留。所谓重大偏差和保留是指：</w:t>
      </w:r>
    </w:p>
    <w:p w14:paraId="18B42B7C">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①、对投标范围和内容有实质性的偏离；</w:t>
      </w:r>
    </w:p>
    <w:p w14:paraId="6BE5407C">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②、对设备质量或使用性能产生不利影响；</w:t>
      </w:r>
    </w:p>
    <w:p w14:paraId="30FE259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③、对合同中规定的双方的权利和义务作实质性的修改；</w:t>
      </w:r>
    </w:p>
    <w:p w14:paraId="5BE2851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④、纠正这种偏差或保留，将会对其他响应要求的投标人竞争产生不公正的影响。</w:t>
      </w:r>
    </w:p>
    <w:p w14:paraId="1FB8CC7E">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10</w:t>
      </w:r>
      <w:r>
        <w:rPr>
          <w:rFonts w:hint="eastAsia" w:ascii="宋体" w:hAnsi="宋体" w:eastAsia="宋体" w:cs="宋体"/>
          <w:color w:val="0C0C0C"/>
          <w:sz w:val="24"/>
          <w:szCs w:val="24"/>
        </w:rPr>
        <w:t>、如果投标文件实质上没有响应招标文件的要求，招标人将予以拒绝。也不再允许投标人改正或撤回这些不符合要求的偏差与保留。</w:t>
      </w:r>
    </w:p>
    <w:p w14:paraId="1AB10E48">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1</w:t>
      </w:r>
      <w:r>
        <w:rPr>
          <w:rFonts w:hint="eastAsia" w:ascii="宋体" w:hAnsi="宋体" w:eastAsia="宋体" w:cs="宋体"/>
          <w:color w:val="0C0C0C"/>
          <w:sz w:val="24"/>
          <w:szCs w:val="24"/>
        </w:rPr>
        <w:t>、在评标过程中评标委员会发现投标人以他人的名义投标、串通投标、以行贿手段谋取中标或者以其他弄虚作假方式投标的，该投标人的投标文件作无效标处理。</w:t>
      </w:r>
    </w:p>
    <w:p w14:paraId="7809F64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2</w:t>
      </w:r>
      <w:r>
        <w:rPr>
          <w:rFonts w:hint="eastAsia" w:ascii="宋体" w:hAnsi="宋体" w:eastAsia="宋体" w:cs="宋体"/>
          <w:color w:val="0C0C0C"/>
          <w:sz w:val="24"/>
          <w:szCs w:val="24"/>
        </w:rPr>
        <w:t>、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14:paraId="69871AB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3</w:t>
      </w:r>
      <w:r>
        <w:rPr>
          <w:rFonts w:hint="eastAsia" w:ascii="宋体" w:hAnsi="宋体" w:eastAsia="宋体" w:cs="宋体"/>
          <w:color w:val="0C0C0C"/>
          <w:sz w:val="24"/>
          <w:szCs w:val="24"/>
        </w:rPr>
        <w:t xml:space="preserve"> 投标人资格条件不符合国家有关规定和招标文件要求的，或者拒不按照要求对投标文件进行澄清、说明或者补正的，评标委员会将否决其投标。</w:t>
      </w:r>
    </w:p>
    <w:p w14:paraId="6561A135">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5.3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开标异议</w:t>
      </w:r>
    </w:p>
    <w:p w14:paraId="18C61C3B">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投标人对开标有异议的，应当在开标现场提出，招标人当场作出答复，并制作记录。</w:t>
      </w:r>
    </w:p>
    <w:p w14:paraId="682174E3">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评标</w:t>
      </w:r>
    </w:p>
    <w:p w14:paraId="7FF66BFE">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.1</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评标委员会</w:t>
      </w:r>
    </w:p>
    <w:p w14:paraId="217CD38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6.1.1 评标由招标人依法组建的评标委员会负责。评标委员会由招标人代表，以及有关技术、经济等方面的专家组成。评标委员会成员人数以及技术、经济等方面专家的确定方式见投标人须知前附表。</w:t>
      </w:r>
    </w:p>
    <w:p w14:paraId="4B29A29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6.1.2 评标委员会成员有下列情形之一的，应当回避：</w:t>
      </w:r>
    </w:p>
    <w:p w14:paraId="20FF32D9">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投标人或投标人主要负责人的近亲属；</w:t>
      </w:r>
    </w:p>
    <w:p w14:paraId="45CF2BC2">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项目主管部门或者行政监督部门的人员；</w:t>
      </w:r>
    </w:p>
    <w:p w14:paraId="36F09645">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(3) 与投标人有经济利益关系；</w:t>
      </w:r>
    </w:p>
    <w:p w14:paraId="53BD78F5">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(4)曾因在招标、评标以及其他与招标投标有关活动中从事违法行为而受过行政处罚或刑事处罚的；</w:t>
      </w:r>
    </w:p>
    <w:p w14:paraId="12C9D61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 与投标人有其他利害关系。</w:t>
      </w:r>
    </w:p>
    <w:p w14:paraId="45B2F37F">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2评标原则</w:t>
      </w:r>
    </w:p>
    <w:p w14:paraId="4A1007BE">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评标活动遵循公平、公正、科学和择优的原则。</w:t>
      </w:r>
    </w:p>
    <w:p w14:paraId="2B8D1700">
      <w:pPr>
        <w:spacing w:line="360" w:lineRule="auto"/>
        <w:ind w:firstLine="476" w:firstLineChars="200"/>
        <w:jc w:val="both"/>
        <w:rPr>
          <w:rFonts w:hint="eastAsia" w:ascii="宋体" w:hAnsi="宋体" w:eastAsia="宋体" w:cs="宋体"/>
          <w:color w:val="0C0C0C"/>
          <w:sz w:val="24"/>
          <w:szCs w:val="24"/>
        </w:rPr>
      </w:pPr>
      <w:r>
        <w:rPr>
          <w:rFonts w:hint="eastAsia" w:ascii="宋体" w:hAnsi="宋体" w:eastAsia="宋体" w:cs="宋体"/>
          <w:color w:val="0C0C0C"/>
          <w:spacing w:val="-1"/>
          <w:sz w:val="24"/>
          <w:szCs w:val="24"/>
        </w:rPr>
        <w:t>6.3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评标</w:t>
      </w:r>
    </w:p>
    <w:p w14:paraId="43E5E5B5">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评标委员会按照“评标办法”规定的方法、评审因素、标准和程序对投标文件进行评审。“评标办法”没有规定的方法、评审因素和标准，不作为评标依据。</w:t>
      </w:r>
    </w:p>
    <w:p w14:paraId="2F26CB36">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7.合同授予</w:t>
      </w:r>
    </w:p>
    <w:p w14:paraId="1E89F007">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7.1</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定标原则 </w:t>
      </w:r>
    </w:p>
    <w:p w14:paraId="118DB304">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 xml:space="preserve">根据《中华人民共和国政府采购法》的规定，评标委员会应推荐得分最高的为第一中标候选人。若供应商评审得分相同的，推荐报价较低的投标人为第一中标候选人。若投标报价也相等的，按技术得分高者为第一中标候选人。 </w:t>
      </w:r>
    </w:p>
    <w:p w14:paraId="14E593BA">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7.2</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定标 </w:t>
      </w:r>
    </w:p>
    <w:p w14:paraId="39C7F88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7.2.1 通过对各投标文件进行详细评审并完成评分后，向采购人提交书面评标报告。评标报告中按照投标文件最终得分由高到低进行排序，并向采购人推荐3名作为中标候选人。 </w:t>
      </w:r>
    </w:p>
    <w:p w14:paraId="7205018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7.2.2 采购人对评标小组推荐的</w:t>
      </w:r>
      <w:r>
        <w:rPr>
          <w:rFonts w:hint="eastAsia" w:ascii="宋体" w:hAnsi="宋体" w:eastAsia="宋体" w:cs="宋体"/>
          <w:sz w:val="24"/>
          <w:szCs w:val="24"/>
        </w:rPr>
        <w:t>中标</w:t>
      </w:r>
      <w:r>
        <w:rPr>
          <w:rFonts w:hint="eastAsia" w:ascii="宋体" w:hAnsi="宋体" w:eastAsia="宋体" w:cs="宋体"/>
          <w:color w:val="0C0C0C"/>
          <w:sz w:val="24"/>
          <w:szCs w:val="24"/>
        </w:rPr>
        <w:t>候选人进行选择，原则上第一名</w:t>
      </w:r>
      <w:r>
        <w:rPr>
          <w:rFonts w:hint="eastAsia" w:ascii="宋体" w:hAnsi="宋体" w:eastAsia="宋体" w:cs="宋体"/>
          <w:sz w:val="24"/>
          <w:szCs w:val="24"/>
        </w:rPr>
        <w:t>中标</w:t>
      </w:r>
      <w:r>
        <w:rPr>
          <w:rFonts w:hint="eastAsia" w:ascii="宋体" w:hAnsi="宋体" w:eastAsia="宋体" w:cs="宋体"/>
          <w:color w:val="0C0C0C"/>
          <w:sz w:val="24"/>
          <w:szCs w:val="24"/>
        </w:rPr>
        <w:t xml:space="preserve">，如第一名提出不能履行合同或者放弃中标资格，向下顺延确定一名中标人。 </w:t>
      </w:r>
    </w:p>
    <w:p w14:paraId="528E057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7.2.3 当送达的投标文件不足3份或评标结果全为无效标时；及经过评审，若所有的供应商均未能通过符合性审查，招标方可在取得采购监督人同意后宣布本次招标失败，并通知各供应商。采购人根据相关规定重新组织招标。 </w:t>
      </w:r>
    </w:p>
    <w:p w14:paraId="08D174F9">
      <w:pPr>
        <w:spacing w:line="360" w:lineRule="auto"/>
        <w:ind w:firstLine="484"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7.3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 xml:space="preserve">其他 </w:t>
      </w:r>
    </w:p>
    <w:p w14:paraId="08E07BC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7.3.1 除投标报价外的其他项内容的评审首先由评标小组的各成员自主打分，汇总时在自主打分的记分结果中，进行算术平均，以算术平均值作为该项的最终加、减分值。 </w:t>
      </w:r>
    </w:p>
    <w:p w14:paraId="51AC625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7.3.2 计分按四舍五入取至小数点后二位。 </w:t>
      </w:r>
    </w:p>
    <w:p w14:paraId="5531749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7.3.3 在评标过程中，如发现本办法中条款与供应商须知中相关条款不一致，以本办法中的相关条款为准。 </w:t>
      </w:r>
    </w:p>
    <w:p w14:paraId="5F77E682">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7.3.4 供应商必须对所提供资料的真实性负责，被推荐为</w:t>
      </w:r>
      <w:r>
        <w:rPr>
          <w:rFonts w:hint="eastAsia" w:ascii="宋体" w:hAnsi="宋体" w:eastAsia="宋体" w:cs="宋体"/>
          <w:sz w:val="24"/>
          <w:szCs w:val="24"/>
        </w:rPr>
        <w:t>中标</w:t>
      </w:r>
      <w:r>
        <w:rPr>
          <w:rFonts w:hint="eastAsia" w:ascii="宋体" w:hAnsi="宋体" w:eastAsia="宋体" w:cs="宋体"/>
          <w:color w:val="0C0C0C"/>
          <w:sz w:val="24"/>
          <w:szCs w:val="24"/>
        </w:rPr>
        <w:t xml:space="preserve">候选人后，经采购人证实为提供虚假证明材料骗取中标的，除取消其中标资格外，还应赔偿采购人及代理机构的相关损失。 </w:t>
      </w:r>
    </w:p>
    <w:p w14:paraId="2BA9194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7.3.5 无论供应商</w:t>
      </w:r>
      <w:r>
        <w:rPr>
          <w:rFonts w:hint="eastAsia" w:ascii="宋体" w:hAnsi="宋体" w:eastAsia="宋体" w:cs="宋体"/>
          <w:sz w:val="24"/>
          <w:szCs w:val="24"/>
        </w:rPr>
        <w:t>中标</w:t>
      </w:r>
      <w:r>
        <w:rPr>
          <w:rFonts w:hint="eastAsia" w:ascii="宋体" w:hAnsi="宋体" w:eastAsia="宋体" w:cs="宋体"/>
          <w:color w:val="0C0C0C"/>
          <w:sz w:val="24"/>
          <w:szCs w:val="24"/>
        </w:rPr>
        <w:t xml:space="preserve">与否，评标委员会、采购人、采购代理机构和有关监督部门就评标过程中涉及的有关内容和细节均不予以解释、澄清和透露，否则当事人应承担相应的后果。 </w:t>
      </w:r>
    </w:p>
    <w:p w14:paraId="56BF63B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7.3.6 本办法仅适用于</w:t>
      </w:r>
      <w:r>
        <w:rPr>
          <w:rFonts w:hint="eastAsia" w:ascii="宋体" w:hAnsi="宋体" w:eastAsia="宋体" w:cs="宋体"/>
          <w:color w:val="0C0C0C"/>
          <w:sz w:val="24"/>
          <w:szCs w:val="24"/>
          <w:lang w:eastAsia="zh-CN"/>
        </w:rPr>
        <w:t>唐河县教育装备与技术保障中心2025年唐河县思源学校、桐寨铺中心小学等学校教学设备采购(二)项目</w:t>
      </w:r>
      <w:r>
        <w:rPr>
          <w:rFonts w:hint="eastAsia" w:ascii="宋体" w:hAnsi="宋体" w:eastAsia="宋体" w:cs="宋体"/>
          <w:color w:val="0C0C0C"/>
          <w:sz w:val="24"/>
          <w:szCs w:val="24"/>
        </w:rPr>
        <w:t xml:space="preserve">的招标工作。 </w:t>
      </w:r>
    </w:p>
    <w:p w14:paraId="2EBE997D">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7.3.7 本招标文件未尽事宜按现行招标投标的有关法律法规和规定执行。如投标单位在本次投标活动中有违反相关法律法规的将根据相关法律法规和规定对其进行处罚。 </w:t>
      </w:r>
    </w:p>
    <w:p w14:paraId="06A049F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7.3.8 本招标文件时根据国家有关规定和参照国际惯例编制，解释权属采购人。 </w:t>
      </w:r>
    </w:p>
    <w:p w14:paraId="40E602C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7.4</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中标通知 </w:t>
      </w:r>
    </w:p>
    <w:p w14:paraId="7DE8192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7.4.1 中标供应商确定后，由招标方向其签发《中标通知书》。 </w:t>
      </w:r>
    </w:p>
    <w:p w14:paraId="5D02692F">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 xml:space="preserve">7.4.2 《中标通知书》将作为签订合同的重要依据，对采购人与中标供应商具有法律效力。 </w:t>
      </w:r>
    </w:p>
    <w:p w14:paraId="68C43C09">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rPr>
        <w:t>7.5</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lang w:val="en-US" w:eastAsia="zh-CN"/>
        </w:rPr>
        <w:t>合同签订</w:t>
      </w:r>
    </w:p>
    <w:p w14:paraId="65DC905E">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7.5.1中标(成交)通知书发出之日起1个工作日内供应商应与采购人签订政府采购合同。</w:t>
      </w:r>
    </w:p>
    <w:p w14:paraId="11A41919">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7.5.2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容。</w:t>
      </w:r>
    </w:p>
    <w:p w14:paraId="03229B97">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7.6合同备案</w:t>
      </w:r>
    </w:p>
    <w:p w14:paraId="3C84ABBB">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7.6.1政府采购合同签订之日起1个工作日内，供应商应当配合采购人办理合同备案并公示，登录河南省电子化政府采购系统“合同管理”模块，填写合同基本信息，并上传政府采购合同、中标(成交)通知书。</w:t>
      </w:r>
    </w:p>
    <w:p w14:paraId="34403A86">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lang w:val="en-US" w:eastAsia="zh-CN"/>
        </w:rPr>
        <w:t>7.6.2政府采购合同公告备案是法定要求，供应商应当配合采购人及时履行备案手续。</w:t>
      </w:r>
    </w:p>
    <w:p w14:paraId="76D41E0C">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rPr>
        <w:t>7.</w:t>
      </w:r>
      <w:r>
        <w:rPr>
          <w:rFonts w:hint="eastAsia" w:ascii="宋体" w:hAnsi="宋体" w:eastAsia="宋体" w:cs="宋体"/>
          <w:color w:val="0C0C0C"/>
          <w:sz w:val="24"/>
          <w:szCs w:val="24"/>
          <w:lang w:val="en-US" w:eastAsia="zh-CN"/>
        </w:rPr>
        <w:t>7</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履约保证金：</w:t>
      </w:r>
      <w:r>
        <w:rPr>
          <w:rFonts w:hint="eastAsia" w:ascii="宋体" w:hAnsi="宋体" w:eastAsia="宋体" w:cs="宋体"/>
          <w:color w:val="0C0C0C"/>
          <w:sz w:val="24"/>
          <w:szCs w:val="24"/>
          <w:lang w:val="en-US" w:eastAsia="zh-CN"/>
        </w:rPr>
        <w:t>无</w:t>
      </w:r>
    </w:p>
    <w:p w14:paraId="56267CA4">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8.纪律和监督</w:t>
      </w:r>
    </w:p>
    <w:p w14:paraId="2E7A9ECF">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8.1</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对招标人的纪律要求</w:t>
      </w:r>
    </w:p>
    <w:p w14:paraId="2F6FFBC2">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招标人不得泄漏招标投标活动中应当保密的情况和资料，不得与投标人串通损害国家利益、社会公共利益或者他人合法权益。</w:t>
      </w:r>
    </w:p>
    <w:p w14:paraId="3CC4C829">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8.2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对投标人的纪律要求</w:t>
      </w:r>
    </w:p>
    <w:p w14:paraId="2391EF9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C57DCD">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8.3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对评标</w:t>
      </w:r>
      <w:r>
        <w:rPr>
          <w:rFonts w:hint="eastAsia" w:ascii="宋体" w:hAnsi="宋体" w:eastAsia="宋体" w:cs="宋体"/>
          <w:color w:val="0C0C0C"/>
          <w:sz w:val="24"/>
          <w:szCs w:val="24"/>
        </w:rPr>
        <w:t>委员会成员的纪律要求</w:t>
      </w:r>
    </w:p>
    <w:p w14:paraId="697DD72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14:paraId="1A462CFC">
      <w:pPr>
        <w:spacing w:line="360" w:lineRule="auto"/>
        <w:ind w:firstLine="484" w:firstLineChars="200"/>
        <w:jc w:val="both"/>
        <w:rPr>
          <w:rFonts w:ascii="宋体" w:hAnsi="宋体" w:eastAsia="宋体" w:cs="宋体"/>
          <w:color w:val="0C0C0C"/>
          <w:sz w:val="24"/>
          <w:szCs w:val="24"/>
        </w:rPr>
      </w:pPr>
      <w:r>
        <w:rPr>
          <w:rFonts w:hint="eastAsia" w:ascii="宋体" w:hAnsi="宋体" w:eastAsia="宋体" w:cs="宋体"/>
          <w:color w:val="0C0C0C"/>
          <w:spacing w:val="1"/>
          <w:sz w:val="24"/>
          <w:szCs w:val="24"/>
        </w:rPr>
        <w:t>8.</w:t>
      </w:r>
      <w:r>
        <w:rPr>
          <w:rFonts w:hint="eastAsia" w:ascii="宋体" w:hAnsi="宋体" w:eastAsia="宋体" w:cs="宋体"/>
          <w:color w:val="0C0C0C"/>
          <w:sz w:val="24"/>
          <w:szCs w:val="24"/>
        </w:rPr>
        <w:t>4</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对与评标活动有关的工作人员的纪律要求</w:t>
      </w:r>
    </w:p>
    <w:p w14:paraId="454C83E4">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8E21594">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8.5</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投诉</w:t>
      </w:r>
    </w:p>
    <w:p w14:paraId="302E3BE7">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投标人和其他利害关系人认为本次招标活动违反法律、法规和规章规定的，有权向有关行政监督部门投诉。</w:t>
      </w:r>
    </w:p>
    <w:p w14:paraId="7FB00529">
      <w:pPr>
        <w:spacing w:line="360" w:lineRule="auto"/>
        <w:ind w:firstLine="468" w:firstLineChars="200"/>
        <w:jc w:val="both"/>
        <w:rPr>
          <w:rFonts w:ascii="宋体" w:hAnsi="宋体" w:eastAsia="宋体" w:cs="宋体"/>
          <w:sz w:val="24"/>
          <w:szCs w:val="24"/>
        </w:rPr>
      </w:pPr>
      <w:r>
        <w:rPr>
          <w:rFonts w:hint="eastAsia" w:ascii="宋体" w:hAnsi="宋体" w:eastAsia="宋体" w:cs="宋体"/>
          <w:color w:val="0C0C0C"/>
          <w:spacing w:val="-3"/>
          <w:sz w:val="24"/>
          <w:szCs w:val="24"/>
        </w:rPr>
        <w:t>9.需要补充的其他内容：</w:t>
      </w:r>
    </w:p>
    <w:p w14:paraId="09CCDEC5">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见投标人须知前附</w:t>
      </w:r>
      <w:r>
        <w:rPr>
          <w:rFonts w:hint="eastAsia" w:ascii="宋体" w:hAnsi="宋体" w:eastAsia="宋体" w:cs="宋体"/>
          <w:color w:val="0C0C0C"/>
          <w:sz w:val="24"/>
          <w:szCs w:val="24"/>
        </w:rPr>
        <w:t>表。</w:t>
      </w:r>
    </w:p>
    <w:p w14:paraId="7E4C350D">
      <w:pPr>
        <w:spacing w:line="360" w:lineRule="auto"/>
        <w:ind w:firstLine="464" w:firstLineChars="200"/>
        <w:jc w:val="both"/>
        <w:rPr>
          <w:rFonts w:ascii="宋体" w:hAnsi="宋体" w:eastAsia="宋体" w:cs="宋体"/>
          <w:sz w:val="24"/>
          <w:szCs w:val="24"/>
        </w:rPr>
      </w:pPr>
      <w:r>
        <w:rPr>
          <w:rFonts w:hint="eastAsia" w:ascii="宋体" w:hAnsi="宋体" w:eastAsia="宋体" w:cs="宋体"/>
          <w:color w:val="0C0C0C"/>
          <w:spacing w:val="-4"/>
          <w:sz w:val="24"/>
          <w:szCs w:val="24"/>
        </w:rPr>
        <w:t>10</w:t>
      </w:r>
      <w:r>
        <w:rPr>
          <w:rFonts w:hint="eastAsia" w:ascii="宋体" w:hAnsi="宋体" w:eastAsia="宋体" w:cs="宋体"/>
          <w:color w:val="0C0C0C"/>
          <w:spacing w:val="-3"/>
          <w:sz w:val="24"/>
          <w:szCs w:val="24"/>
        </w:rPr>
        <w:t>．</w:t>
      </w:r>
      <w:r>
        <w:rPr>
          <w:rFonts w:hint="eastAsia" w:ascii="宋体" w:hAnsi="宋体" w:eastAsia="宋体" w:cs="宋体"/>
          <w:color w:val="0C0C0C"/>
          <w:spacing w:val="-2"/>
          <w:sz w:val="24"/>
          <w:szCs w:val="24"/>
        </w:rPr>
        <w:t>电子招标投标</w:t>
      </w:r>
    </w:p>
    <w:p w14:paraId="580E84EB">
      <w:pPr>
        <w:spacing w:line="360" w:lineRule="auto"/>
        <w:ind w:firstLine="488" w:firstLineChars="200"/>
        <w:jc w:val="both"/>
        <w:rPr>
          <w:rFonts w:ascii="宋体" w:hAnsi="宋体" w:eastAsia="宋体" w:cs="宋体"/>
          <w:color w:val="0C0C0C"/>
          <w:spacing w:val="-9"/>
          <w:sz w:val="24"/>
          <w:szCs w:val="24"/>
        </w:rPr>
      </w:pPr>
      <w:r>
        <w:rPr>
          <w:rFonts w:hint="eastAsia" w:ascii="宋体" w:hAnsi="宋体" w:eastAsia="宋体" w:cs="宋体"/>
          <w:color w:val="0C0C0C"/>
          <w:spacing w:val="2"/>
          <w:sz w:val="24"/>
          <w:szCs w:val="24"/>
        </w:rPr>
        <w:t>采用电子招标投标，对投标文件的编制、密封和标记、递交、开标等的具体要求，见投标</w:t>
      </w:r>
      <w:r>
        <w:rPr>
          <w:rFonts w:hint="eastAsia" w:ascii="宋体" w:hAnsi="宋体" w:eastAsia="宋体" w:cs="宋体"/>
          <w:color w:val="0C0C0C"/>
          <w:spacing w:val="1"/>
          <w:sz w:val="24"/>
          <w:szCs w:val="24"/>
        </w:rPr>
        <w:t>人</w:t>
      </w:r>
      <w:r>
        <w:rPr>
          <w:rFonts w:hint="eastAsia" w:ascii="宋体" w:hAnsi="宋体" w:eastAsia="宋体" w:cs="宋体"/>
          <w:color w:val="0C0C0C"/>
          <w:sz w:val="24"/>
          <w:szCs w:val="24"/>
        </w:rPr>
        <w:t>须知前附</w:t>
      </w:r>
      <w:r>
        <w:rPr>
          <w:rFonts w:hint="eastAsia" w:ascii="宋体" w:hAnsi="宋体" w:eastAsia="宋体" w:cs="宋体"/>
          <w:color w:val="0C0C0C"/>
          <w:spacing w:val="-10"/>
          <w:sz w:val="24"/>
          <w:szCs w:val="24"/>
        </w:rPr>
        <w:t>表</w:t>
      </w:r>
      <w:r>
        <w:rPr>
          <w:rFonts w:hint="eastAsia" w:ascii="宋体" w:hAnsi="宋体" w:eastAsia="宋体" w:cs="宋体"/>
          <w:color w:val="0C0C0C"/>
          <w:spacing w:val="-9"/>
          <w:sz w:val="24"/>
          <w:szCs w:val="24"/>
        </w:rPr>
        <w:t>。</w:t>
      </w:r>
    </w:p>
    <w:p w14:paraId="5CEEF5B8">
      <w:pPr>
        <w:keepNext w:val="0"/>
        <w:keepLines w:val="0"/>
        <w:pageBreakBefore w:val="0"/>
        <w:wordWrap/>
        <w:overflowPunct/>
        <w:topLinePunct w:val="0"/>
        <w:autoSpaceDE w:val="0"/>
        <w:autoSpaceDN w:val="0"/>
        <w:bidi w:val="0"/>
        <w:spacing w:before="101" w:line="360" w:lineRule="auto"/>
        <w:jc w:val="center"/>
        <w:outlineLvl w:val="0"/>
        <w:rPr>
          <w:rFonts w:ascii="宋体" w:hAnsi="宋体" w:eastAsia="宋体" w:cs="宋体"/>
          <w:b/>
          <w:bCs/>
          <w:spacing w:val="15"/>
          <w:sz w:val="31"/>
          <w:szCs w:val="31"/>
        </w:rPr>
      </w:pPr>
      <w:bookmarkStart w:id="4" w:name="_Toc5561"/>
      <w:r>
        <w:rPr>
          <w:rFonts w:hint="eastAsia" w:ascii="宋体" w:hAnsi="宋体" w:eastAsia="宋体" w:cs="宋体"/>
          <w:b/>
          <w:bCs/>
          <w:spacing w:val="15"/>
          <w:sz w:val="31"/>
          <w:szCs w:val="31"/>
          <w:lang w:val="en-US" w:eastAsia="zh-CN"/>
        </w:rPr>
        <w:t xml:space="preserve">第五部分 </w:t>
      </w:r>
      <w:r>
        <w:rPr>
          <w:rFonts w:hint="eastAsia" w:ascii="宋体" w:hAnsi="宋体" w:eastAsia="宋体" w:cs="宋体"/>
          <w:b/>
          <w:bCs/>
          <w:spacing w:val="15"/>
          <w:sz w:val="31"/>
          <w:szCs w:val="31"/>
        </w:rPr>
        <w:t>评标办法(综合评分法)</w:t>
      </w:r>
      <w:bookmarkEnd w:id="4"/>
    </w:p>
    <w:p w14:paraId="47705670">
      <w:pPr>
        <w:spacing w:line="360" w:lineRule="auto"/>
        <w:ind w:firstLine="466" w:firstLineChars="200"/>
        <w:jc w:val="both"/>
        <w:rPr>
          <w:rFonts w:hint="eastAsia" w:ascii="宋体" w:hAnsi="宋体" w:eastAsia="宋体" w:cs="宋体"/>
          <w:b/>
          <w:bCs/>
          <w:color w:val="0C0C0C"/>
          <w:spacing w:val="-4"/>
          <w:sz w:val="24"/>
          <w:szCs w:val="24"/>
        </w:rPr>
      </w:pPr>
      <w:r>
        <w:rPr>
          <w:rFonts w:hint="eastAsia" w:ascii="宋体" w:hAnsi="宋体" w:eastAsia="宋体" w:cs="宋体"/>
          <w:b/>
          <w:bCs/>
          <w:color w:val="0C0C0C"/>
          <w:spacing w:val="-4"/>
          <w:sz w:val="24"/>
          <w:szCs w:val="24"/>
        </w:rPr>
        <w:t>评标办法前附表</w:t>
      </w:r>
    </w:p>
    <w:tbl>
      <w:tblPr>
        <w:tblStyle w:val="27"/>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426"/>
        <w:gridCol w:w="890"/>
        <w:gridCol w:w="888"/>
        <w:gridCol w:w="418"/>
        <w:gridCol w:w="6052"/>
      </w:tblGrid>
      <w:tr w14:paraId="72A4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gridSpan w:val="2"/>
            <w:vAlign w:val="center"/>
          </w:tcPr>
          <w:p w14:paraId="57B7BBEC">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条款号</w:t>
            </w:r>
          </w:p>
        </w:tc>
        <w:tc>
          <w:tcPr>
            <w:tcW w:w="1778" w:type="dxa"/>
            <w:gridSpan w:val="2"/>
            <w:vAlign w:val="center"/>
          </w:tcPr>
          <w:p w14:paraId="7B1615F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评审因素</w:t>
            </w:r>
          </w:p>
        </w:tc>
        <w:tc>
          <w:tcPr>
            <w:tcW w:w="6470" w:type="dxa"/>
            <w:gridSpan w:val="2"/>
            <w:vAlign w:val="center"/>
          </w:tcPr>
          <w:p w14:paraId="642B76BF">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评审标准</w:t>
            </w:r>
          </w:p>
        </w:tc>
      </w:tr>
      <w:tr w14:paraId="207F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5" w:type="dxa"/>
            <w:gridSpan w:val="6"/>
          </w:tcPr>
          <w:p w14:paraId="569D149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b/>
                <w:bCs/>
              </w:rPr>
              <w:t>2.1 初步评审标准:</w:t>
            </w:r>
          </w:p>
        </w:tc>
      </w:tr>
      <w:tr w14:paraId="17AC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restart"/>
            <w:vAlign w:val="center"/>
          </w:tcPr>
          <w:p w14:paraId="3771144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2.1.1</w:t>
            </w:r>
          </w:p>
        </w:tc>
        <w:tc>
          <w:tcPr>
            <w:tcW w:w="426" w:type="dxa"/>
            <w:vMerge w:val="restart"/>
            <w:vAlign w:val="center"/>
          </w:tcPr>
          <w:p w14:paraId="641064C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形式评审标准</w:t>
            </w:r>
          </w:p>
        </w:tc>
        <w:tc>
          <w:tcPr>
            <w:tcW w:w="1778" w:type="dxa"/>
            <w:gridSpan w:val="2"/>
            <w:vAlign w:val="center"/>
          </w:tcPr>
          <w:p w14:paraId="072C83F7">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供应商名称</w:t>
            </w:r>
          </w:p>
        </w:tc>
        <w:tc>
          <w:tcPr>
            <w:tcW w:w="6470" w:type="dxa"/>
            <w:gridSpan w:val="2"/>
          </w:tcPr>
          <w:p w14:paraId="59C30BD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与企业法人营业执照一致</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 xml:space="preserve">企业诚信库“基本信息”中上传的原件扫描件为准） </w:t>
            </w:r>
          </w:p>
        </w:tc>
      </w:tr>
      <w:tr w14:paraId="7F3D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continue"/>
            <w:vAlign w:val="center"/>
          </w:tcPr>
          <w:p w14:paraId="40FEE0F2">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2B88C1EC">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p>
        </w:tc>
        <w:tc>
          <w:tcPr>
            <w:tcW w:w="1778" w:type="dxa"/>
            <w:gridSpan w:val="2"/>
            <w:vAlign w:val="center"/>
          </w:tcPr>
          <w:p w14:paraId="50D86008">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投标文件签字盖章</w:t>
            </w:r>
          </w:p>
        </w:tc>
        <w:tc>
          <w:tcPr>
            <w:tcW w:w="6470" w:type="dxa"/>
            <w:gridSpan w:val="2"/>
          </w:tcPr>
          <w:p w14:paraId="3D76261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按照</w:t>
            </w:r>
            <w:r>
              <w:rPr>
                <w:rFonts w:hint="eastAsia" w:cs="宋体"/>
              </w:rPr>
              <w:t>招标</w:t>
            </w:r>
            <w:r>
              <w:rPr>
                <w:rFonts w:hint="eastAsia" w:ascii="宋体" w:hAnsi="宋体" w:eastAsia="宋体" w:cs="宋体"/>
              </w:rPr>
              <w:t>文件要求签字盖章</w:t>
            </w:r>
          </w:p>
        </w:tc>
      </w:tr>
      <w:tr w14:paraId="391A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continue"/>
            <w:vAlign w:val="center"/>
          </w:tcPr>
          <w:p w14:paraId="614E2070">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19C9503A">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p>
        </w:tc>
        <w:tc>
          <w:tcPr>
            <w:tcW w:w="1778" w:type="dxa"/>
            <w:gridSpan w:val="2"/>
            <w:vAlign w:val="center"/>
          </w:tcPr>
          <w:p w14:paraId="47147E0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报价唯一</w:t>
            </w:r>
          </w:p>
        </w:tc>
        <w:tc>
          <w:tcPr>
            <w:tcW w:w="6470" w:type="dxa"/>
            <w:gridSpan w:val="2"/>
          </w:tcPr>
          <w:p w14:paraId="1B7032D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 xml:space="preserve">只有一个有效报价且不超过最高限价 </w:t>
            </w:r>
          </w:p>
        </w:tc>
      </w:tr>
      <w:tr w14:paraId="63F8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continue"/>
            <w:vAlign w:val="center"/>
          </w:tcPr>
          <w:p w14:paraId="2AD426B4">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2E859CAA">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p>
        </w:tc>
        <w:tc>
          <w:tcPr>
            <w:tcW w:w="1778" w:type="dxa"/>
            <w:gridSpan w:val="2"/>
            <w:vAlign w:val="center"/>
          </w:tcPr>
          <w:p w14:paraId="31E0F738">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投标文件格式</w:t>
            </w:r>
          </w:p>
        </w:tc>
        <w:tc>
          <w:tcPr>
            <w:tcW w:w="6470" w:type="dxa"/>
            <w:gridSpan w:val="2"/>
          </w:tcPr>
          <w:p w14:paraId="21A6C6C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 xml:space="preserve">符合“投标文件格式”的要求 </w:t>
            </w:r>
          </w:p>
        </w:tc>
      </w:tr>
      <w:tr w14:paraId="26DE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1" w:type="dxa"/>
            <w:vMerge w:val="restart"/>
            <w:vAlign w:val="center"/>
          </w:tcPr>
          <w:p w14:paraId="3E7BC887">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2.1.2</w:t>
            </w:r>
          </w:p>
        </w:tc>
        <w:tc>
          <w:tcPr>
            <w:tcW w:w="426" w:type="dxa"/>
            <w:vMerge w:val="restart"/>
            <w:vAlign w:val="center"/>
          </w:tcPr>
          <w:p w14:paraId="3B22CBD2">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资格评审标准</w:t>
            </w:r>
          </w:p>
        </w:tc>
        <w:tc>
          <w:tcPr>
            <w:tcW w:w="1778" w:type="dxa"/>
            <w:gridSpan w:val="2"/>
            <w:vAlign w:val="center"/>
          </w:tcPr>
          <w:p w14:paraId="7E48BD6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营业执照</w:t>
            </w:r>
          </w:p>
        </w:tc>
        <w:tc>
          <w:tcPr>
            <w:tcW w:w="6470" w:type="dxa"/>
            <w:gridSpan w:val="2"/>
            <w:vAlign w:val="top"/>
          </w:tcPr>
          <w:p w14:paraId="3C48DC3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具备有效的营业执照</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企业企业诚信库“投标所需的其他材料”中上传的原件扫描件为准）</w:t>
            </w:r>
          </w:p>
        </w:tc>
      </w:tr>
      <w:tr w14:paraId="0358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1" w:type="dxa"/>
            <w:vMerge w:val="continue"/>
            <w:vAlign w:val="center"/>
          </w:tcPr>
          <w:p w14:paraId="704037D8">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370BFCFB">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p>
        </w:tc>
        <w:tc>
          <w:tcPr>
            <w:tcW w:w="1778" w:type="dxa"/>
            <w:gridSpan w:val="2"/>
            <w:vAlign w:val="center"/>
          </w:tcPr>
          <w:p w14:paraId="5DF9214C">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信用查询</w:t>
            </w:r>
          </w:p>
        </w:tc>
        <w:tc>
          <w:tcPr>
            <w:tcW w:w="6470" w:type="dxa"/>
            <w:gridSpan w:val="2"/>
            <w:vAlign w:val="top"/>
          </w:tcPr>
          <w:p w14:paraId="461A8D1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未被列入失信被执行人、重大税收违法案件当事人名单、政府采购严重违法失信行为记录名单</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企业企业诚信库“投标所需的其他材料”中上传的原件扫描件为准）</w:t>
            </w:r>
          </w:p>
        </w:tc>
      </w:tr>
      <w:tr w14:paraId="6AB3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1" w:type="dxa"/>
            <w:vMerge w:val="continue"/>
            <w:vAlign w:val="center"/>
          </w:tcPr>
          <w:p w14:paraId="61052857">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39782581">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p>
        </w:tc>
        <w:tc>
          <w:tcPr>
            <w:tcW w:w="1778" w:type="dxa"/>
            <w:gridSpan w:val="2"/>
            <w:vAlign w:val="center"/>
          </w:tcPr>
          <w:p w14:paraId="20C5FE2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其他要求</w:t>
            </w:r>
          </w:p>
        </w:tc>
        <w:tc>
          <w:tcPr>
            <w:tcW w:w="6470" w:type="dxa"/>
            <w:gridSpan w:val="2"/>
            <w:vAlign w:val="top"/>
          </w:tcPr>
          <w:p w14:paraId="42FD666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详见</w:t>
            </w:r>
            <w:r>
              <w:rPr>
                <w:rFonts w:hint="eastAsia" w:cs="宋体"/>
              </w:rPr>
              <w:t>招标</w:t>
            </w:r>
            <w:r>
              <w:rPr>
                <w:rFonts w:hint="eastAsia" w:ascii="宋体" w:hAnsi="宋体" w:eastAsia="宋体" w:cs="宋体"/>
              </w:rPr>
              <w:t>公告中“二、</w:t>
            </w:r>
            <w:r>
              <w:rPr>
                <w:rFonts w:hint="eastAsia" w:ascii="宋体" w:hAnsi="宋体" w:eastAsia="宋体" w:cs="宋体"/>
                <w:b/>
                <w:bCs/>
              </w:rPr>
              <w:t>申请人资格要求</w:t>
            </w:r>
            <w:r>
              <w:rPr>
                <w:rFonts w:hint="eastAsia" w:ascii="宋体" w:hAnsi="宋体" w:eastAsia="宋体" w:cs="宋体"/>
              </w:rPr>
              <w:t>”</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企业企业诚信库“投标所需的其他材料”中上传的原件扫描件为准）</w:t>
            </w:r>
          </w:p>
        </w:tc>
      </w:tr>
      <w:tr w14:paraId="7720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restart"/>
            <w:vAlign w:val="center"/>
          </w:tcPr>
          <w:p w14:paraId="69753E81">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r>
              <w:rPr>
                <w:rFonts w:hint="eastAsia"/>
              </w:rPr>
              <w:t>2.1.3</w:t>
            </w:r>
          </w:p>
        </w:tc>
        <w:tc>
          <w:tcPr>
            <w:tcW w:w="426" w:type="dxa"/>
            <w:vMerge w:val="restart"/>
            <w:vAlign w:val="center"/>
          </w:tcPr>
          <w:p w14:paraId="7B5AE38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响应性评审标准</w:t>
            </w:r>
          </w:p>
        </w:tc>
        <w:tc>
          <w:tcPr>
            <w:tcW w:w="1778" w:type="dxa"/>
            <w:gridSpan w:val="2"/>
            <w:vAlign w:val="center"/>
          </w:tcPr>
          <w:p w14:paraId="3542484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投标内容</w:t>
            </w:r>
          </w:p>
        </w:tc>
        <w:tc>
          <w:tcPr>
            <w:tcW w:w="6470" w:type="dxa"/>
            <w:gridSpan w:val="2"/>
            <w:vAlign w:val="top"/>
          </w:tcPr>
          <w:p w14:paraId="2F6C4C7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的</w:t>
            </w:r>
            <w:r>
              <w:rPr>
                <w:rFonts w:hint="eastAsia" w:ascii="宋体" w:hAnsi="宋体" w:eastAsia="宋体" w:cs="宋体"/>
                <w:lang w:val="en-US" w:eastAsia="zh-CN"/>
              </w:rPr>
              <w:t>规定</w:t>
            </w:r>
          </w:p>
        </w:tc>
      </w:tr>
      <w:tr w14:paraId="3CBB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14:paraId="5C80A94A">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1606EF14">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778" w:type="dxa"/>
            <w:gridSpan w:val="2"/>
            <w:vAlign w:val="center"/>
          </w:tcPr>
          <w:p w14:paraId="2B2435C2">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供货期</w:t>
            </w:r>
          </w:p>
        </w:tc>
        <w:tc>
          <w:tcPr>
            <w:tcW w:w="6470" w:type="dxa"/>
            <w:gridSpan w:val="2"/>
            <w:vAlign w:val="top"/>
          </w:tcPr>
          <w:p w14:paraId="42CA40A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的</w:t>
            </w:r>
            <w:r>
              <w:rPr>
                <w:rFonts w:hint="eastAsia" w:ascii="宋体" w:hAnsi="宋体" w:eastAsia="宋体" w:cs="宋体"/>
                <w:lang w:val="en-US" w:eastAsia="zh-CN"/>
              </w:rPr>
              <w:t>规定</w:t>
            </w:r>
          </w:p>
        </w:tc>
      </w:tr>
      <w:tr w14:paraId="51B9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14:paraId="662B8BD4">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6CE4A7F0">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778" w:type="dxa"/>
            <w:gridSpan w:val="2"/>
            <w:vAlign w:val="center"/>
          </w:tcPr>
          <w:p w14:paraId="1AF4FCF4">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质量要求</w:t>
            </w:r>
          </w:p>
        </w:tc>
        <w:tc>
          <w:tcPr>
            <w:tcW w:w="6470" w:type="dxa"/>
            <w:gridSpan w:val="2"/>
            <w:vAlign w:val="top"/>
          </w:tcPr>
          <w:p w14:paraId="5885E82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的</w:t>
            </w:r>
            <w:r>
              <w:rPr>
                <w:rFonts w:hint="eastAsia" w:ascii="宋体" w:hAnsi="宋体" w:eastAsia="宋体" w:cs="宋体"/>
                <w:lang w:val="en-US" w:eastAsia="zh-CN"/>
              </w:rPr>
              <w:t>规定</w:t>
            </w:r>
          </w:p>
        </w:tc>
      </w:tr>
      <w:tr w14:paraId="2948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14:paraId="5787497E">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34C95170">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778" w:type="dxa"/>
            <w:gridSpan w:val="2"/>
            <w:vAlign w:val="center"/>
          </w:tcPr>
          <w:p w14:paraId="75C8B9E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投标有效期</w:t>
            </w:r>
          </w:p>
        </w:tc>
        <w:tc>
          <w:tcPr>
            <w:tcW w:w="6470" w:type="dxa"/>
            <w:gridSpan w:val="2"/>
            <w:vAlign w:val="top"/>
          </w:tcPr>
          <w:p w14:paraId="0F42AC5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的</w:t>
            </w:r>
            <w:r>
              <w:rPr>
                <w:rFonts w:hint="eastAsia" w:ascii="宋体" w:hAnsi="宋体" w:eastAsia="宋体" w:cs="宋体"/>
                <w:lang w:val="en-US" w:eastAsia="zh-CN"/>
              </w:rPr>
              <w:t>规定</w:t>
            </w:r>
          </w:p>
        </w:tc>
      </w:tr>
      <w:tr w14:paraId="168B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41" w:type="dxa"/>
            <w:vMerge w:val="continue"/>
            <w:vAlign w:val="center"/>
          </w:tcPr>
          <w:p w14:paraId="6FA48A1E">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155E6BC8">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778" w:type="dxa"/>
            <w:gridSpan w:val="2"/>
            <w:vAlign w:val="center"/>
          </w:tcPr>
          <w:p w14:paraId="75C83137">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投标报价</w:t>
            </w:r>
          </w:p>
        </w:tc>
        <w:tc>
          <w:tcPr>
            <w:tcW w:w="6470" w:type="dxa"/>
            <w:gridSpan w:val="2"/>
            <w:vAlign w:val="top"/>
          </w:tcPr>
          <w:p w14:paraId="07A61FC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lang w:eastAsia="zh-CN"/>
              </w:rPr>
              <w:t>不高于</w:t>
            </w:r>
            <w:r>
              <w:rPr>
                <w:rFonts w:hint="eastAsia" w:ascii="宋体" w:hAnsi="宋体" w:eastAsia="宋体" w:cs="宋体"/>
              </w:rPr>
              <w:t>第二部分“投标人须知前附表”</w:t>
            </w:r>
            <w:r>
              <w:rPr>
                <w:rFonts w:hint="eastAsia" w:ascii="宋体" w:hAnsi="宋体" w:eastAsia="宋体" w:cs="宋体"/>
                <w:lang w:val="en-US" w:eastAsia="zh-CN"/>
              </w:rPr>
              <w:t>载明的</w:t>
            </w:r>
            <w:r>
              <w:rPr>
                <w:rFonts w:hint="eastAsia" w:ascii="宋体" w:hAnsi="宋体" w:eastAsia="宋体" w:cs="宋体"/>
              </w:rPr>
              <w:t>招标控制价</w:t>
            </w:r>
            <w:r>
              <w:rPr>
                <w:rFonts w:hint="eastAsia" w:ascii="宋体" w:hAnsi="宋体" w:eastAsia="宋体" w:cs="宋体"/>
                <w:lang w:eastAsia="zh-CN"/>
              </w:rPr>
              <w:t>并满足招标文件的相关要求</w:t>
            </w:r>
          </w:p>
        </w:tc>
      </w:tr>
      <w:tr w14:paraId="6940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5" w:type="dxa"/>
            <w:gridSpan w:val="6"/>
          </w:tcPr>
          <w:p w14:paraId="1166869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cs="黑体"/>
                <w:b/>
                <w:color w:val="auto"/>
                <w:sz w:val="21"/>
                <w:szCs w:val="21"/>
              </w:rPr>
              <w:t>以上所需证件审查由评标专家依据投标企业在南阳市公共资源交易中心网站诚信库填报的信息资料扫描件为准。所有资质、证书、业绩、荣誉等原件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r w14:paraId="79A2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6A11DCDC">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条款号</w:t>
            </w:r>
          </w:p>
        </w:tc>
        <w:tc>
          <w:tcPr>
            <w:tcW w:w="2204" w:type="dxa"/>
            <w:gridSpan w:val="3"/>
            <w:vAlign w:val="center"/>
          </w:tcPr>
          <w:p w14:paraId="202C970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综合因素</w:t>
            </w:r>
          </w:p>
          <w:p w14:paraId="3A17A94F">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条款内容</w:t>
            </w:r>
          </w:p>
        </w:tc>
        <w:tc>
          <w:tcPr>
            <w:tcW w:w="6470" w:type="dxa"/>
            <w:gridSpan w:val="2"/>
            <w:vAlign w:val="center"/>
          </w:tcPr>
          <w:p w14:paraId="01A083CB">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综合因素编列内容</w:t>
            </w:r>
          </w:p>
        </w:tc>
      </w:tr>
      <w:tr w14:paraId="44A7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5" w:type="dxa"/>
            <w:gridSpan w:val="6"/>
          </w:tcPr>
          <w:p w14:paraId="32E3601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default" w:ascii="宋体" w:hAnsi="宋体" w:eastAsia="宋体" w:cs="宋体"/>
                <w:lang w:val="en-US" w:eastAsia="zh-CN"/>
              </w:rPr>
            </w:pPr>
            <w:r>
              <w:rPr>
                <w:rFonts w:hint="eastAsia" w:ascii="宋体" w:hAnsi="宋体" w:eastAsia="宋体" w:cs="宋体"/>
                <w:b/>
                <w:bCs/>
              </w:rPr>
              <w:t xml:space="preserve">2.2 </w:t>
            </w:r>
            <w:r>
              <w:rPr>
                <w:rFonts w:hint="eastAsia" w:ascii="宋体" w:hAnsi="宋体" w:eastAsia="宋体" w:cs="宋体"/>
                <w:b/>
                <w:bCs/>
                <w:lang w:val="en-US" w:eastAsia="zh-CN"/>
              </w:rPr>
              <w:t>一、二、三标段</w:t>
            </w:r>
            <w:r>
              <w:rPr>
                <w:rFonts w:hint="eastAsia" w:ascii="宋体" w:hAnsi="宋体" w:eastAsia="宋体" w:cs="宋体"/>
                <w:b/>
                <w:bCs/>
              </w:rPr>
              <w:t>详细评审（综合计分法分值构成与评分标准）：</w:t>
            </w:r>
          </w:p>
        </w:tc>
      </w:tr>
      <w:tr w14:paraId="7EBA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415" w:type="dxa"/>
            <w:gridSpan w:val="6"/>
          </w:tcPr>
          <w:p w14:paraId="41549AD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评分标准：</w:t>
            </w:r>
          </w:p>
        </w:tc>
      </w:tr>
      <w:tr w14:paraId="60D9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12FA2B8D">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2.2.1</w:t>
            </w:r>
          </w:p>
        </w:tc>
        <w:tc>
          <w:tcPr>
            <w:tcW w:w="2204" w:type="dxa"/>
            <w:gridSpan w:val="3"/>
            <w:vAlign w:val="center"/>
          </w:tcPr>
          <w:p w14:paraId="4025FB58">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分值构成</w:t>
            </w:r>
          </w:p>
          <w:p w14:paraId="48E7EE9A">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(总分100分)</w:t>
            </w:r>
          </w:p>
        </w:tc>
        <w:tc>
          <w:tcPr>
            <w:tcW w:w="6470" w:type="dxa"/>
            <w:gridSpan w:val="2"/>
          </w:tcPr>
          <w:p w14:paraId="18B672B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lang w:val="en-US" w:eastAsia="zh-CN"/>
              </w:rPr>
            </w:pPr>
            <w:r>
              <w:rPr>
                <w:rFonts w:hint="eastAsia"/>
                <w:lang w:val="en-US" w:eastAsia="zh-CN"/>
              </w:rPr>
              <w:t xml:space="preserve">（1）投标报价：30 分 </w:t>
            </w:r>
          </w:p>
          <w:p w14:paraId="0D7E51E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lang w:val="en-US" w:eastAsia="zh-CN"/>
              </w:rPr>
            </w:pPr>
            <w:r>
              <w:rPr>
                <w:rFonts w:hint="eastAsia"/>
                <w:lang w:val="en-US" w:eastAsia="zh-CN"/>
              </w:rPr>
              <w:t xml:space="preserve">（2）技术标部分：56分 </w:t>
            </w:r>
          </w:p>
          <w:p w14:paraId="2020677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lang w:val="en-US" w:eastAsia="zh-CN"/>
              </w:rPr>
              <w:t>（3）商务标部分：14 分</w:t>
            </w:r>
          </w:p>
        </w:tc>
      </w:tr>
      <w:tr w14:paraId="3A72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6F819B9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2.2.2</w:t>
            </w:r>
          </w:p>
        </w:tc>
        <w:tc>
          <w:tcPr>
            <w:tcW w:w="2204" w:type="dxa"/>
            <w:gridSpan w:val="3"/>
            <w:vAlign w:val="center"/>
          </w:tcPr>
          <w:p w14:paraId="50F53C4A">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评标基准价</w:t>
            </w:r>
          </w:p>
        </w:tc>
        <w:tc>
          <w:tcPr>
            <w:tcW w:w="6470" w:type="dxa"/>
            <w:gridSpan w:val="2"/>
            <w:vAlign w:val="top"/>
          </w:tcPr>
          <w:p w14:paraId="77DABEB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满足招标文件要求且投标价格最低的投标报价为评标基准价</w:t>
            </w:r>
          </w:p>
        </w:tc>
      </w:tr>
      <w:tr w14:paraId="4E3B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389F89B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eastAsia="宋体"/>
                <w:lang w:val="en-US" w:eastAsia="zh-CN"/>
              </w:rPr>
            </w:pPr>
            <w:r>
              <w:rPr>
                <w:rFonts w:hint="eastAsia" w:ascii="宋体" w:hAnsi="宋体" w:eastAsia="宋体" w:cs="宋体"/>
              </w:rPr>
              <w:t>2.2.3</w:t>
            </w:r>
          </w:p>
        </w:tc>
        <w:tc>
          <w:tcPr>
            <w:tcW w:w="1316" w:type="dxa"/>
            <w:gridSpan w:val="2"/>
            <w:vAlign w:val="center"/>
          </w:tcPr>
          <w:p w14:paraId="6046A9D2">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投标报价</w:t>
            </w:r>
          </w:p>
          <w:p w14:paraId="745E95A5">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（30分）</w:t>
            </w:r>
          </w:p>
        </w:tc>
        <w:tc>
          <w:tcPr>
            <w:tcW w:w="7358" w:type="dxa"/>
            <w:gridSpan w:val="3"/>
          </w:tcPr>
          <w:p w14:paraId="2989854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采用低价优先法计算，即满足招标文件要求且投标价格最低的投标报价为评标基准价，其价格分为满分。其他供应商的价格分统一按照下列公式计算：</w:t>
            </w:r>
          </w:p>
          <w:p w14:paraId="38E2940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投标报价得分=（评标基准价/投标报价）×30</w:t>
            </w:r>
          </w:p>
          <w:p w14:paraId="08CC0E1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价格优惠说明：</w:t>
            </w:r>
          </w:p>
          <w:p w14:paraId="608A1D1B">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1、为贯彻落实《政府采购促进中小企业发展管理办法》财库〔2020〕46号，本项目鼓励中小企业参与，中小型企业须提交《中小企业声明函》原件（声明函格式详见附件）。</w:t>
            </w:r>
          </w:p>
          <w:p w14:paraId="737C78DC">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2、中小企业划型标准以工信部联企业〔2011〕300 号《工业和信息化部国家统计局国家发展和改革委财政部关于印发中小企业划型标准规定的通知》及《政府采购促进中小企业发展管理办法》财库〔2020〕46号为依据。</w:t>
            </w:r>
          </w:p>
          <w:p w14:paraId="783C446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3、评审时给予小型和微型企业20%的价格扣除，用扣除后的价格参与评审。即小微型企业优惠后报价=投标报价*（1-20%）。</w:t>
            </w:r>
          </w:p>
          <w:p w14:paraId="058DAD9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4、监狱企业及残疾人福利性单位视同小微企业。</w:t>
            </w:r>
          </w:p>
          <w:p w14:paraId="4DCDCDC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没有提供有效材料的投标人将被视为不接受投标总价的扣除，用原投标总价参与评审。</w:t>
            </w:r>
          </w:p>
        </w:tc>
      </w:tr>
      <w:tr w14:paraId="6A19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restart"/>
            <w:vAlign w:val="center"/>
          </w:tcPr>
          <w:p w14:paraId="50F27066">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2.2.</w:t>
            </w:r>
            <w:r>
              <w:rPr>
                <w:rFonts w:hint="eastAsia" w:cs="宋体"/>
                <w:spacing w:val="0"/>
                <w:w w:val="100"/>
                <w:sz w:val="21"/>
                <w:szCs w:val="21"/>
                <w:lang w:val="en-US" w:eastAsia="zh-CN"/>
              </w:rPr>
              <w:t>4</w:t>
            </w:r>
          </w:p>
        </w:tc>
        <w:tc>
          <w:tcPr>
            <w:tcW w:w="1316" w:type="dxa"/>
            <w:gridSpan w:val="2"/>
            <w:vMerge w:val="restart"/>
            <w:vAlign w:val="center"/>
          </w:tcPr>
          <w:p w14:paraId="03CD5B50">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技术标</w:t>
            </w:r>
          </w:p>
          <w:p w14:paraId="3CE135EB">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cs="宋体"/>
                <w:spacing w:val="0"/>
                <w:sz w:val="21"/>
                <w:szCs w:val="21"/>
                <w:lang w:val="en-US" w:eastAsia="zh-CN"/>
              </w:rPr>
              <w:t>56</w:t>
            </w:r>
            <w:r>
              <w:rPr>
                <w:rFonts w:hint="eastAsia" w:ascii="宋体" w:hAnsi="宋体" w:eastAsia="宋体" w:cs="宋体"/>
                <w:spacing w:val="0"/>
                <w:sz w:val="21"/>
                <w:szCs w:val="21"/>
              </w:rPr>
              <w:t>分）</w:t>
            </w:r>
          </w:p>
        </w:tc>
        <w:tc>
          <w:tcPr>
            <w:tcW w:w="1306" w:type="dxa"/>
            <w:gridSpan w:val="2"/>
            <w:vAlign w:val="center"/>
          </w:tcPr>
          <w:p w14:paraId="1C9144A8">
            <w:pPr>
              <w:keepNext w:val="0"/>
              <w:keepLines w:val="0"/>
              <w:widowControl/>
              <w:suppressLineNumbers w:val="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供货方案</w:t>
            </w:r>
          </w:p>
          <w:p w14:paraId="7335EFF3">
            <w:pPr>
              <w:keepNext w:val="0"/>
              <w:keepLines w:val="0"/>
              <w:widowControl/>
              <w:suppressLineNumbers w:val="0"/>
              <w:jc w:val="center"/>
              <w:rPr>
                <w:rFonts w:hint="eastAsia" w:ascii="宋体" w:hAnsi="宋体" w:eastAsia="宋体" w:cs="宋体"/>
                <w:spacing w:val="0"/>
                <w:sz w:val="21"/>
                <w:szCs w:val="21"/>
                <w:highlight w:val="none"/>
                <w:lang w:eastAsia="zh-CN"/>
              </w:rPr>
            </w:pPr>
            <w:r>
              <w:rPr>
                <w:rFonts w:hint="eastAsia" w:ascii="宋体" w:hAnsi="宋体" w:eastAsia="宋体" w:cs="宋体"/>
                <w:color w:val="000000"/>
                <w:kern w:val="0"/>
                <w:sz w:val="21"/>
                <w:szCs w:val="21"/>
                <w:highlight w:val="none"/>
                <w:lang w:val="en-US" w:eastAsia="zh-CN" w:bidi="ar"/>
              </w:rPr>
              <w:t>（20分）</w:t>
            </w:r>
          </w:p>
        </w:tc>
        <w:tc>
          <w:tcPr>
            <w:tcW w:w="6052" w:type="dxa"/>
            <w:vAlign w:val="top"/>
          </w:tcPr>
          <w:p w14:paraId="5FC212A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根据各供应商供货方案是否完整详尽、内容非常清晰、科学合 </w:t>
            </w:r>
          </w:p>
          <w:p w14:paraId="1153615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理、全面性可靠性高、切合采购人实际需求进行评审： </w:t>
            </w:r>
          </w:p>
          <w:p w14:paraId="30F3769C">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方案内容完整性、条理清晰性、科学合理性、全面性可靠性好 </w:t>
            </w:r>
          </w:p>
          <w:p w14:paraId="3B3CF69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得20分； </w:t>
            </w:r>
          </w:p>
          <w:p w14:paraId="73FA295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方案内容完整性、条理清晰性、科学合理性、全面性可靠性较 </w:t>
            </w:r>
          </w:p>
          <w:p w14:paraId="2D52517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好得16分； </w:t>
            </w:r>
          </w:p>
          <w:p w14:paraId="5DEE0E4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方案内容完整性、条理清晰性、科学合理性、全面性可靠性一 </w:t>
            </w:r>
          </w:p>
          <w:p w14:paraId="09B79CA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般得11分； </w:t>
            </w:r>
          </w:p>
          <w:p w14:paraId="0E9D419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方案内容完整性、条理清晰性、科学合理性、全面性可靠性较 </w:t>
            </w:r>
          </w:p>
          <w:p w14:paraId="0603517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差得5分； </w:t>
            </w:r>
          </w:p>
          <w:p w14:paraId="60C238C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方案内容完整性、条理清晰性、科学合理性、全面性可靠性差 </w:t>
            </w:r>
          </w:p>
          <w:p w14:paraId="57019B1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得2分； </w:t>
            </w:r>
          </w:p>
          <w:p w14:paraId="19E7289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缺项或不合理为 0 分。</w:t>
            </w:r>
          </w:p>
        </w:tc>
      </w:tr>
      <w:tr w14:paraId="0372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continue"/>
            <w:vAlign w:val="center"/>
          </w:tcPr>
          <w:p w14:paraId="70A87B7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pPr>
          </w:p>
        </w:tc>
        <w:tc>
          <w:tcPr>
            <w:tcW w:w="1316" w:type="dxa"/>
            <w:gridSpan w:val="2"/>
            <w:vMerge w:val="continue"/>
            <w:vAlign w:val="center"/>
          </w:tcPr>
          <w:p w14:paraId="37C554D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pPr>
          </w:p>
        </w:tc>
        <w:tc>
          <w:tcPr>
            <w:tcW w:w="1306" w:type="dxa"/>
            <w:gridSpan w:val="2"/>
            <w:vAlign w:val="center"/>
          </w:tcPr>
          <w:p w14:paraId="06DE32C6">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技术培训与指导方案（8分）</w:t>
            </w:r>
          </w:p>
        </w:tc>
        <w:tc>
          <w:tcPr>
            <w:tcW w:w="6052" w:type="dxa"/>
            <w:vAlign w:val="top"/>
          </w:tcPr>
          <w:p w14:paraId="51FABB1C">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有真实、详尽的技术培训与指导方案。 </w:t>
            </w:r>
          </w:p>
          <w:p w14:paraId="60436AE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内容科学合理、条理清晰、可行性强，得8分； </w:t>
            </w:r>
          </w:p>
          <w:p w14:paraId="77C082B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内容较为合理、条理清晰、有一定可行性，得6分； </w:t>
            </w:r>
          </w:p>
          <w:p w14:paraId="4921D76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内容合理性、可行性一般，得4分； </w:t>
            </w:r>
          </w:p>
          <w:p w14:paraId="0A33681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内容较简略，可行性差，得2分。 </w:t>
            </w:r>
          </w:p>
          <w:p w14:paraId="5ADFBA3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缺项或不合理为 0 分。</w:t>
            </w:r>
          </w:p>
        </w:tc>
      </w:tr>
      <w:tr w14:paraId="6AA8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continue"/>
            <w:vAlign w:val="center"/>
          </w:tcPr>
          <w:p w14:paraId="09F8298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16" w:type="dxa"/>
            <w:gridSpan w:val="2"/>
            <w:vMerge w:val="continue"/>
            <w:vAlign w:val="center"/>
          </w:tcPr>
          <w:p w14:paraId="4FACB3B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06" w:type="dxa"/>
            <w:gridSpan w:val="2"/>
            <w:vAlign w:val="center"/>
          </w:tcPr>
          <w:p w14:paraId="2248839E">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机构设置与管理制度（8分）</w:t>
            </w:r>
          </w:p>
        </w:tc>
        <w:tc>
          <w:tcPr>
            <w:tcW w:w="6052" w:type="dxa"/>
            <w:vAlign w:val="top"/>
          </w:tcPr>
          <w:p w14:paraId="6E6FF3A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企业机构设置合理、分工明确、各个环节均设置有相应的机构和健全的质量控制及管理制度等几个方面;切实、可行得8分;</w:t>
            </w:r>
          </w:p>
          <w:p w14:paraId="4D5CAF5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较为切实可行的得6分;</w:t>
            </w:r>
          </w:p>
          <w:p w14:paraId="7EA8499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可行性一般得4分;</w:t>
            </w:r>
          </w:p>
          <w:p w14:paraId="7B47F94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可行性差得2分;</w:t>
            </w:r>
          </w:p>
          <w:p w14:paraId="06A6224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none"/>
                <w:lang w:val="en-US" w:eastAsia="zh-CN" w:bidi="ar"/>
              </w:rPr>
              <w:t>缺项或者可行的得0分。</w:t>
            </w:r>
          </w:p>
        </w:tc>
      </w:tr>
      <w:tr w14:paraId="5F6B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continue"/>
            <w:vAlign w:val="center"/>
          </w:tcPr>
          <w:p w14:paraId="12DB1F4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16" w:type="dxa"/>
            <w:gridSpan w:val="2"/>
            <w:vMerge w:val="continue"/>
            <w:vAlign w:val="center"/>
          </w:tcPr>
          <w:p w14:paraId="463F3D2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06" w:type="dxa"/>
            <w:gridSpan w:val="2"/>
            <w:vAlign w:val="center"/>
          </w:tcPr>
          <w:p w14:paraId="18CA2015">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质量保障措施</w:t>
            </w:r>
          </w:p>
          <w:p w14:paraId="0F7244A7">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（10分）</w:t>
            </w:r>
          </w:p>
        </w:tc>
        <w:tc>
          <w:tcPr>
            <w:tcW w:w="6052" w:type="dxa"/>
            <w:vAlign w:val="top"/>
          </w:tcPr>
          <w:p w14:paraId="08D4E9C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根据投标人提供的质量保障措施是否完整详尽、内容条理清 晰、实施方案科学合理、全面性可靠性高进行评审： </w:t>
            </w:r>
          </w:p>
          <w:p w14:paraId="2451013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方案内容完整性、条理清晰性、科学合理性、全面性可靠性好得10分； </w:t>
            </w:r>
          </w:p>
          <w:p w14:paraId="5DFE401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方案内容完整性、条理清晰性、科学合理性、全面性可靠性较好得8分； </w:t>
            </w:r>
          </w:p>
          <w:p w14:paraId="27FABC6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方案内容完整性、条理清晰性、科学合理性、全面性可靠性一般得6分； </w:t>
            </w:r>
          </w:p>
          <w:p w14:paraId="1DD05AC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方案内容完整性、条理清晰性、科学合理性、全面性可靠性较差得3分； </w:t>
            </w:r>
          </w:p>
          <w:p w14:paraId="3E58DAFC">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方案内容完整性、条理清晰性、科学合理性、全面性可靠性差得1分； </w:t>
            </w:r>
          </w:p>
          <w:p w14:paraId="3F6C7B3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缺项或不合理为 0 分。</w:t>
            </w:r>
          </w:p>
        </w:tc>
      </w:tr>
      <w:tr w14:paraId="5DB9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continue"/>
            <w:vAlign w:val="center"/>
          </w:tcPr>
          <w:p w14:paraId="09146D1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16" w:type="dxa"/>
            <w:gridSpan w:val="2"/>
            <w:vMerge w:val="continue"/>
            <w:vAlign w:val="center"/>
          </w:tcPr>
          <w:p w14:paraId="676AEDC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06" w:type="dxa"/>
            <w:gridSpan w:val="2"/>
            <w:vAlign w:val="center"/>
          </w:tcPr>
          <w:p w14:paraId="3E33113A">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售后服务</w:t>
            </w:r>
          </w:p>
          <w:p w14:paraId="392496D9">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方案</w:t>
            </w:r>
          </w:p>
          <w:p w14:paraId="747B47F5">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（10分）</w:t>
            </w:r>
          </w:p>
        </w:tc>
        <w:tc>
          <w:tcPr>
            <w:tcW w:w="6052" w:type="dxa"/>
            <w:vAlign w:val="top"/>
          </w:tcPr>
          <w:p w14:paraId="0822A09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有完整、可行、合理的售后服务方案，具有成熟的售后服务体系，清晰的售后服务流程，能够支持多种售后服务方式，快速的响应并解决问题。评委根据整体服务方案进行综合评价。 </w:t>
            </w:r>
          </w:p>
          <w:p w14:paraId="518ACE7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1.响应度高、可行性强、应急响应能力强的得10分； </w:t>
            </w:r>
          </w:p>
          <w:p w14:paraId="23ED156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2.响应度较高、可行性和应急响应能力较强的得8分； </w:t>
            </w:r>
          </w:p>
          <w:p w14:paraId="6B9194F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3.响应度、可行性和应急响应能力一般的得6分； </w:t>
            </w:r>
          </w:p>
          <w:p w14:paraId="2B219C7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4.其余的得2分。 </w:t>
            </w:r>
          </w:p>
          <w:p w14:paraId="3D20710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5.完全不满足为0分。</w:t>
            </w:r>
          </w:p>
        </w:tc>
      </w:tr>
      <w:tr w14:paraId="6326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vAlign w:val="center"/>
          </w:tcPr>
          <w:p w14:paraId="2BB875AF">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spacing w:val="0"/>
                <w:w w:val="100"/>
                <w:sz w:val="21"/>
                <w:szCs w:val="21"/>
                <w:lang w:val="en-US"/>
              </w:rPr>
            </w:pPr>
            <w:r>
              <w:rPr>
                <w:rFonts w:hint="eastAsia" w:ascii="宋体" w:hAnsi="宋体" w:eastAsia="宋体" w:cs="宋体"/>
                <w:spacing w:val="0"/>
                <w:w w:val="100"/>
                <w:sz w:val="21"/>
                <w:szCs w:val="21"/>
                <w:lang w:val="en-US" w:eastAsia="zh-CN"/>
              </w:rPr>
              <w:t>2.2.</w:t>
            </w:r>
            <w:r>
              <w:rPr>
                <w:rFonts w:hint="eastAsia" w:cs="宋体"/>
                <w:spacing w:val="0"/>
                <w:w w:val="100"/>
                <w:sz w:val="21"/>
                <w:szCs w:val="21"/>
                <w:lang w:val="en-US" w:eastAsia="zh-CN"/>
              </w:rPr>
              <w:t>5</w:t>
            </w:r>
          </w:p>
        </w:tc>
        <w:tc>
          <w:tcPr>
            <w:tcW w:w="1316" w:type="dxa"/>
            <w:gridSpan w:val="2"/>
            <w:vMerge w:val="restart"/>
            <w:vAlign w:val="center"/>
          </w:tcPr>
          <w:p w14:paraId="706D80A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lang w:val="en-US" w:eastAsia="zh-CN"/>
              </w:rPr>
              <w:t>商务标</w:t>
            </w:r>
          </w:p>
          <w:p w14:paraId="02605E2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b w:val="0"/>
                <w:bCs/>
                <w:spacing w:val="0"/>
                <w:sz w:val="21"/>
                <w:szCs w:val="21"/>
                <w:lang w:val="en-US" w:eastAsia="zh-CN"/>
              </w:rPr>
              <w:t>（14分）</w:t>
            </w:r>
          </w:p>
        </w:tc>
        <w:tc>
          <w:tcPr>
            <w:tcW w:w="1306" w:type="dxa"/>
            <w:gridSpan w:val="2"/>
            <w:vAlign w:val="center"/>
          </w:tcPr>
          <w:p w14:paraId="7AD4319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center"/>
              <w:textAlignment w:val="auto"/>
              <w:rPr>
                <w:rFonts w:hint="eastAsia" w:ascii="宋体" w:hAnsi="宋体" w:eastAsia="宋体" w:cs="宋体"/>
                <w:b w:val="0"/>
                <w:bCs/>
                <w:spacing w:val="0"/>
                <w:sz w:val="21"/>
                <w:szCs w:val="21"/>
              </w:rPr>
            </w:pPr>
            <w:r>
              <w:rPr>
                <w:rFonts w:hint="eastAsia" w:ascii="宋体" w:hAnsi="宋体" w:eastAsia="宋体" w:cs="宋体"/>
                <w:b w:val="0"/>
                <w:bCs/>
                <w:color w:val="000000"/>
                <w:spacing w:val="0"/>
                <w:kern w:val="0"/>
                <w:sz w:val="21"/>
                <w:szCs w:val="21"/>
                <w:lang w:val="en-US" w:eastAsia="zh-CN" w:bidi="ar"/>
              </w:rPr>
              <w:t>企业业绩</w:t>
            </w:r>
          </w:p>
          <w:p w14:paraId="06FCAB9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lang w:val="en-US" w:eastAsia="zh-CN"/>
              </w:rPr>
            </w:pPr>
            <w:r>
              <w:rPr>
                <w:rFonts w:hint="eastAsia" w:ascii="宋体" w:hAnsi="宋体" w:eastAsia="宋体" w:cs="宋体"/>
                <w:b w:val="0"/>
                <w:bCs/>
                <w:color w:val="000000"/>
                <w:spacing w:val="0"/>
                <w:kern w:val="0"/>
                <w:sz w:val="21"/>
                <w:szCs w:val="21"/>
                <w:lang w:val="en-US" w:eastAsia="zh-CN" w:bidi="ar"/>
              </w:rPr>
              <w:t>（</w:t>
            </w:r>
            <w:r>
              <w:rPr>
                <w:rFonts w:hint="eastAsia" w:ascii="宋体" w:hAnsi="宋体" w:cs="宋体"/>
                <w:b w:val="0"/>
                <w:bCs/>
                <w:color w:val="000000"/>
                <w:spacing w:val="0"/>
                <w:kern w:val="0"/>
                <w:sz w:val="21"/>
                <w:szCs w:val="21"/>
                <w:lang w:val="en-US" w:eastAsia="zh-CN" w:bidi="ar"/>
              </w:rPr>
              <w:t>6</w:t>
            </w:r>
            <w:r>
              <w:rPr>
                <w:rFonts w:hint="eastAsia" w:ascii="宋体" w:hAnsi="宋体" w:eastAsia="宋体" w:cs="宋体"/>
                <w:b w:val="0"/>
                <w:bCs/>
                <w:color w:val="000000"/>
                <w:spacing w:val="0"/>
                <w:kern w:val="0"/>
                <w:sz w:val="21"/>
                <w:szCs w:val="21"/>
                <w:lang w:val="en-US" w:eastAsia="zh-CN" w:bidi="ar"/>
              </w:rPr>
              <w:t>分）</w:t>
            </w:r>
          </w:p>
        </w:tc>
        <w:tc>
          <w:tcPr>
            <w:tcW w:w="6052" w:type="dxa"/>
            <w:vAlign w:val="top"/>
          </w:tcPr>
          <w:p w14:paraId="31745EB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提供2021年1月1日至今承担过的类似项目业绩，每个业绩得2 分。本项最高得分为6分。</w:t>
            </w:r>
          </w:p>
          <w:p w14:paraId="57A481B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（投标文件提供业绩合同原件扫描件，复印件扫描件不得分）</w:t>
            </w:r>
          </w:p>
          <w:p w14:paraId="754B60F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没有得0分</w:t>
            </w:r>
          </w:p>
        </w:tc>
      </w:tr>
      <w:tr w14:paraId="0E26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403A179E">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w w:val="100"/>
                <w:sz w:val="21"/>
                <w:szCs w:val="21"/>
              </w:rPr>
            </w:pPr>
          </w:p>
        </w:tc>
        <w:tc>
          <w:tcPr>
            <w:tcW w:w="1316" w:type="dxa"/>
            <w:gridSpan w:val="2"/>
            <w:vMerge w:val="continue"/>
            <w:vAlign w:val="center"/>
          </w:tcPr>
          <w:p w14:paraId="002A7331">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p>
        </w:tc>
        <w:tc>
          <w:tcPr>
            <w:tcW w:w="1306" w:type="dxa"/>
            <w:gridSpan w:val="2"/>
            <w:vAlign w:val="center"/>
          </w:tcPr>
          <w:p w14:paraId="15C9489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优惠服务承诺</w:t>
            </w:r>
          </w:p>
          <w:p w14:paraId="60FFE8D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b w:val="0"/>
                <w:bCs/>
                <w:color w:val="000000"/>
                <w:spacing w:val="0"/>
                <w:kern w:val="0"/>
                <w:sz w:val="21"/>
                <w:szCs w:val="21"/>
                <w:lang w:val="en-US" w:eastAsia="zh-CN" w:bidi="ar"/>
              </w:rPr>
              <w:t>（6分）</w:t>
            </w:r>
          </w:p>
        </w:tc>
        <w:tc>
          <w:tcPr>
            <w:tcW w:w="6052" w:type="dxa"/>
            <w:vAlign w:val="top"/>
          </w:tcPr>
          <w:p w14:paraId="3CBBE38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项目服务期内、外的优惠及承诺。服从采购人的工作计划安排，并积极配合工作方面的承诺及措施： </w:t>
            </w:r>
          </w:p>
          <w:p w14:paraId="1A6FDD2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内容科学合理、条理清晰、可行性强，得6分； </w:t>
            </w:r>
          </w:p>
          <w:p w14:paraId="43C9FDD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内容较为合理、条理清晰、有一定可行性，得5分； </w:t>
            </w:r>
          </w:p>
          <w:p w14:paraId="04913C8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内容合理性、可行性一般，得3分； </w:t>
            </w:r>
          </w:p>
          <w:p w14:paraId="67622E9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内容较简略，可行性差，得1分。 </w:t>
            </w:r>
          </w:p>
          <w:p w14:paraId="5E94147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缺项或不合理为 0 分。</w:t>
            </w:r>
          </w:p>
        </w:tc>
      </w:tr>
      <w:tr w14:paraId="54EB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053A6768">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w w:val="100"/>
                <w:sz w:val="21"/>
                <w:szCs w:val="21"/>
              </w:rPr>
            </w:pPr>
          </w:p>
        </w:tc>
        <w:tc>
          <w:tcPr>
            <w:tcW w:w="1316" w:type="dxa"/>
            <w:gridSpan w:val="2"/>
            <w:vMerge w:val="continue"/>
            <w:vAlign w:val="center"/>
          </w:tcPr>
          <w:p w14:paraId="7746D549">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p>
        </w:tc>
        <w:tc>
          <w:tcPr>
            <w:tcW w:w="1306" w:type="dxa"/>
            <w:gridSpan w:val="2"/>
            <w:vAlign w:val="center"/>
          </w:tcPr>
          <w:p w14:paraId="47EEE6B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信用评价</w:t>
            </w:r>
          </w:p>
          <w:p w14:paraId="1D750E3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（2分）</w:t>
            </w:r>
          </w:p>
        </w:tc>
        <w:tc>
          <w:tcPr>
            <w:tcW w:w="6052" w:type="dxa"/>
            <w:vAlign w:val="top"/>
          </w:tcPr>
          <w:p w14:paraId="5C3C9F1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根据唐河县政府采购信用评价实施办法，诚信指数高的投标人（供应商），在参加唐河县的政府采购活动时，享受政策支持，在采用综合评分法的项目中，三星级的加1分，四星级的加2分；投标人（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bl>
    <w:p w14:paraId="54A93DE9">
      <w:pPr>
        <w:spacing w:line="360" w:lineRule="auto"/>
        <w:jc w:val="both"/>
        <w:rPr>
          <w:rFonts w:hint="eastAsia" w:ascii="宋体" w:hAnsi="宋体" w:eastAsia="宋体" w:cs="宋体"/>
          <w:b/>
          <w:bCs/>
          <w:color w:val="0C0C0C"/>
          <w:spacing w:val="-4"/>
          <w:sz w:val="24"/>
          <w:szCs w:val="24"/>
        </w:rPr>
      </w:pPr>
    </w:p>
    <w:p w14:paraId="2B731FA3">
      <w:pPr>
        <w:spacing w:line="25" w:lineRule="exact"/>
      </w:pPr>
    </w:p>
    <w:p w14:paraId="24E2AB3A">
      <w:pPr>
        <w:widowControl/>
        <w:spacing w:before="0" w:after="0" w:line="600" w:lineRule="exac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1.评标方法</w:t>
      </w:r>
    </w:p>
    <w:p w14:paraId="74AA39BC">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本次评标采用综合评分法。评标委员会对满足招标文件实质性要求的投标文件，按照本章规定的评分标准进行打分，并按得分由高到低顺序推荐中标候选人。综合评分相等时，以投标报价低的优先；投标报价也相等的，由招标人自行确定。</w:t>
      </w:r>
    </w:p>
    <w:p w14:paraId="2854AC6F">
      <w:pPr>
        <w:widowControl/>
        <w:spacing w:before="0" w:after="0" w:line="600" w:lineRule="exact"/>
        <w:outlineLvl w:val="9"/>
        <w:rPr>
          <w:rFonts w:hint="eastAsia" w:ascii="宋体" w:hAnsi="宋体" w:eastAsia="宋体" w:cs="宋体"/>
          <w:b/>
          <w:bCs/>
          <w:color w:val="auto"/>
          <w:sz w:val="24"/>
          <w:szCs w:val="24"/>
        </w:rPr>
      </w:pPr>
      <w:bookmarkStart w:id="5" w:name="_Toc22835_WPSOffice_Level2"/>
      <w:bookmarkStart w:id="6" w:name="_Toc12197_WPSOffice_Level2"/>
      <w:bookmarkStart w:id="7" w:name="_Toc26936"/>
      <w:bookmarkStart w:id="8" w:name="_Toc4687_WPSOffice_Level2"/>
      <w:bookmarkStart w:id="9" w:name="_Toc477422816"/>
      <w:bookmarkStart w:id="10" w:name="_Toc12563"/>
      <w:bookmarkStart w:id="11" w:name="_Toc577"/>
      <w:bookmarkStart w:id="12" w:name="_Toc6943"/>
      <w:bookmarkStart w:id="13" w:name="_Toc12207_WPSOffice_Level2"/>
      <w:bookmarkStart w:id="14" w:name="_Toc18653_WPSOffice_Level2"/>
      <w:bookmarkStart w:id="15" w:name="_Toc32427_WPSOffice_Level2"/>
      <w:bookmarkStart w:id="16" w:name="_Toc477422629"/>
      <w:bookmarkStart w:id="17" w:name="_Toc30551"/>
      <w:r>
        <w:rPr>
          <w:rFonts w:hint="eastAsia" w:ascii="宋体" w:hAnsi="宋体" w:eastAsia="宋体" w:cs="宋体"/>
          <w:b/>
          <w:bCs/>
          <w:color w:val="auto"/>
          <w:sz w:val="24"/>
          <w:szCs w:val="24"/>
        </w:rPr>
        <w:t>2.评审标准</w:t>
      </w:r>
      <w:bookmarkEnd w:id="5"/>
      <w:bookmarkEnd w:id="6"/>
      <w:bookmarkEnd w:id="7"/>
      <w:bookmarkEnd w:id="8"/>
      <w:bookmarkEnd w:id="9"/>
      <w:bookmarkEnd w:id="10"/>
      <w:bookmarkEnd w:id="11"/>
      <w:bookmarkEnd w:id="12"/>
      <w:bookmarkEnd w:id="13"/>
      <w:bookmarkEnd w:id="14"/>
      <w:bookmarkEnd w:id="15"/>
      <w:bookmarkEnd w:id="16"/>
      <w:bookmarkEnd w:id="17"/>
    </w:p>
    <w:p w14:paraId="7A16B01E">
      <w:pPr>
        <w:widowControl/>
        <w:spacing w:before="0" w:after="0" w:line="600" w:lineRule="exact"/>
        <w:outlineLvl w:val="9"/>
        <w:rPr>
          <w:rFonts w:hint="eastAsia" w:ascii="宋体" w:hAnsi="宋体" w:eastAsia="宋体" w:cs="宋体"/>
          <w:color w:val="auto"/>
          <w:sz w:val="24"/>
          <w:szCs w:val="24"/>
        </w:rPr>
      </w:pPr>
      <w:bookmarkStart w:id="18" w:name="_Toc840"/>
      <w:bookmarkStart w:id="19" w:name="_Toc3924"/>
      <w:r>
        <w:rPr>
          <w:rFonts w:hint="eastAsia" w:ascii="宋体" w:hAnsi="宋体" w:eastAsia="宋体" w:cs="宋体"/>
          <w:color w:val="auto"/>
          <w:sz w:val="24"/>
          <w:szCs w:val="24"/>
        </w:rPr>
        <w:t xml:space="preserve">    </w:t>
      </w:r>
      <w:bookmarkStart w:id="20" w:name="_Toc477422817"/>
      <w:bookmarkStart w:id="21" w:name="_Toc5146"/>
      <w:bookmarkStart w:id="22" w:name="_Toc25207"/>
      <w:bookmarkStart w:id="23" w:name="_Toc477422630"/>
      <w:bookmarkStart w:id="24" w:name="_Toc24404"/>
      <w:r>
        <w:rPr>
          <w:rFonts w:hint="eastAsia" w:ascii="宋体" w:hAnsi="宋体" w:eastAsia="宋体" w:cs="宋体"/>
          <w:color w:val="auto"/>
          <w:sz w:val="24"/>
          <w:szCs w:val="24"/>
        </w:rPr>
        <w:t>1）初步评审标准</w:t>
      </w:r>
      <w:bookmarkEnd w:id="18"/>
      <w:bookmarkEnd w:id="19"/>
      <w:bookmarkEnd w:id="20"/>
      <w:bookmarkEnd w:id="21"/>
      <w:bookmarkEnd w:id="22"/>
      <w:bookmarkEnd w:id="23"/>
      <w:bookmarkEnd w:id="24"/>
    </w:p>
    <w:p w14:paraId="7F37835C">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（1)形式评审标准：见评标办法前附表；</w:t>
      </w:r>
    </w:p>
    <w:p w14:paraId="40D96941">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（2)资格评审标准：见评标办法前附表；</w:t>
      </w:r>
    </w:p>
    <w:p w14:paraId="7032C364">
      <w:pPr>
        <w:spacing w:line="600" w:lineRule="exact"/>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（3)响应性评审标准：见评标办法前附表。</w:t>
      </w:r>
    </w:p>
    <w:p w14:paraId="3234ABD3">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w:t>
      </w:r>
      <w:r>
        <w:rPr>
          <w:rFonts w:hint="eastAsia" w:ascii="宋体" w:hAnsi="宋体" w:eastAsia="宋体" w:cs="宋体"/>
          <w:color w:val="auto"/>
          <w:sz w:val="24"/>
          <w:szCs w:val="24"/>
        </w:rPr>
        <w:t>符合下列条件的投标文件，其投标将被否决，不再进入详细的评审阶段；</w:t>
      </w:r>
    </w:p>
    <w:p w14:paraId="137C01AF">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●投标文件未按规定编写，未按要求加盖单位电子签章或法定代表人或被授权委托人签字或盖章的；</w:t>
      </w:r>
    </w:p>
    <w:p w14:paraId="26E0502B">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●投标文件无报价，报价出现负数或投标报价高于招标控制价的；</w:t>
      </w:r>
    </w:p>
    <w:p w14:paraId="4D8BCEFA">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●投标文件无</w:t>
      </w:r>
      <w:r>
        <w:rPr>
          <w:rFonts w:hint="eastAsia" w:ascii="宋体" w:hAnsi="宋体" w:eastAsia="宋体" w:cs="宋体"/>
          <w:color w:val="auto"/>
          <w:sz w:val="24"/>
          <w:szCs w:val="24"/>
          <w:lang w:eastAsia="zh-CN"/>
        </w:rPr>
        <w:t>合同履约期限</w:t>
      </w:r>
      <w:r>
        <w:rPr>
          <w:rFonts w:hint="eastAsia" w:ascii="宋体" w:hAnsi="宋体" w:eastAsia="宋体" w:cs="宋体"/>
          <w:color w:val="auto"/>
          <w:sz w:val="24"/>
          <w:szCs w:val="24"/>
        </w:rPr>
        <w:t>或大于招标文件规定的</w:t>
      </w:r>
      <w:r>
        <w:rPr>
          <w:rFonts w:hint="eastAsia" w:ascii="宋体" w:hAnsi="宋体" w:eastAsia="宋体" w:cs="宋体"/>
          <w:color w:val="auto"/>
          <w:sz w:val="24"/>
          <w:szCs w:val="24"/>
          <w:lang w:eastAsia="zh-CN"/>
        </w:rPr>
        <w:t>合同履约期限</w:t>
      </w:r>
      <w:r>
        <w:rPr>
          <w:rFonts w:hint="eastAsia" w:ascii="宋体" w:hAnsi="宋体" w:eastAsia="宋体" w:cs="宋体"/>
          <w:color w:val="auto"/>
          <w:sz w:val="24"/>
          <w:szCs w:val="24"/>
        </w:rPr>
        <w:t>；</w:t>
      </w:r>
    </w:p>
    <w:p w14:paraId="41DEB8B8">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●投标文件附有采购人不能接受的条件的；</w:t>
      </w:r>
    </w:p>
    <w:p w14:paraId="4DD10705">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●有关法律、法规规章规定的其他情况。</w:t>
      </w:r>
    </w:p>
    <w:p w14:paraId="571A5841">
      <w:pPr>
        <w:widowControl/>
        <w:spacing w:before="0" w:after="0" w:line="600" w:lineRule="exact"/>
        <w:outlineLvl w:val="9"/>
        <w:rPr>
          <w:rFonts w:hint="eastAsia" w:ascii="宋体" w:hAnsi="宋体" w:eastAsia="宋体" w:cs="宋体"/>
          <w:color w:val="auto"/>
          <w:sz w:val="24"/>
          <w:szCs w:val="24"/>
        </w:rPr>
      </w:pPr>
      <w:bookmarkStart w:id="25" w:name="_Toc27677"/>
      <w:bookmarkStart w:id="26" w:name="_Toc25490"/>
      <w:r>
        <w:rPr>
          <w:rFonts w:hint="eastAsia" w:ascii="宋体" w:hAnsi="宋体" w:eastAsia="宋体" w:cs="宋体"/>
          <w:color w:val="auto"/>
          <w:sz w:val="24"/>
          <w:szCs w:val="24"/>
        </w:rPr>
        <w:t xml:space="preserve">    </w:t>
      </w:r>
      <w:bookmarkStart w:id="27" w:name="_Toc11835"/>
      <w:bookmarkStart w:id="28" w:name="_Toc477422631"/>
      <w:bookmarkStart w:id="29" w:name="_Toc564"/>
      <w:bookmarkStart w:id="30" w:name="_Toc477422818"/>
      <w:bookmarkStart w:id="31" w:name="_Toc26256"/>
      <w:r>
        <w:rPr>
          <w:rFonts w:hint="eastAsia" w:ascii="宋体" w:hAnsi="宋体" w:eastAsia="宋体" w:cs="宋体"/>
          <w:color w:val="auto"/>
          <w:sz w:val="24"/>
          <w:szCs w:val="24"/>
        </w:rPr>
        <w:t>2）分值构成与评分标准</w:t>
      </w:r>
      <w:bookmarkEnd w:id="25"/>
      <w:bookmarkEnd w:id="26"/>
      <w:bookmarkEnd w:id="27"/>
      <w:bookmarkEnd w:id="28"/>
      <w:bookmarkEnd w:id="29"/>
      <w:bookmarkEnd w:id="30"/>
      <w:bookmarkEnd w:id="31"/>
    </w:p>
    <w:p w14:paraId="5B8BF5E9">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（1)分值构成</w:t>
      </w:r>
    </w:p>
    <w:p w14:paraId="102D3BAE">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a投标报价：见评标办法前附表；</w:t>
      </w:r>
    </w:p>
    <w:p w14:paraId="58B4468B">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b商务标：见评标办法前附表；</w:t>
      </w:r>
    </w:p>
    <w:p w14:paraId="7F397C06">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c技术标：见评标办法前附表。</w:t>
      </w:r>
    </w:p>
    <w:p w14:paraId="024E4C86">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（2)评标基准价计算</w:t>
      </w:r>
    </w:p>
    <w:p w14:paraId="39153BE1">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a评标基准价计算方法：见评标办法前附表；</w:t>
      </w:r>
    </w:p>
    <w:p w14:paraId="1D586D2B">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b投标报价评审方法：见评标办法前附表。</w:t>
      </w:r>
    </w:p>
    <w:p w14:paraId="783C472D">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（3)评分标准</w:t>
      </w:r>
    </w:p>
    <w:p w14:paraId="620C7BCA">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a投标报价评分标准：见评标办法前附表；</w:t>
      </w:r>
    </w:p>
    <w:p w14:paraId="5825FBD7">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b商务标评分标准：见评标办法前附表；</w:t>
      </w:r>
    </w:p>
    <w:p w14:paraId="12F47782">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c技术标评分标准：见评标办法前附表。</w:t>
      </w:r>
    </w:p>
    <w:p w14:paraId="65E40E3F">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（4）最终得分的确定</w:t>
      </w:r>
    </w:p>
    <w:p w14:paraId="20859196">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a投标人最终得分=投标报价部分得分+商务标部分得分+技术标部分得分；</w:t>
      </w:r>
    </w:p>
    <w:p w14:paraId="26EB7F66">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b评标委员会完成对投标报价、商务标和技术标的汇总后，取平均值作为该投标人的最终得分；</w:t>
      </w:r>
    </w:p>
    <w:p w14:paraId="71A2890C">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c最终得分计算分值保留两位小数。</w:t>
      </w:r>
    </w:p>
    <w:p w14:paraId="7A8E014F">
      <w:pPr>
        <w:widowControl/>
        <w:spacing w:before="0" w:after="0" w:line="600" w:lineRule="exact"/>
        <w:outlineLvl w:val="9"/>
        <w:rPr>
          <w:rFonts w:hint="eastAsia" w:ascii="宋体" w:hAnsi="宋体" w:eastAsia="宋体" w:cs="宋体"/>
          <w:color w:val="auto"/>
          <w:sz w:val="24"/>
          <w:szCs w:val="24"/>
        </w:rPr>
      </w:pPr>
      <w:bookmarkStart w:id="32" w:name="_Toc13498_WPSOffice_Level2"/>
      <w:bookmarkStart w:id="33" w:name="_Toc24226_WPSOffice_Level2"/>
      <w:bookmarkStart w:id="34" w:name="_Toc30927_WPSOffice_Level2"/>
      <w:bookmarkStart w:id="35" w:name="_Toc29002"/>
      <w:bookmarkStart w:id="36" w:name="_Toc7042_WPSOffice_Level2"/>
      <w:bookmarkStart w:id="37" w:name="_Toc22390"/>
      <w:bookmarkStart w:id="38" w:name="_Toc20979_WPSOffice_Level2"/>
      <w:bookmarkStart w:id="39" w:name="_Toc21125"/>
      <w:bookmarkStart w:id="40" w:name="_Toc24745"/>
      <w:bookmarkStart w:id="41" w:name="_Toc15252"/>
      <w:bookmarkStart w:id="42" w:name="_Toc22286_WPSOffice_Level2"/>
      <w:bookmarkStart w:id="43" w:name="_Toc477422819"/>
      <w:bookmarkStart w:id="44" w:name="_Toc477422632"/>
      <w:r>
        <w:rPr>
          <w:rFonts w:hint="eastAsia" w:ascii="宋体" w:hAnsi="宋体" w:eastAsia="宋体" w:cs="宋体"/>
          <w:color w:val="auto"/>
          <w:sz w:val="24"/>
          <w:szCs w:val="24"/>
        </w:rPr>
        <w:t>3投标文件的澄清和补正</w:t>
      </w:r>
      <w:bookmarkEnd w:id="32"/>
      <w:bookmarkEnd w:id="33"/>
      <w:bookmarkEnd w:id="34"/>
      <w:bookmarkEnd w:id="35"/>
      <w:bookmarkEnd w:id="36"/>
      <w:bookmarkEnd w:id="37"/>
      <w:bookmarkEnd w:id="38"/>
      <w:bookmarkEnd w:id="39"/>
      <w:bookmarkEnd w:id="40"/>
      <w:bookmarkEnd w:id="41"/>
      <w:bookmarkEnd w:id="42"/>
      <w:bookmarkEnd w:id="43"/>
      <w:bookmarkEnd w:id="44"/>
    </w:p>
    <w:p w14:paraId="0A4C6C91">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 在评标过程中，评标委员会可以书面形式要求投标人对所提交投标文件中不明确的内容进行书面澄清或说明，或者对细微偏差进行补正。评标委员会不接受投标人主动提出的澄清、说明或补正；</w:t>
      </w:r>
    </w:p>
    <w:p w14:paraId="7C77431C">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2）澄清、说明和补正不得改变投标文件的实质性内容（算术性错误修正的除外）。投标人的书面澄清、说明和补正属于投标文件的组成部分；</w:t>
      </w:r>
    </w:p>
    <w:p w14:paraId="379CE912">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3）评标委员会对投标人提交的澄清、说明或补正有疑问的，可以要求投标人进一步澄清、说明或补正，直至满足评标委员会的要求。 </w:t>
      </w:r>
    </w:p>
    <w:p w14:paraId="4CB865E6">
      <w:pPr>
        <w:spacing w:line="600" w:lineRule="exact"/>
        <w:outlineLvl w:val="9"/>
        <w:rPr>
          <w:rFonts w:hint="eastAsia" w:ascii="宋体" w:hAnsi="宋体" w:eastAsia="宋体" w:cs="宋体"/>
          <w:b/>
          <w:bCs/>
          <w:color w:val="auto"/>
          <w:sz w:val="24"/>
          <w:szCs w:val="24"/>
          <w:lang w:bidi="ar"/>
        </w:rPr>
      </w:pPr>
      <w:bookmarkStart w:id="45" w:name="_Toc24590"/>
      <w:r>
        <w:rPr>
          <w:rFonts w:hint="eastAsia" w:ascii="宋体" w:hAnsi="宋体" w:eastAsia="宋体" w:cs="宋体"/>
          <w:b/>
          <w:bCs/>
          <w:color w:val="auto"/>
          <w:sz w:val="24"/>
          <w:szCs w:val="24"/>
          <w:lang w:bidi="ar"/>
        </w:rPr>
        <w:t>七、授予合同</w:t>
      </w:r>
      <w:bookmarkEnd w:id="45"/>
    </w:p>
    <w:p w14:paraId="3CA535B5">
      <w:pPr>
        <w:spacing w:line="600" w:lineRule="exact"/>
        <w:ind w:firstLine="567"/>
        <w:outlineLvl w:val="9"/>
        <w:rPr>
          <w:rFonts w:hint="eastAsia" w:ascii="宋体" w:hAnsi="宋体" w:eastAsia="宋体" w:cs="宋体"/>
          <w:b/>
          <w:color w:val="auto"/>
          <w:sz w:val="24"/>
          <w:szCs w:val="24"/>
        </w:rPr>
      </w:pPr>
      <w:bookmarkStart w:id="46" w:name="_Toc30490"/>
      <w:r>
        <w:rPr>
          <w:rFonts w:hint="eastAsia" w:ascii="宋体" w:hAnsi="宋体" w:eastAsia="宋体" w:cs="宋体"/>
          <w:b/>
          <w:color w:val="auto"/>
          <w:sz w:val="24"/>
          <w:szCs w:val="24"/>
        </w:rPr>
        <w:t>7.1 定标</w:t>
      </w:r>
      <w:bookmarkEnd w:id="46"/>
    </w:p>
    <w:p w14:paraId="230DE187">
      <w:pPr>
        <w:spacing w:line="600" w:lineRule="exact"/>
        <w:ind w:firstLine="633" w:firstLineChars="264"/>
        <w:outlineLvl w:val="9"/>
        <w:rPr>
          <w:rFonts w:hint="eastAsia" w:ascii="宋体" w:hAnsi="宋体" w:eastAsia="宋体" w:cs="宋体"/>
          <w:color w:val="auto"/>
          <w:sz w:val="24"/>
          <w:szCs w:val="24"/>
        </w:rPr>
      </w:pPr>
      <w:bookmarkStart w:id="47" w:name="_Toc413069769"/>
      <w:r>
        <w:rPr>
          <w:rFonts w:hint="eastAsia" w:ascii="宋体" w:hAnsi="宋体" w:eastAsia="宋体" w:cs="宋体"/>
          <w:color w:val="auto"/>
          <w:sz w:val="24"/>
          <w:szCs w:val="24"/>
        </w:rPr>
        <w:t>7.1.1评委委员会通过对各投标文件进行详细评审并完成评标后，向采购人提交书面评标报告。评标报告中按照投标文件最终得分由高到低进行排序，并向采购人推荐1-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名作为中标候选人。</w:t>
      </w:r>
    </w:p>
    <w:p w14:paraId="30A2BAA0">
      <w:pPr>
        <w:spacing w:line="600" w:lineRule="exact"/>
        <w:ind w:firstLine="633" w:firstLineChars="264"/>
        <w:outlineLvl w:val="9"/>
        <w:rPr>
          <w:rFonts w:hint="eastAsia" w:ascii="宋体" w:hAnsi="宋体" w:eastAsia="宋体" w:cs="宋体"/>
          <w:color w:val="auto"/>
          <w:sz w:val="24"/>
          <w:szCs w:val="24"/>
        </w:rPr>
      </w:pPr>
      <w:r>
        <w:rPr>
          <w:rFonts w:hint="eastAsia" w:ascii="宋体" w:hAnsi="宋体" w:eastAsia="宋体" w:cs="宋体"/>
          <w:color w:val="auto"/>
          <w:sz w:val="24"/>
          <w:szCs w:val="24"/>
        </w:rPr>
        <w:t>7.1.2、采购人对评标委员会推荐的中标候选人进行选择，原则上第一名中标，如第一名提出不能履行合同或者放弃中标资格，向下顺延确定一名中标人。</w:t>
      </w:r>
    </w:p>
    <w:p w14:paraId="48442961">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7.1.3、当送达的投标文件不足3份或评标结果全为无效标时；及经过评审，若所有的供应商均未能通过符合性审查，招标方可在取得评标监督人同意后宣布招标失败，并通知各供应商。采购人根据相关规定重新组织招标。</w:t>
      </w:r>
    </w:p>
    <w:p w14:paraId="1B8D5758">
      <w:pPr>
        <w:spacing w:line="6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bidi="ar"/>
        </w:rPr>
        <w:t>7.2其他</w:t>
      </w:r>
    </w:p>
    <w:p w14:paraId="161FA5F4">
      <w:pPr>
        <w:spacing w:line="600" w:lineRule="exact"/>
        <w:ind w:firstLine="633" w:firstLineChars="264"/>
        <w:outlineLvl w:val="9"/>
        <w:rPr>
          <w:rFonts w:hint="eastAsia" w:ascii="宋体" w:hAnsi="宋体" w:eastAsia="宋体" w:cs="宋体"/>
          <w:color w:val="auto"/>
          <w:sz w:val="24"/>
          <w:szCs w:val="24"/>
        </w:rPr>
      </w:pPr>
      <w:r>
        <w:rPr>
          <w:rFonts w:hint="eastAsia" w:ascii="宋体" w:hAnsi="宋体" w:eastAsia="宋体" w:cs="宋体"/>
          <w:color w:val="auto"/>
          <w:sz w:val="24"/>
          <w:szCs w:val="24"/>
        </w:rPr>
        <w:t>7.2.1、除投标报价外的其他项内容的评审首先由评标委员会的各成员自主打分，汇总时在自主打分的记分结果中，进行算术平均，以算术平均值作为该项的最终加、减分值。</w:t>
      </w:r>
    </w:p>
    <w:p w14:paraId="10D95A42">
      <w:pPr>
        <w:spacing w:line="600" w:lineRule="exact"/>
        <w:ind w:firstLine="576" w:firstLineChars="240"/>
        <w:outlineLvl w:val="9"/>
        <w:rPr>
          <w:rFonts w:hint="eastAsia" w:ascii="宋体" w:hAnsi="宋体" w:eastAsia="宋体" w:cs="宋体"/>
          <w:color w:val="auto"/>
          <w:sz w:val="24"/>
          <w:szCs w:val="24"/>
        </w:rPr>
      </w:pPr>
      <w:r>
        <w:rPr>
          <w:rFonts w:hint="eastAsia" w:ascii="宋体" w:hAnsi="宋体" w:eastAsia="宋体" w:cs="宋体"/>
          <w:color w:val="auto"/>
          <w:sz w:val="24"/>
          <w:szCs w:val="24"/>
        </w:rPr>
        <w:t>7.2.2、计分按四舍五入取至小数点后二位。</w:t>
      </w:r>
    </w:p>
    <w:p w14:paraId="6FA4B845">
      <w:pPr>
        <w:spacing w:line="600" w:lineRule="exact"/>
        <w:ind w:firstLine="576" w:firstLineChars="240"/>
        <w:outlineLvl w:val="9"/>
        <w:rPr>
          <w:rFonts w:hint="eastAsia" w:ascii="宋体" w:hAnsi="宋体" w:eastAsia="宋体" w:cs="宋体"/>
          <w:color w:val="auto"/>
          <w:sz w:val="24"/>
          <w:szCs w:val="24"/>
        </w:rPr>
      </w:pPr>
      <w:r>
        <w:rPr>
          <w:rFonts w:hint="eastAsia" w:ascii="宋体" w:hAnsi="宋体" w:eastAsia="宋体" w:cs="宋体"/>
          <w:color w:val="auto"/>
          <w:sz w:val="24"/>
          <w:szCs w:val="24"/>
        </w:rPr>
        <w:t>7.2.3、在评标过程中，如发现本办法中条款与投标须知中相关条款不一致，以本办法中的相关条款为准。</w:t>
      </w:r>
    </w:p>
    <w:p w14:paraId="76560D1B">
      <w:pPr>
        <w:spacing w:line="600" w:lineRule="exact"/>
        <w:ind w:firstLine="633" w:firstLineChars="264"/>
        <w:outlineLvl w:val="9"/>
        <w:rPr>
          <w:rFonts w:hint="eastAsia" w:ascii="宋体" w:hAnsi="宋体" w:eastAsia="宋体" w:cs="宋体"/>
          <w:color w:val="auto"/>
          <w:sz w:val="24"/>
          <w:szCs w:val="24"/>
        </w:rPr>
      </w:pPr>
      <w:r>
        <w:rPr>
          <w:rFonts w:hint="eastAsia" w:ascii="宋体" w:hAnsi="宋体" w:eastAsia="宋体" w:cs="宋体"/>
          <w:color w:val="auto"/>
          <w:sz w:val="24"/>
          <w:szCs w:val="24"/>
        </w:rPr>
        <w:t>7.2.4、供应商必须对所提供资料的真实性负责，被推荐为中标候选人后，经采购人证实为提供虚假证明材料骗取中标的，除取消其中标资格外，还应赔偿采购人及代理机构的相关损失。</w:t>
      </w:r>
    </w:p>
    <w:p w14:paraId="57E18FBE">
      <w:pPr>
        <w:spacing w:line="600" w:lineRule="exact"/>
        <w:ind w:firstLine="600" w:firstLineChars="250"/>
        <w:outlineLvl w:val="9"/>
        <w:rPr>
          <w:rFonts w:hint="eastAsia" w:ascii="宋体" w:hAnsi="宋体" w:eastAsia="宋体" w:cs="宋体"/>
          <w:color w:val="auto"/>
          <w:sz w:val="24"/>
          <w:szCs w:val="24"/>
        </w:rPr>
      </w:pPr>
      <w:r>
        <w:rPr>
          <w:rFonts w:hint="eastAsia" w:ascii="宋体" w:hAnsi="宋体" w:eastAsia="宋体" w:cs="宋体"/>
          <w:color w:val="auto"/>
          <w:sz w:val="24"/>
          <w:szCs w:val="24"/>
        </w:rPr>
        <w:t>7.2.5、本办法仅适用于</w:t>
      </w:r>
      <w:r>
        <w:rPr>
          <w:rFonts w:hint="eastAsia" w:ascii="宋体" w:hAnsi="宋体" w:eastAsia="宋体" w:cs="宋体"/>
          <w:color w:val="auto"/>
          <w:sz w:val="24"/>
          <w:szCs w:val="24"/>
          <w:lang w:eastAsia="zh-CN"/>
        </w:rPr>
        <w:t>唐河县教育装备与技术保障中心2025年唐河县思源学校、桐寨铺中心小学等学校教学设备采购(二)项目</w:t>
      </w:r>
      <w:r>
        <w:rPr>
          <w:rFonts w:hint="eastAsia" w:ascii="宋体" w:hAnsi="宋体" w:eastAsia="宋体" w:cs="宋体"/>
          <w:color w:val="auto"/>
          <w:sz w:val="24"/>
          <w:szCs w:val="24"/>
        </w:rPr>
        <w:t>招标的评标工作。</w:t>
      </w:r>
    </w:p>
    <w:p w14:paraId="32E90FFA">
      <w:pPr>
        <w:spacing w:line="600" w:lineRule="exact"/>
        <w:ind w:firstLine="600" w:firstLineChars="25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7.2.6本招标文件未尽事宜按现行招标投标的有关法律法规和规定执行。如投标单位在本次投标活动中有违反相关法律法规的将根据相关法律法规和规定对其进行处罚。</w:t>
      </w:r>
    </w:p>
    <w:p w14:paraId="640028F4">
      <w:pPr>
        <w:spacing w:line="600" w:lineRule="exact"/>
        <w:ind w:firstLine="567"/>
        <w:outlineLvl w:val="9"/>
        <w:rPr>
          <w:rFonts w:hint="eastAsia" w:ascii="宋体" w:hAnsi="宋体" w:eastAsia="宋体" w:cs="宋体"/>
          <w:b/>
          <w:color w:val="auto"/>
          <w:sz w:val="24"/>
          <w:szCs w:val="24"/>
        </w:rPr>
      </w:pPr>
      <w:bookmarkStart w:id="48" w:name="_Toc29503"/>
      <w:bookmarkStart w:id="49" w:name="_Toc17752"/>
      <w:r>
        <w:rPr>
          <w:rFonts w:hint="eastAsia" w:ascii="宋体" w:hAnsi="宋体" w:eastAsia="宋体" w:cs="宋体"/>
          <w:b/>
          <w:color w:val="auto"/>
          <w:sz w:val="24"/>
          <w:szCs w:val="24"/>
        </w:rPr>
        <w:t>7.3、中标通知</w:t>
      </w:r>
      <w:bookmarkEnd w:id="47"/>
      <w:bookmarkEnd w:id="48"/>
      <w:bookmarkEnd w:id="49"/>
    </w:p>
    <w:p w14:paraId="751E024F">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7.3.1、中标供应商确定后，由招标方向其签发中标通知书。</w:t>
      </w:r>
    </w:p>
    <w:p w14:paraId="229B252F">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7.3.2、中标通知书将作为签订合同的重要依据，对采购人与中标供应商具有法律效力。</w:t>
      </w:r>
    </w:p>
    <w:p w14:paraId="08CC21C3">
      <w:pPr>
        <w:spacing w:line="600" w:lineRule="exact"/>
        <w:ind w:firstLine="567"/>
        <w:outlineLvl w:val="9"/>
        <w:rPr>
          <w:rFonts w:hint="eastAsia" w:ascii="宋体" w:hAnsi="宋体" w:eastAsia="宋体" w:cs="宋体"/>
          <w:b/>
          <w:color w:val="auto"/>
          <w:sz w:val="24"/>
          <w:szCs w:val="24"/>
        </w:rPr>
      </w:pPr>
      <w:bookmarkStart w:id="50" w:name="_Toc11501"/>
      <w:bookmarkStart w:id="51" w:name="_Toc22244"/>
      <w:bookmarkStart w:id="52" w:name="_Toc413069771"/>
      <w:r>
        <w:rPr>
          <w:rFonts w:hint="eastAsia" w:ascii="宋体" w:hAnsi="宋体" w:eastAsia="宋体" w:cs="宋体"/>
          <w:b/>
          <w:color w:val="auto"/>
          <w:sz w:val="24"/>
          <w:szCs w:val="24"/>
        </w:rPr>
        <w:t>7.4、签订合同</w:t>
      </w:r>
      <w:bookmarkEnd w:id="50"/>
      <w:bookmarkEnd w:id="51"/>
      <w:bookmarkEnd w:id="52"/>
    </w:p>
    <w:p w14:paraId="27D5145B">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7.4.1、中标人必须在接到中标通知书时向招标代理公司交纳招标代理服务费，接到中标通知书后应在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日内与采购人签订合同。</w:t>
      </w:r>
    </w:p>
    <w:p w14:paraId="135F9031">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7.4.2、招标文件、投标文件、供应商在开标过程中的补充确认材料以及中标通知书，均作为合同签订的依据。</w:t>
      </w:r>
    </w:p>
    <w:p w14:paraId="6B3E03AA">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7.4.3、如果中标人不按其投标文件承诺和招标文件要求签订合同，招标方将取消其中标资格另定中标供应商。</w:t>
      </w:r>
    </w:p>
    <w:p w14:paraId="66978893">
      <w:pPr>
        <w:pStyle w:val="44"/>
        <w:spacing w:line="600" w:lineRule="exact"/>
        <w:ind w:firstLine="482" w:firstLineChars="200"/>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7.4.4、采购人应在中标通知书发出之日起</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个工作日内与中标供应商尽快签订合同，在合同签订</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个工作日内通过公共资源交易中心系统内合同备案进行上传后公告，在合同签订</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个工作日内报财政部门备案，同时采购人要按照合同约定及时向成交供应商支付合同资金，加快合同资金支付进度。对于无故未在规定时间内签订合同、未及时进行合同公告及备案的行为，要依法处理并进行通报</w:t>
      </w:r>
      <w:r>
        <w:rPr>
          <w:rFonts w:hint="eastAsia" w:ascii="宋体" w:hAnsi="宋体" w:eastAsia="宋体" w:cs="宋体"/>
          <w:b/>
          <w:bCs/>
          <w:color w:val="auto"/>
          <w:sz w:val="24"/>
          <w:szCs w:val="24"/>
          <w:lang w:eastAsia="zh-CN"/>
        </w:rPr>
        <w:t>。</w:t>
      </w:r>
    </w:p>
    <w:p w14:paraId="630293CA">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br w:type="page"/>
      </w:r>
    </w:p>
    <w:p w14:paraId="63F24F51">
      <w:pPr>
        <w:jc w:val="center"/>
        <w:outlineLvl w:val="9"/>
        <w:rPr>
          <w:color w:val="000000"/>
        </w:rPr>
      </w:pPr>
      <w:r>
        <w:rPr>
          <w:rFonts w:hint="eastAsia" w:eastAsia="宋体"/>
          <w:b/>
          <w:bCs/>
          <w:color w:val="000000"/>
          <w:sz w:val="28"/>
          <w:szCs w:val="28"/>
          <w:lang w:val="en-US" w:eastAsia="zh-CN"/>
        </w:rPr>
        <w:t>八、</w:t>
      </w:r>
      <w:r>
        <w:rPr>
          <w:rFonts w:hint="eastAsia"/>
          <w:b/>
          <w:bCs/>
          <w:color w:val="000000"/>
          <w:sz w:val="28"/>
          <w:szCs w:val="28"/>
        </w:rPr>
        <w:t>唐河县政府采购合同融资告知函</w:t>
      </w:r>
    </w:p>
    <w:p w14:paraId="10D8EA35">
      <w:pPr>
        <w:ind w:firstLine="420" w:firstLineChars="200"/>
        <w:outlineLvl w:val="9"/>
        <w:rPr>
          <w:color w:val="000000"/>
          <w:sz w:val="21"/>
          <w:szCs w:val="21"/>
        </w:rPr>
      </w:pPr>
    </w:p>
    <w:p w14:paraId="2DD756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各供应商：</w:t>
      </w:r>
    </w:p>
    <w:p w14:paraId="432719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欢迎贵公司参与</w:t>
      </w:r>
      <w:r>
        <w:rPr>
          <w:rFonts w:hint="eastAsia" w:eastAsia="宋体"/>
          <w:color w:val="000000"/>
          <w:sz w:val="24"/>
          <w:szCs w:val="24"/>
          <w:lang w:val="en-US" w:eastAsia="zh-CN"/>
        </w:rPr>
        <w:t>唐河县</w:t>
      </w:r>
      <w:r>
        <w:rPr>
          <w:rFonts w:hint="eastAsia"/>
          <w:color w:val="000000"/>
          <w:sz w:val="24"/>
          <w:szCs w:val="24"/>
        </w:rPr>
        <w:t>政府采购活动！</w:t>
      </w:r>
    </w:p>
    <w:p w14:paraId="0528112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F61A3D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贷款渠道和提供贷款的金融机构，可在河南省政府采购网“河南省政府采购合同融资平台”查询联系。</w:t>
      </w:r>
    </w:p>
    <w:p w14:paraId="60ABEB15">
      <w:pPr>
        <w:jc w:val="center"/>
        <w:rPr>
          <w:rFonts w:hint="default" w:ascii="宋体" w:hAnsi="宋体" w:eastAsia="宋体" w:cs="宋体"/>
          <w:sz w:val="28"/>
          <w:szCs w:val="28"/>
          <w:lang w:val="en-US" w:eastAsia="zh-CN"/>
        </w:rPr>
      </w:pPr>
      <w:r>
        <w:rPr>
          <w:rFonts w:ascii="宋体" w:hAnsi="宋体" w:eastAsia="宋体" w:cs="宋体"/>
          <w:sz w:val="28"/>
          <w:szCs w:val="28"/>
        </w:rPr>
        <w:br w:type="page"/>
      </w:r>
      <w:r>
        <w:rPr>
          <w:rFonts w:hint="eastAsia"/>
          <w:b/>
          <w:bCs/>
          <w:color w:val="000000"/>
          <w:sz w:val="28"/>
          <w:szCs w:val="28"/>
          <w:lang w:val="en-US" w:eastAsia="zh-CN"/>
        </w:rPr>
        <w:t>九、告知函</w:t>
      </w:r>
    </w:p>
    <w:tbl>
      <w:tblPr>
        <w:tblStyle w:val="2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1B4D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685E6E0C">
            <w:pPr>
              <w:widowControl w:val="0"/>
              <w:jc w:val="center"/>
              <w:rPr>
                <w:rFonts w:hint="default"/>
                <w:sz w:val="24"/>
                <w:szCs w:val="24"/>
                <w:vertAlign w:val="baseline"/>
                <w:lang w:val="en-US" w:eastAsia="zh-CN"/>
              </w:rPr>
            </w:pPr>
            <w:r>
              <w:rPr>
                <w:rFonts w:hint="eastAsia"/>
                <w:sz w:val="24"/>
                <w:szCs w:val="24"/>
                <w:vertAlign w:val="baseline"/>
                <w:lang w:val="en-US" w:eastAsia="zh-CN"/>
              </w:rPr>
              <w:t>事项</w:t>
            </w:r>
          </w:p>
        </w:tc>
        <w:tc>
          <w:tcPr>
            <w:tcW w:w="2237" w:type="dxa"/>
          </w:tcPr>
          <w:p w14:paraId="2E7156F0">
            <w:pPr>
              <w:widowControl w:val="0"/>
              <w:jc w:val="center"/>
              <w:rPr>
                <w:rFonts w:hint="default"/>
                <w:sz w:val="24"/>
                <w:szCs w:val="24"/>
                <w:vertAlign w:val="baseline"/>
                <w:lang w:val="en-US" w:eastAsia="zh-CN"/>
              </w:rPr>
            </w:pPr>
            <w:r>
              <w:rPr>
                <w:rFonts w:hint="eastAsia"/>
                <w:sz w:val="24"/>
                <w:szCs w:val="24"/>
                <w:vertAlign w:val="baseline"/>
                <w:lang w:val="en-US" w:eastAsia="zh-CN"/>
              </w:rPr>
              <w:t xml:space="preserve">时限 </w:t>
            </w:r>
          </w:p>
        </w:tc>
        <w:tc>
          <w:tcPr>
            <w:tcW w:w="6221" w:type="dxa"/>
          </w:tcPr>
          <w:p w14:paraId="31544801">
            <w:pPr>
              <w:widowControl w:val="0"/>
              <w:jc w:val="center"/>
              <w:rPr>
                <w:rFonts w:hint="default"/>
                <w:sz w:val="24"/>
                <w:szCs w:val="24"/>
                <w:vertAlign w:val="baseline"/>
                <w:lang w:val="en-US" w:eastAsia="zh-CN"/>
              </w:rPr>
            </w:pPr>
            <w:r>
              <w:rPr>
                <w:rFonts w:hint="eastAsia"/>
                <w:sz w:val="24"/>
                <w:szCs w:val="24"/>
                <w:vertAlign w:val="baseline"/>
                <w:lang w:val="en-US" w:eastAsia="zh-CN"/>
              </w:rPr>
              <w:t>要求</w:t>
            </w:r>
          </w:p>
        </w:tc>
      </w:tr>
      <w:tr w14:paraId="4A0F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25DB9228">
            <w:pPr>
              <w:widowControl w:val="0"/>
              <w:jc w:val="center"/>
              <w:rPr>
                <w:rFonts w:hint="eastAsia"/>
                <w:sz w:val="24"/>
                <w:szCs w:val="24"/>
                <w:vertAlign w:val="baseline"/>
                <w:lang w:val="en-US" w:eastAsia="zh-CN"/>
              </w:rPr>
            </w:pPr>
          </w:p>
          <w:p w14:paraId="467B87CA">
            <w:pPr>
              <w:widowControl w:val="0"/>
              <w:jc w:val="center"/>
              <w:rPr>
                <w:rFonts w:hint="eastAsia"/>
                <w:sz w:val="24"/>
                <w:szCs w:val="24"/>
                <w:vertAlign w:val="baseline"/>
                <w:lang w:val="en-US" w:eastAsia="zh-CN"/>
              </w:rPr>
            </w:pPr>
          </w:p>
          <w:p w14:paraId="6741E2E2">
            <w:pPr>
              <w:widowControl w:val="0"/>
              <w:jc w:val="center"/>
              <w:rPr>
                <w:rFonts w:hint="eastAsia"/>
                <w:sz w:val="24"/>
                <w:szCs w:val="24"/>
                <w:vertAlign w:val="baseline"/>
                <w:lang w:val="en-US" w:eastAsia="zh-CN"/>
              </w:rPr>
            </w:pPr>
          </w:p>
          <w:p w14:paraId="6E2EC338">
            <w:pPr>
              <w:widowControl w:val="0"/>
              <w:jc w:val="center"/>
              <w:rPr>
                <w:rFonts w:hint="default"/>
                <w:sz w:val="24"/>
                <w:szCs w:val="24"/>
                <w:vertAlign w:val="baseline"/>
                <w:lang w:val="en-US" w:eastAsia="zh-CN"/>
              </w:rPr>
            </w:pPr>
            <w:r>
              <w:rPr>
                <w:rFonts w:hint="eastAsia"/>
                <w:sz w:val="24"/>
                <w:szCs w:val="24"/>
                <w:vertAlign w:val="baseline"/>
                <w:lang w:val="en-US" w:eastAsia="zh-CN"/>
              </w:rPr>
              <w:t>合同签订</w:t>
            </w:r>
          </w:p>
        </w:tc>
        <w:tc>
          <w:tcPr>
            <w:tcW w:w="2237" w:type="dxa"/>
          </w:tcPr>
          <w:p w14:paraId="350BF6A5">
            <w:pPr>
              <w:widowControl w:val="0"/>
              <w:ind w:firstLine="480" w:firstLineChars="200"/>
              <w:jc w:val="both"/>
              <w:rPr>
                <w:rFonts w:hint="default"/>
                <w:sz w:val="24"/>
                <w:szCs w:val="24"/>
                <w:vertAlign w:val="baseline"/>
                <w:lang w:val="en-US" w:eastAsia="zh-CN"/>
              </w:rPr>
            </w:pPr>
          </w:p>
          <w:p w14:paraId="6F68187B">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中标(成交)通知书发出之日起</w:t>
            </w:r>
            <w:r>
              <w:rPr>
                <w:rFonts w:hint="eastAsia"/>
                <w:sz w:val="24"/>
                <w:szCs w:val="24"/>
                <w:vertAlign w:val="baseline"/>
                <w:lang w:val="en-US" w:eastAsia="zh-CN"/>
              </w:rPr>
              <w:t>1</w:t>
            </w:r>
            <w:r>
              <w:rPr>
                <w:rFonts w:hint="default"/>
                <w:sz w:val="24"/>
                <w:szCs w:val="24"/>
                <w:vertAlign w:val="baseline"/>
                <w:lang w:val="en-US" w:eastAsia="zh-CN"/>
              </w:rPr>
              <w:t>个工作日内采购人与供应商签订政府采购合同。</w:t>
            </w:r>
          </w:p>
        </w:tc>
        <w:tc>
          <w:tcPr>
            <w:tcW w:w="6221" w:type="dxa"/>
          </w:tcPr>
          <w:p w14:paraId="25A067C0">
            <w:pPr>
              <w:widowControl w:val="0"/>
              <w:ind w:firstLine="420" w:firstLineChars="200"/>
              <w:jc w:val="both"/>
              <w:rPr>
                <w:rFonts w:hint="eastAsia"/>
              </w:rPr>
            </w:pPr>
          </w:p>
          <w:p w14:paraId="5C02C872">
            <w:pPr>
              <w:widowControl w:val="0"/>
              <w:ind w:firstLine="480" w:firstLineChars="200"/>
              <w:jc w:val="both"/>
              <w:rPr>
                <w:rFonts w:hint="eastAsia"/>
                <w:sz w:val="24"/>
                <w:szCs w:val="24"/>
              </w:rPr>
            </w:pPr>
            <w:r>
              <w:rPr>
                <w:rFonts w:hint="eastAsia"/>
                <w:sz w:val="24"/>
                <w:szCs w:val="24"/>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7A6D92FB">
            <w:pPr>
              <w:widowControl w:val="0"/>
              <w:jc w:val="both"/>
              <w:rPr>
                <w:rFonts w:hint="default"/>
                <w:sz w:val="24"/>
                <w:szCs w:val="24"/>
                <w:vertAlign w:val="baseline"/>
                <w:lang w:val="en-US" w:eastAsia="zh-CN"/>
              </w:rPr>
            </w:pPr>
          </w:p>
        </w:tc>
      </w:tr>
      <w:tr w14:paraId="3CE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073C28BA">
            <w:pPr>
              <w:widowControl w:val="0"/>
              <w:jc w:val="center"/>
              <w:rPr>
                <w:rFonts w:hint="eastAsia"/>
                <w:sz w:val="24"/>
                <w:szCs w:val="24"/>
                <w:vertAlign w:val="baseline"/>
                <w:lang w:val="en-US" w:eastAsia="zh-CN"/>
              </w:rPr>
            </w:pPr>
          </w:p>
          <w:p w14:paraId="42F624BD">
            <w:pPr>
              <w:widowControl w:val="0"/>
              <w:jc w:val="center"/>
              <w:rPr>
                <w:rFonts w:hint="eastAsia"/>
                <w:sz w:val="24"/>
                <w:szCs w:val="24"/>
                <w:vertAlign w:val="baseline"/>
                <w:lang w:val="en-US" w:eastAsia="zh-CN"/>
              </w:rPr>
            </w:pPr>
          </w:p>
          <w:p w14:paraId="74452C2E">
            <w:pPr>
              <w:widowControl w:val="0"/>
              <w:jc w:val="center"/>
              <w:rPr>
                <w:rFonts w:hint="eastAsia"/>
                <w:sz w:val="24"/>
                <w:szCs w:val="24"/>
                <w:vertAlign w:val="baseline"/>
                <w:lang w:val="en-US" w:eastAsia="zh-CN"/>
              </w:rPr>
            </w:pPr>
          </w:p>
          <w:p w14:paraId="224C5531">
            <w:pPr>
              <w:widowControl w:val="0"/>
              <w:jc w:val="center"/>
              <w:rPr>
                <w:rFonts w:hint="default"/>
                <w:sz w:val="24"/>
                <w:szCs w:val="24"/>
                <w:vertAlign w:val="baseline"/>
                <w:lang w:val="en-US" w:eastAsia="zh-CN"/>
              </w:rPr>
            </w:pPr>
            <w:r>
              <w:rPr>
                <w:rFonts w:hint="eastAsia"/>
                <w:sz w:val="24"/>
                <w:szCs w:val="24"/>
                <w:vertAlign w:val="baseline"/>
                <w:lang w:val="en-US" w:eastAsia="zh-CN"/>
              </w:rPr>
              <w:t>合同备案</w:t>
            </w:r>
          </w:p>
        </w:tc>
        <w:tc>
          <w:tcPr>
            <w:tcW w:w="2237" w:type="dxa"/>
          </w:tcPr>
          <w:p w14:paraId="1C3D4316">
            <w:pPr>
              <w:widowControl w:val="0"/>
              <w:ind w:firstLine="480" w:firstLineChars="200"/>
              <w:jc w:val="both"/>
              <w:rPr>
                <w:rFonts w:hint="default"/>
                <w:sz w:val="24"/>
                <w:szCs w:val="24"/>
                <w:vertAlign w:val="baseline"/>
                <w:lang w:val="en-US" w:eastAsia="zh-CN"/>
              </w:rPr>
            </w:pPr>
          </w:p>
          <w:p w14:paraId="2A392744">
            <w:pPr>
              <w:widowControl w:val="0"/>
              <w:ind w:firstLine="480" w:firstLineChars="200"/>
              <w:jc w:val="both"/>
              <w:rPr>
                <w:rFonts w:hint="default"/>
                <w:sz w:val="24"/>
                <w:szCs w:val="24"/>
                <w:vertAlign w:val="baseline"/>
                <w:lang w:val="en-US" w:eastAsia="zh-CN"/>
              </w:rPr>
            </w:pPr>
          </w:p>
          <w:p w14:paraId="528A9F1F">
            <w:pPr>
              <w:widowControl w:val="0"/>
              <w:ind w:firstLine="480" w:firstLineChars="200"/>
              <w:jc w:val="both"/>
              <w:rPr>
                <w:rFonts w:hint="default"/>
                <w:sz w:val="24"/>
                <w:szCs w:val="24"/>
                <w:vertAlign w:val="baseline"/>
                <w:lang w:val="en-US" w:eastAsia="zh-CN"/>
              </w:rPr>
            </w:pPr>
          </w:p>
          <w:p w14:paraId="3A5053D3">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政府采购合同签订之日起</w:t>
            </w:r>
            <w:r>
              <w:rPr>
                <w:rFonts w:hint="eastAsia"/>
                <w:sz w:val="24"/>
                <w:szCs w:val="24"/>
                <w:vertAlign w:val="baseline"/>
                <w:lang w:val="en-US" w:eastAsia="zh-CN"/>
              </w:rPr>
              <w:t>1</w:t>
            </w:r>
            <w:r>
              <w:rPr>
                <w:rFonts w:hint="default"/>
                <w:sz w:val="24"/>
                <w:szCs w:val="24"/>
                <w:vertAlign w:val="baseline"/>
                <w:lang w:val="en-US" w:eastAsia="zh-CN"/>
              </w:rPr>
              <w:t>个工作日内，合同备案并公示。</w:t>
            </w:r>
          </w:p>
        </w:tc>
        <w:tc>
          <w:tcPr>
            <w:tcW w:w="6221" w:type="dxa"/>
          </w:tcPr>
          <w:p w14:paraId="427A87F9">
            <w:pPr>
              <w:widowControl w:val="0"/>
              <w:jc w:val="both"/>
              <w:rPr>
                <w:rFonts w:hint="eastAsia" w:ascii="宋体" w:hAnsi="宋体" w:eastAsia="宋体" w:cs="宋体"/>
                <w:sz w:val="24"/>
                <w:szCs w:val="24"/>
                <w:vertAlign w:val="baseline"/>
                <w:lang w:val="en-US" w:eastAsia="zh-CN"/>
              </w:rPr>
            </w:pPr>
          </w:p>
          <w:p w14:paraId="36C156AC">
            <w:pPr>
              <w:widowControl w:val="0"/>
              <w:ind w:firstLine="480" w:firstLineChars="200"/>
              <w:jc w:val="both"/>
              <w:rPr>
                <w:rFonts w:hint="default"/>
                <w:sz w:val="24"/>
                <w:szCs w:val="24"/>
                <w:vertAlign w:val="baseline"/>
                <w:lang w:val="en-US" w:eastAsia="zh-CN"/>
              </w:rPr>
            </w:pPr>
            <w:r>
              <w:rPr>
                <w:rFonts w:hint="eastAsia" w:ascii="宋体" w:hAnsi="宋体" w:eastAsia="宋体" w:cs="宋体"/>
                <w:sz w:val="24"/>
                <w:szCs w:val="24"/>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219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69DDB3C6">
            <w:pPr>
              <w:widowControl w:val="0"/>
              <w:jc w:val="center"/>
              <w:rPr>
                <w:rFonts w:hint="eastAsia"/>
                <w:sz w:val="24"/>
                <w:szCs w:val="24"/>
                <w:vertAlign w:val="baseline"/>
                <w:lang w:val="en-US" w:eastAsia="zh-CN"/>
              </w:rPr>
            </w:pPr>
          </w:p>
          <w:p w14:paraId="396B22C9">
            <w:pPr>
              <w:widowControl w:val="0"/>
              <w:jc w:val="center"/>
              <w:rPr>
                <w:rFonts w:hint="eastAsia"/>
                <w:sz w:val="24"/>
                <w:szCs w:val="24"/>
                <w:vertAlign w:val="baseline"/>
                <w:lang w:val="en-US" w:eastAsia="zh-CN"/>
              </w:rPr>
            </w:pPr>
          </w:p>
          <w:p w14:paraId="316D4790">
            <w:pPr>
              <w:widowControl w:val="0"/>
              <w:jc w:val="center"/>
              <w:rPr>
                <w:rFonts w:hint="eastAsia"/>
                <w:sz w:val="24"/>
                <w:szCs w:val="24"/>
                <w:vertAlign w:val="baseline"/>
                <w:lang w:val="en-US" w:eastAsia="zh-CN"/>
              </w:rPr>
            </w:pPr>
          </w:p>
          <w:p w14:paraId="1CA666A0">
            <w:pPr>
              <w:widowControl w:val="0"/>
              <w:jc w:val="center"/>
              <w:rPr>
                <w:rFonts w:hint="default"/>
                <w:sz w:val="24"/>
                <w:szCs w:val="24"/>
                <w:vertAlign w:val="baseline"/>
                <w:lang w:val="en-US" w:eastAsia="zh-CN"/>
              </w:rPr>
            </w:pPr>
            <w:r>
              <w:rPr>
                <w:rFonts w:hint="eastAsia"/>
                <w:sz w:val="24"/>
                <w:szCs w:val="24"/>
                <w:vertAlign w:val="baseline"/>
                <w:lang w:val="en-US" w:eastAsia="zh-CN"/>
              </w:rPr>
              <w:t>履约验收</w:t>
            </w:r>
          </w:p>
        </w:tc>
        <w:tc>
          <w:tcPr>
            <w:tcW w:w="2237" w:type="dxa"/>
          </w:tcPr>
          <w:p w14:paraId="52D12DD7">
            <w:pPr>
              <w:widowControl w:val="0"/>
              <w:ind w:firstLine="480" w:firstLineChars="200"/>
              <w:jc w:val="both"/>
              <w:rPr>
                <w:rFonts w:hint="default"/>
                <w:sz w:val="24"/>
                <w:szCs w:val="24"/>
                <w:vertAlign w:val="baseline"/>
                <w:lang w:val="en-US" w:eastAsia="zh-CN"/>
              </w:rPr>
            </w:pPr>
          </w:p>
          <w:p w14:paraId="3FF84757">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采购人应该在供应商提出验收申请之日起</w:t>
            </w:r>
            <w:r>
              <w:rPr>
                <w:rFonts w:hint="eastAsia"/>
                <w:sz w:val="24"/>
                <w:szCs w:val="24"/>
                <w:vertAlign w:val="baseline"/>
                <w:lang w:val="en-US" w:eastAsia="zh-CN"/>
              </w:rPr>
              <w:t>3</w:t>
            </w:r>
            <w:r>
              <w:rPr>
                <w:rFonts w:hint="default"/>
                <w:sz w:val="24"/>
                <w:szCs w:val="24"/>
                <w:vertAlign w:val="baseline"/>
                <w:lang w:val="en-US" w:eastAsia="zh-CN"/>
              </w:rPr>
              <w:t>个工作日内完成验收，验收完成之日起</w:t>
            </w:r>
            <w:r>
              <w:rPr>
                <w:rFonts w:hint="eastAsia"/>
                <w:sz w:val="24"/>
                <w:szCs w:val="24"/>
                <w:vertAlign w:val="baseline"/>
                <w:lang w:val="en-US" w:eastAsia="zh-CN"/>
              </w:rPr>
              <w:t>2</w:t>
            </w:r>
            <w:r>
              <w:rPr>
                <w:rFonts w:hint="default"/>
                <w:sz w:val="24"/>
                <w:szCs w:val="24"/>
                <w:vertAlign w:val="baseline"/>
                <w:lang w:val="en-US" w:eastAsia="zh-CN"/>
              </w:rPr>
              <w:t>个工作日内，合同履约验收公示。</w:t>
            </w:r>
          </w:p>
        </w:tc>
        <w:tc>
          <w:tcPr>
            <w:tcW w:w="6221" w:type="dxa"/>
          </w:tcPr>
          <w:p w14:paraId="3A965153">
            <w:pPr>
              <w:widowControl w:val="0"/>
              <w:ind w:firstLine="480" w:firstLineChars="200"/>
              <w:jc w:val="both"/>
              <w:rPr>
                <w:rFonts w:hint="default"/>
                <w:sz w:val="24"/>
                <w:szCs w:val="24"/>
                <w:vertAlign w:val="baseline"/>
                <w:lang w:val="en-US" w:eastAsia="zh-CN"/>
              </w:rPr>
            </w:pPr>
          </w:p>
          <w:p w14:paraId="5EB6F73D">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政府采购项目供应商履约完成后，应及时向采购人提出验收申请。验收合格的项目，采购人应在验收完成之日起</w:t>
            </w:r>
            <w:r>
              <w:rPr>
                <w:rFonts w:hint="eastAsia"/>
                <w:sz w:val="24"/>
                <w:szCs w:val="24"/>
                <w:vertAlign w:val="baseline"/>
                <w:lang w:val="en-US" w:eastAsia="zh-CN"/>
              </w:rPr>
              <w:t>2</w:t>
            </w:r>
            <w:r>
              <w:rPr>
                <w:rFonts w:hint="default"/>
                <w:sz w:val="24"/>
                <w:szCs w:val="24"/>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ACB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07226C05">
            <w:pPr>
              <w:widowControl w:val="0"/>
              <w:jc w:val="center"/>
              <w:rPr>
                <w:rFonts w:hint="eastAsia"/>
                <w:sz w:val="24"/>
                <w:szCs w:val="24"/>
                <w:vertAlign w:val="baseline"/>
                <w:lang w:val="en-US" w:eastAsia="zh-CN"/>
              </w:rPr>
            </w:pPr>
          </w:p>
          <w:p w14:paraId="07B3A56E">
            <w:pPr>
              <w:widowControl w:val="0"/>
              <w:jc w:val="center"/>
              <w:rPr>
                <w:rFonts w:hint="eastAsia"/>
                <w:sz w:val="24"/>
                <w:szCs w:val="24"/>
                <w:vertAlign w:val="baseline"/>
                <w:lang w:val="en-US" w:eastAsia="zh-CN"/>
              </w:rPr>
            </w:pPr>
          </w:p>
          <w:p w14:paraId="703F8C53">
            <w:pPr>
              <w:widowControl w:val="0"/>
              <w:jc w:val="center"/>
              <w:rPr>
                <w:rFonts w:hint="eastAsia"/>
                <w:sz w:val="24"/>
                <w:szCs w:val="24"/>
                <w:vertAlign w:val="baseline"/>
                <w:lang w:val="en-US" w:eastAsia="zh-CN"/>
              </w:rPr>
            </w:pPr>
          </w:p>
          <w:p w14:paraId="7DA6B8B5">
            <w:pPr>
              <w:widowControl w:val="0"/>
              <w:jc w:val="center"/>
              <w:rPr>
                <w:rFonts w:hint="default"/>
                <w:sz w:val="24"/>
                <w:szCs w:val="24"/>
                <w:vertAlign w:val="baseline"/>
                <w:lang w:val="en-US" w:eastAsia="zh-CN"/>
              </w:rPr>
            </w:pPr>
            <w:r>
              <w:rPr>
                <w:rFonts w:hint="eastAsia"/>
                <w:sz w:val="24"/>
                <w:szCs w:val="24"/>
                <w:vertAlign w:val="baseline"/>
                <w:lang w:val="en-US" w:eastAsia="zh-CN"/>
              </w:rPr>
              <w:t>资金支付</w:t>
            </w:r>
          </w:p>
        </w:tc>
        <w:tc>
          <w:tcPr>
            <w:tcW w:w="2237" w:type="dxa"/>
          </w:tcPr>
          <w:p w14:paraId="510E8EC0">
            <w:pPr>
              <w:widowControl w:val="0"/>
              <w:ind w:firstLine="480" w:firstLineChars="200"/>
              <w:jc w:val="both"/>
              <w:rPr>
                <w:rFonts w:hint="default"/>
                <w:sz w:val="24"/>
                <w:szCs w:val="24"/>
                <w:vertAlign w:val="baseline"/>
                <w:lang w:val="en-US" w:eastAsia="zh-CN"/>
              </w:rPr>
            </w:pPr>
          </w:p>
          <w:p w14:paraId="787DFB14">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验收合格具备付款条件的项目， 采购人应在</w:t>
            </w:r>
            <w:r>
              <w:rPr>
                <w:rFonts w:hint="eastAsia"/>
                <w:sz w:val="24"/>
                <w:szCs w:val="24"/>
                <w:vertAlign w:val="baseline"/>
                <w:lang w:val="en-US" w:eastAsia="zh-CN"/>
              </w:rPr>
              <w:t>3</w:t>
            </w:r>
            <w:r>
              <w:rPr>
                <w:rFonts w:hint="default"/>
                <w:sz w:val="24"/>
                <w:szCs w:val="24"/>
                <w:vertAlign w:val="baseline"/>
                <w:lang w:val="en-US" w:eastAsia="zh-CN"/>
              </w:rPr>
              <w:t>个工作日内将资金支付到采购合同约定的供应商账户。</w:t>
            </w:r>
          </w:p>
        </w:tc>
        <w:tc>
          <w:tcPr>
            <w:tcW w:w="6221" w:type="dxa"/>
          </w:tcPr>
          <w:p w14:paraId="19A88B5F">
            <w:pPr>
              <w:widowControl w:val="0"/>
              <w:ind w:firstLine="480" w:firstLineChars="200"/>
              <w:jc w:val="both"/>
              <w:rPr>
                <w:rFonts w:hint="eastAsia"/>
                <w:sz w:val="24"/>
                <w:szCs w:val="24"/>
                <w:vertAlign w:val="baseline"/>
                <w:lang w:val="en-US" w:eastAsia="zh-CN"/>
              </w:rPr>
            </w:pPr>
          </w:p>
          <w:p w14:paraId="4F0CE830">
            <w:pPr>
              <w:widowControl w:val="0"/>
              <w:ind w:firstLine="480" w:firstLineChars="200"/>
              <w:jc w:val="both"/>
              <w:rPr>
                <w:rFonts w:hint="default"/>
                <w:sz w:val="24"/>
                <w:szCs w:val="24"/>
                <w:vertAlign w:val="baseline"/>
                <w:lang w:val="en-US" w:eastAsia="zh-CN"/>
              </w:rPr>
            </w:pPr>
            <w:r>
              <w:rPr>
                <w:rFonts w:hint="eastAsia"/>
                <w:sz w:val="24"/>
                <w:szCs w:val="24"/>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72E570">
      <w:pPr>
        <w:pStyle w:val="22"/>
        <w:rPr>
          <w:rFonts w:hint="eastAsia" w:eastAsia="宋体"/>
          <w:lang w:eastAsia="zh-CN"/>
        </w:rPr>
      </w:pPr>
    </w:p>
    <w:p w14:paraId="644ECADA">
      <w:r>
        <w:br w:type="page"/>
      </w:r>
    </w:p>
    <w:p w14:paraId="570D3655">
      <w:pPr>
        <w:keepNext w:val="0"/>
        <w:keepLines w:val="0"/>
        <w:pageBreakBefore w:val="0"/>
        <w:wordWrap/>
        <w:overflowPunct/>
        <w:topLinePunct w:val="0"/>
        <w:autoSpaceDE w:val="0"/>
        <w:autoSpaceDN w:val="0"/>
        <w:bidi w:val="0"/>
        <w:spacing w:before="101" w:line="360" w:lineRule="auto"/>
        <w:ind w:left="3469"/>
        <w:outlineLvl w:val="0"/>
        <w:rPr>
          <w:rFonts w:ascii="宋体" w:hAnsi="宋体" w:eastAsia="宋体" w:cs="宋体"/>
          <w:b/>
          <w:bCs/>
          <w:sz w:val="31"/>
          <w:szCs w:val="31"/>
        </w:rPr>
      </w:pPr>
      <w:bookmarkStart w:id="53" w:name="_Toc30608"/>
      <w:r>
        <w:rPr>
          <w:rFonts w:ascii="宋体" w:hAnsi="宋体" w:eastAsia="宋体" w:cs="宋体"/>
          <w:b/>
          <w:bCs/>
          <w:spacing w:val="15"/>
          <w:sz w:val="31"/>
          <w:szCs w:val="31"/>
        </w:rPr>
        <w:t>第</w:t>
      </w:r>
      <w:r>
        <w:rPr>
          <w:rFonts w:hint="eastAsia" w:ascii="宋体" w:hAnsi="宋体" w:eastAsia="宋体" w:cs="宋体"/>
          <w:b/>
          <w:bCs/>
          <w:spacing w:val="8"/>
          <w:sz w:val="31"/>
          <w:szCs w:val="31"/>
          <w:lang w:val="en-US" w:eastAsia="zh-CN"/>
        </w:rPr>
        <w:t>六</w:t>
      </w:r>
      <w:r>
        <w:rPr>
          <w:rFonts w:ascii="宋体" w:hAnsi="宋体" w:eastAsia="宋体" w:cs="宋体"/>
          <w:b/>
          <w:bCs/>
          <w:spacing w:val="8"/>
          <w:sz w:val="31"/>
          <w:szCs w:val="31"/>
        </w:rPr>
        <w:t>部分</w:t>
      </w:r>
      <w:r>
        <w:rPr>
          <w:rFonts w:hint="eastAsia" w:ascii="宋体" w:hAnsi="宋体" w:eastAsia="宋体" w:cs="宋体"/>
          <w:b/>
          <w:bCs/>
          <w:spacing w:val="8"/>
          <w:sz w:val="31"/>
          <w:szCs w:val="31"/>
          <w:lang w:val="en-US" w:eastAsia="zh-CN"/>
        </w:rPr>
        <w:t xml:space="preserve"> </w:t>
      </w:r>
      <w:r>
        <w:rPr>
          <w:rFonts w:ascii="宋体" w:hAnsi="宋体" w:eastAsia="宋体" w:cs="宋体"/>
          <w:b/>
          <w:bCs/>
          <w:spacing w:val="8"/>
          <w:sz w:val="31"/>
          <w:szCs w:val="31"/>
        </w:rPr>
        <w:t>合同格式</w:t>
      </w:r>
      <w:bookmarkEnd w:id="53"/>
    </w:p>
    <w:p w14:paraId="36B1B162">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center"/>
        <w:textAlignment w:val="auto"/>
        <w:rPr>
          <w:rFonts w:hint="eastAsia"/>
          <w:b/>
          <w:sz w:val="32"/>
          <w:szCs w:val="32"/>
        </w:rPr>
      </w:pPr>
      <w:r>
        <w:rPr>
          <w:rFonts w:hint="eastAsia"/>
          <w:b/>
          <w:sz w:val="32"/>
          <w:szCs w:val="32"/>
        </w:rPr>
        <w:t>（仅供参考 以签订正式合同时为准）</w:t>
      </w:r>
    </w:p>
    <w:p w14:paraId="1E276547">
      <w:pPr>
        <w:widowControl w:val="0"/>
        <w:kinsoku/>
        <w:adjustRightInd/>
        <w:snapToGrid/>
        <w:spacing w:line="360" w:lineRule="auto"/>
        <w:ind w:firstLine="480" w:firstLineChars="200"/>
        <w:jc w:val="both"/>
        <w:textAlignment w:val="auto"/>
        <w:rPr>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14:paraId="2BD027C3">
      <w:pPr>
        <w:widowControl w:val="0"/>
        <w:kinsoku/>
        <w:adjustRightInd/>
        <w:snapToGrid/>
        <w:spacing w:line="360" w:lineRule="auto"/>
        <w:ind w:firstLine="480" w:firstLineChars="200"/>
        <w:jc w:val="both"/>
        <w:textAlignment w:val="auto"/>
        <w:rPr>
          <w:sz w:val="24"/>
        </w:rPr>
      </w:pPr>
      <w:bookmarkStart w:id="54" w:name="_Toc22466_WPSOffice_Level2"/>
      <w:r>
        <w:rPr>
          <w:rFonts w:hint="eastAsia"/>
          <w:sz w:val="24"/>
        </w:rPr>
        <w:t>合同文件</w:t>
      </w:r>
      <w:bookmarkEnd w:id="54"/>
    </w:p>
    <w:p w14:paraId="180ED1A2">
      <w:pPr>
        <w:widowControl w:val="0"/>
        <w:kinsoku/>
        <w:adjustRightInd/>
        <w:snapToGrid/>
        <w:spacing w:line="360" w:lineRule="auto"/>
        <w:ind w:firstLine="480" w:firstLineChars="200"/>
        <w:jc w:val="both"/>
        <w:textAlignment w:val="auto"/>
        <w:rPr>
          <w:sz w:val="24"/>
        </w:rPr>
      </w:pPr>
      <w:bookmarkStart w:id="55" w:name="_Toc25689"/>
      <w:bookmarkStart w:id="56" w:name="_Toc20611"/>
      <w:r>
        <w:rPr>
          <w:rFonts w:hint="eastAsia"/>
          <w:sz w:val="24"/>
        </w:rPr>
        <w:t>本合同所附下列文件是构成本合同不可分割的部分：</w:t>
      </w:r>
      <w:bookmarkEnd w:id="55"/>
      <w:bookmarkEnd w:id="56"/>
    </w:p>
    <w:p w14:paraId="55D213EF">
      <w:pPr>
        <w:widowControl w:val="0"/>
        <w:kinsoku/>
        <w:adjustRightInd/>
        <w:snapToGrid/>
        <w:spacing w:line="360" w:lineRule="auto"/>
        <w:ind w:firstLine="480" w:firstLineChars="200"/>
        <w:jc w:val="both"/>
        <w:textAlignment w:val="auto"/>
        <w:rPr>
          <w:sz w:val="24"/>
        </w:rPr>
      </w:pPr>
      <w:bookmarkStart w:id="57" w:name="_Toc25255"/>
      <w:bookmarkStart w:id="58" w:name="_Toc12304"/>
      <w:r>
        <w:rPr>
          <w:rFonts w:hint="eastAsia"/>
          <w:sz w:val="24"/>
        </w:rPr>
        <w:t>（一）本项目招标文件</w:t>
      </w:r>
      <w:bookmarkEnd w:id="57"/>
      <w:bookmarkEnd w:id="58"/>
    </w:p>
    <w:p w14:paraId="22D5D535">
      <w:pPr>
        <w:widowControl w:val="0"/>
        <w:kinsoku/>
        <w:adjustRightInd/>
        <w:snapToGrid/>
        <w:spacing w:line="360" w:lineRule="auto"/>
        <w:ind w:firstLine="480" w:firstLineChars="200"/>
        <w:jc w:val="both"/>
        <w:textAlignment w:val="auto"/>
        <w:rPr>
          <w:sz w:val="24"/>
        </w:rPr>
      </w:pPr>
      <w:bookmarkStart w:id="59" w:name="_Toc3310"/>
      <w:bookmarkStart w:id="60" w:name="_Toc8524"/>
      <w:r>
        <w:rPr>
          <w:rFonts w:hint="eastAsia"/>
          <w:sz w:val="24"/>
        </w:rPr>
        <w:t>（二）供应商的投标文件</w:t>
      </w:r>
      <w:bookmarkEnd w:id="59"/>
      <w:bookmarkEnd w:id="60"/>
    </w:p>
    <w:p w14:paraId="4A08B557">
      <w:pPr>
        <w:widowControl w:val="0"/>
        <w:kinsoku/>
        <w:adjustRightInd/>
        <w:snapToGrid/>
        <w:spacing w:line="360" w:lineRule="auto"/>
        <w:ind w:firstLine="480" w:firstLineChars="200"/>
        <w:jc w:val="both"/>
        <w:textAlignment w:val="auto"/>
        <w:rPr>
          <w:sz w:val="24"/>
        </w:rPr>
      </w:pPr>
      <w:bookmarkStart w:id="61" w:name="_Toc13552"/>
      <w:bookmarkStart w:id="62" w:name="_Toc11043"/>
      <w:r>
        <w:rPr>
          <w:rFonts w:hint="eastAsia"/>
          <w:sz w:val="24"/>
        </w:rPr>
        <w:t>（三）合同格式、合同条款</w:t>
      </w:r>
      <w:bookmarkEnd w:id="61"/>
      <w:bookmarkEnd w:id="62"/>
    </w:p>
    <w:p w14:paraId="34BD882A">
      <w:pPr>
        <w:widowControl w:val="0"/>
        <w:kinsoku/>
        <w:adjustRightInd/>
        <w:snapToGrid/>
        <w:spacing w:line="360" w:lineRule="auto"/>
        <w:ind w:firstLine="480" w:firstLineChars="200"/>
        <w:jc w:val="both"/>
        <w:textAlignment w:val="auto"/>
        <w:rPr>
          <w:sz w:val="24"/>
        </w:rPr>
      </w:pPr>
      <w:bookmarkStart w:id="63" w:name="_Toc3434"/>
      <w:bookmarkStart w:id="64" w:name="_Toc17684"/>
      <w:r>
        <w:rPr>
          <w:rFonts w:hint="eastAsia"/>
          <w:sz w:val="24"/>
        </w:rPr>
        <w:t>（四）中标人在评标过程中做出的有关澄清、说明或者补正文件</w:t>
      </w:r>
      <w:bookmarkEnd w:id="63"/>
      <w:bookmarkEnd w:id="64"/>
    </w:p>
    <w:p w14:paraId="32DE6ACD">
      <w:pPr>
        <w:widowControl w:val="0"/>
        <w:kinsoku/>
        <w:adjustRightInd/>
        <w:snapToGrid/>
        <w:spacing w:line="360" w:lineRule="auto"/>
        <w:ind w:firstLine="480" w:firstLineChars="200"/>
        <w:jc w:val="both"/>
        <w:textAlignment w:val="auto"/>
        <w:rPr>
          <w:sz w:val="24"/>
        </w:rPr>
      </w:pPr>
      <w:bookmarkStart w:id="65" w:name="_Toc17949"/>
      <w:bookmarkStart w:id="66" w:name="_Toc24029"/>
      <w:r>
        <w:rPr>
          <w:rFonts w:hint="eastAsia"/>
          <w:sz w:val="24"/>
        </w:rPr>
        <w:t>（五）</w:t>
      </w:r>
      <w:r>
        <w:rPr>
          <w:rFonts w:hint="eastAsia" w:ascii="宋体" w:hAnsi="宋体" w:eastAsia="宋体" w:cs="宋体"/>
          <w:sz w:val="24"/>
          <w:szCs w:val="24"/>
        </w:rPr>
        <w:t>中标</w:t>
      </w:r>
      <w:r>
        <w:rPr>
          <w:rFonts w:hint="eastAsia"/>
          <w:sz w:val="24"/>
        </w:rPr>
        <w:t>通知书</w:t>
      </w:r>
      <w:bookmarkEnd w:id="65"/>
      <w:bookmarkEnd w:id="66"/>
    </w:p>
    <w:p w14:paraId="436E5F2F">
      <w:pPr>
        <w:widowControl w:val="0"/>
        <w:kinsoku/>
        <w:adjustRightInd/>
        <w:snapToGrid/>
        <w:spacing w:line="360" w:lineRule="auto"/>
        <w:ind w:firstLine="480" w:firstLineChars="200"/>
        <w:jc w:val="both"/>
        <w:textAlignment w:val="auto"/>
        <w:rPr>
          <w:sz w:val="24"/>
        </w:rPr>
      </w:pPr>
      <w:bookmarkStart w:id="67" w:name="_Toc4313"/>
      <w:bookmarkStart w:id="68" w:name="_Toc25248"/>
      <w:r>
        <w:rPr>
          <w:rFonts w:hint="eastAsia"/>
          <w:sz w:val="24"/>
        </w:rPr>
        <w:t>（六）本合同附件</w:t>
      </w:r>
      <w:bookmarkEnd w:id="67"/>
      <w:bookmarkEnd w:id="68"/>
    </w:p>
    <w:p w14:paraId="2C332892">
      <w:pPr>
        <w:widowControl w:val="0"/>
        <w:kinsoku/>
        <w:adjustRightInd/>
        <w:snapToGrid/>
        <w:spacing w:line="360" w:lineRule="auto"/>
        <w:ind w:firstLine="480" w:firstLineChars="200"/>
        <w:jc w:val="both"/>
        <w:textAlignment w:val="auto"/>
        <w:rPr>
          <w:sz w:val="24"/>
        </w:rPr>
      </w:pPr>
      <w:bookmarkStart w:id="69" w:name="_Toc13630_WPSOffice_Level2"/>
      <w:bookmarkStart w:id="70" w:name="_Toc24717"/>
      <w:bookmarkStart w:id="71" w:name="_Toc7727"/>
      <w:r>
        <w:rPr>
          <w:rFonts w:hint="eastAsia"/>
          <w:sz w:val="24"/>
        </w:rPr>
        <w:t>二、合同的范围和条件</w:t>
      </w:r>
      <w:bookmarkEnd w:id="69"/>
      <w:bookmarkEnd w:id="70"/>
      <w:bookmarkEnd w:id="71"/>
    </w:p>
    <w:p w14:paraId="3701887C">
      <w:pPr>
        <w:widowControl w:val="0"/>
        <w:kinsoku/>
        <w:adjustRightInd/>
        <w:snapToGrid/>
        <w:spacing w:line="360" w:lineRule="auto"/>
        <w:ind w:firstLine="480" w:firstLineChars="200"/>
        <w:jc w:val="both"/>
        <w:textAlignment w:val="auto"/>
        <w:rPr>
          <w:sz w:val="24"/>
        </w:rPr>
      </w:pPr>
      <w:r>
        <w:rPr>
          <w:rFonts w:hint="eastAsia"/>
          <w:sz w:val="24"/>
        </w:rPr>
        <w:t>本合同的范围和条件应与上述合同文件的规定相一致。</w:t>
      </w:r>
    </w:p>
    <w:p w14:paraId="7D57ED3F">
      <w:pPr>
        <w:widowControl w:val="0"/>
        <w:kinsoku/>
        <w:adjustRightInd/>
        <w:snapToGrid/>
        <w:spacing w:line="360" w:lineRule="auto"/>
        <w:ind w:firstLine="480" w:firstLineChars="200"/>
        <w:jc w:val="both"/>
        <w:textAlignment w:val="auto"/>
        <w:rPr>
          <w:sz w:val="24"/>
        </w:rPr>
      </w:pPr>
      <w:bookmarkStart w:id="72" w:name="_Toc21864"/>
      <w:bookmarkStart w:id="73" w:name="_Toc18794"/>
      <w:bookmarkStart w:id="74" w:name="_Toc15521_WPSOffice_Level2"/>
      <w:r>
        <w:rPr>
          <w:rFonts w:hint="eastAsia"/>
          <w:sz w:val="24"/>
        </w:rPr>
        <w:t>三、合同金额</w:t>
      </w:r>
      <w:bookmarkEnd w:id="72"/>
      <w:bookmarkEnd w:id="73"/>
      <w:bookmarkEnd w:id="74"/>
    </w:p>
    <w:p w14:paraId="44803A6A">
      <w:pPr>
        <w:widowControl w:val="0"/>
        <w:kinsoku/>
        <w:adjustRightInd/>
        <w:snapToGrid/>
        <w:spacing w:line="360" w:lineRule="auto"/>
        <w:ind w:firstLine="480" w:firstLineChars="200"/>
        <w:jc w:val="both"/>
        <w:textAlignment w:val="auto"/>
        <w:rPr>
          <w:sz w:val="24"/>
        </w:rPr>
      </w:pPr>
      <w:bookmarkStart w:id="75" w:name="_Toc15284"/>
      <w:bookmarkStart w:id="76" w:name="_Toc12265"/>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75"/>
      <w:bookmarkEnd w:id="76"/>
    </w:p>
    <w:p w14:paraId="264E23DB">
      <w:pPr>
        <w:widowControl w:val="0"/>
        <w:kinsoku/>
        <w:adjustRightInd/>
        <w:snapToGrid/>
        <w:spacing w:line="360" w:lineRule="auto"/>
        <w:ind w:firstLine="480" w:firstLineChars="200"/>
        <w:jc w:val="both"/>
        <w:textAlignment w:val="auto"/>
        <w:rPr>
          <w:sz w:val="24"/>
        </w:rPr>
      </w:pPr>
      <w:bookmarkStart w:id="77" w:name="_Toc26017_WPSOffice_Level2"/>
      <w:r>
        <w:rPr>
          <w:rFonts w:hint="eastAsia"/>
          <w:sz w:val="24"/>
        </w:rPr>
        <w:t>质量要求：</w:t>
      </w:r>
      <w:bookmarkEnd w:id="77"/>
    </w:p>
    <w:p w14:paraId="7760D8FA">
      <w:pPr>
        <w:widowControl w:val="0"/>
        <w:kinsoku/>
        <w:adjustRightInd/>
        <w:snapToGrid/>
        <w:spacing w:line="360" w:lineRule="auto"/>
        <w:ind w:firstLine="480" w:firstLineChars="200"/>
        <w:jc w:val="both"/>
        <w:textAlignment w:val="auto"/>
        <w:rPr>
          <w:sz w:val="24"/>
        </w:rPr>
      </w:pPr>
      <w:bookmarkStart w:id="78" w:name="_Toc4377_WPSOffice_Level2"/>
      <w:r>
        <w:rPr>
          <w:rFonts w:hint="eastAsia"/>
          <w:sz w:val="24"/>
        </w:rPr>
        <w:t>付款方式</w:t>
      </w:r>
      <w:bookmarkEnd w:id="78"/>
    </w:p>
    <w:p w14:paraId="0C684CA0">
      <w:pPr>
        <w:widowControl w:val="0"/>
        <w:kinsoku/>
        <w:adjustRightInd/>
        <w:snapToGrid/>
        <w:spacing w:line="360" w:lineRule="auto"/>
        <w:ind w:firstLine="480" w:firstLineChars="200"/>
        <w:jc w:val="both"/>
        <w:textAlignment w:val="auto"/>
        <w:rPr>
          <w:sz w:val="24"/>
        </w:rPr>
      </w:pPr>
      <w:r>
        <w:rPr>
          <w:rFonts w:hint="eastAsia"/>
          <w:sz w:val="24"/>
        </w:rPr>
        <w:t>付款方式：</w:t>
      </w:r>
    </w:p>
    <w:p w14:paraId="56C19CD2">
      <w:pPr>
        <w:widowControl w:val="0"/>
        <w:kinsoku/>
        <w:adjustRightInd/>
        <w:snapToGrid/>
        <w:spacing w:line="360" w:lineRule="auto"/>
        <w:ind w:firstLine="480" w:firstLineChars="200"/>
        <w:jc w:val="both"/>
        <w:textAlignment w:val="auto"/>
        <w:rPr>
          <w:sz w:val="24"/>
        </w:rPr>
      </w:pPr>
      <w:bookmarkStart w:id="79" w:name="_Toc12155_WPSOffice_Level2"/>
      <w:r>
        <w:rPr>
          <w:rFonts w:hint="eastAsia"/>
          <w:sz w:val="24"/>
        </w:rPr>
        <w:t>服务日期、地点</w:t>
      </w:r>
      <w:bookmarkEnd w:id="79"/>
    </w:p>
    <w:p w14:paraId="4E6217D5">
      <w:pPr>
        <w:widowControl w:val="0"/>
        <w:kinsoku/>
        <w:adjustRightInd/>
        <w:snapToGrid/>
        <w:spacing w:line="360" w:lineRule="auto"/>
        <w:ind w:firstLine="480" w:firstLineChars="200"/>
        <w:jc w:val="both"/>
        <w:textAlignment w:val="auto"/>
        <w:rPr>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14:paraId="2EC3651B">
      <w:pPr>
        <w:widowControl w:val="0"/>
        <w:kinsoku/>
        <w:adjustRightInd/>
        <w:snapToGrid/>
        <w:spacing w:line="360" w:lineRule="auto"/>
        <w:ind w:firstLine="480" w:firstLineChars="200"/>
        <w:jc w:val="both"/>
        <w:textAlignment w:val="auto"/>
        <w:rPr>
          <w:sz w:val="24"/>
        </w:rPr>
      </w:pPr>
      <w:r>
        <w:rPr>
          <w:rFonts w:hint="eastAsia"/>
          <w:sz w:val="24"/>
        </w:rPr>
        <w:t>地点：甲方指定地点。</w:t>
      </w:r>
    </w:p>
    <w:p w14:paraId="3E1A37FB">
      <w:pPr>
        <w:widowControl w:val="0"/>
        <w:kinsoku/>
        <w:adjustRightInd/>
        <w:snapToGrid/>
        <w:spacing w:line="360" w:lineRule="auto"/>
        <w:ind w:firstLine="480" w:firstLineChars="200"/>
        <w:jc w:val="both"/>
        <w:textAlignment w:val="auto"/>
        <w:rPr>
          <w:sz w:val="24"/>
        </w:rPr>
      </w:pPr>
      <w:bookmarkStart w:id="80" w:name="_Toc30055_WPSOffice_Level2"/>
      <w:r>
        <w:rPr>
          <w:rFonts w:hint="eastAsia"/>
          <w:sz w:val="24"/>
        </w:rPr>
        <w:t>合同保存</w:t>
      </w:r>
      <w:bookmarkEnd w:id="80"/>
    </w:p>
    <w:p w14:paraId="6D421C6C">
      <w:pPr>
        <w:widowControl w:val="0"/>
        <w:kinsoku/>
        <w:adjustRightInd/>
        <w:snapToGrid/>
        <w:spacing w:line="360" w:lineRule="auto"/>
        <w:ind w:firstLine="480" w:firstLineChars="200"/>
        <w:jc w:val="both"/>
        <w:textAlignment w:val="auto"/>
        <w:rPr>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14:paraId="5201130F">
      <w:pPr>
        <w:widowControl w:val="0"/>
        <w:kinsoku/>
        <w:adjustRightInd/>
        <w:snapToGrid/>
        <w:spacing w:line="360" w:lineRule="auto"/>
        <w:ind w:firstLine="480" w:firstLineChars="200"/>
        <w:jc w:val="both"/>
        <w:textAlignment w:val="auto"/>
        <w:rPr>
          <w:sz w:val="24"/>
        </w:rPr>
      </w:pPr>
      <w:bookmarkStart w:id="81" w:name="_Toc30238_WPSOffice_Level2"/>
      <w:r>
        <w:rPr>
          <w:rFonts w:hint="eastAsia"/>
          <w:sz w:val="24"/>
        </w:rPr>
        <w:t>违约条款</w:t>
      </w:r>
      <w:bookmarkEnd w:id="81"/>
    </w:p>
    <w:p w14:paraId="1BEFAADE">
      <w:pPr>
        <w:widowControl w:val="0"/>
        <w:kinsoku/>
        <w:adjustRightInd/>
        <w:snapToGrid/>
        <w:spacing w:line="360" w:lineRule="auto"/>
        <w:ind w:firstLine="480" w:firstLineChars="200"/>
        <w:jc w:val="both"/>
        <w:textAlignment w:val="auto"/>
        <w:rPr>
          <w:sz w:val="24"/>
        </w:rPr>
      </w:pPr>
      <w:r>
        <w:rPr>
          <w:rFonts w:hint="eastAsia"/>
          <w:sz w:val="24"/>
        </w:rPr>
        <w:t>（1）合同一方违约，违约方向对方支付违约金，违约金额为中标金额的 10%。乙方违约， 直接从进度款或履约保金中扣除；甲方违约，从合同款项中扣除。</w:t>
      </w:r>
    </w:p>
    <w:p w14:paraId="1BE1715B">
      <w:pPr>
        <w:widowControl w:val="0"/>
        <w:kinsoku/>
        <w:adjustRightInd/>
        <w:snapToGrid/>
        <w:spacing w:line="360" w:lineRule="auto"/>
        <w:ind w:firstLine="480" w:firstLineChars="200"/>
        <w:jc w:val="both"/>
        <w:textAlignment w:val="auto"/>
        <w:rPr>
          <w:sz w:val="24"/>
        </w:rPr>
      </w:pPr>
      <w:bookmarkStart w:id="82" w:name="_Toc1630"/>
      <w:bookmarkStart w:id="83" w:name="_Toc8155"/>
      <w:r>
        <w:rPr>
          <w:rFonts w:hint="eastAsia"/>
          <w:sz w:val="24"/>
        </w:rPr>
        <w:t>（2）乙方给用户造成的实际损失高于违约金的，乙方应给用户对高出违约金的部分予以赔偿。</w:t>
      </w:r>
      <w:bookmarkEnd w:id="82"/>
      <w:bookmarkEnd w:id="83"/>
    </w:p>
    <w:p w14:paraId="6D2361D9">
      <w:pPr>
        <w:widowControl w:val="0"/>
        <w:kinsoku/>
        <w:adjustRightInd/>
        <w:snapToGrid/>
        <w:spacing w:line="360" w:lineRule="auto"/>
        <w:ind w:firstLine="480" w:firstLineChars="200"/>
        <w:jc w:val="both"/>
        <w:textAlignment w:val="auto"/>
        <w:rPr>
          <w:sz w:val="24"/>
        </w:rPr>
      </w:pPr>
      <w:bookmarkStart w:id="84" w:name="_Toc23941"/>
      <w:bookmarkStart w:id="85" w:name="_Toc15751"/>
      <w:r>
        <w:rPr>
          <w:rFonts w:hint="eastAsia"/>
          <w:sz w:val="24"/>
        </w:rPr>
        <w:t>（3）乙方迟延履行合同、不完全履行合同或提供的服务不符合招标文件的要求，除支付违约金外，仍应实际履行合同或重新提供符合要求的服务。</w:t>
      </w:r>
      <w:bookmarkEnd w:id="84"/>
      <w:bookmarkEnd w:id="85"/>
    </w:p>
    <w:p w14:paraId="5DE25DBC">
      <w:pPr>
        <w:widowControl w:val="0"/>
        <w:kinsoku/>
        <w:adjustRightInd/>
        <w:snapToGrid/>
        <w:spacing w:line="360" w:lineRule="auto"/>
        <w:ind w:firstLine="480" w:firstLineChars="200"/>
        <w:jc w:val="both"/>
        <w:textAlignment w:val="auto"/>
        <w:rPr>
          <w:sz w:val="24"/>
        </w:rPr>
      </w:pPr>
      <w:bookmarkStart w:id="86" w:name="_Toc25387"/>
      <w:bookmarkStart w:id="87" w:name="_Toc21648"/>
      <w:r>
        <w:rPr>
          <w:rFonts w:hint="eastAsia"/>
          <w:sz w:val="24"/>
        </w:rPr>
        <w:t>（4）由于乙方原因造成的延期，每延期一天，需支付甲方损失为合同总价款的 1‰。</w:t>
      </w:r>
      <w:bookmarkEnd w:id="86"/>
      <w:bookmarkEnd w:id="87"/>
    </w:p>
    <w:p w14:paraId="26E87CBF">
      <w:pPr>
        <w:widowControl w:val="0"/>
        <w:kinsoku/>
        <w:adjustRightInd/>
        <w:snapToGrid/>
        <w:spacing w:line="360" w:lineRule="auto"/>
        <w:ind w:firstLine="480" w:firstLineChars="200"/>
        <w:jc w:val="both"/>
        <w:textAlignment w:val="auto"/>
        <w:rPr>
          <w:sz w:val="24"/>
        </w:rPr>
      </w:pPr>
      <w:bookmarkStart w:id="88" w:name="_Toc5115"/>
      <w:bookmarkStart w:id="89" w:name="_Toc8408"/>
      <w:r>
        <w:rPr>
          <w:rFonts w:hint="eastAsia"/>
          <w:sz w:val="24"/>
        </w:rPr>
        <w:t>（5）甲方和乙方若需签订补充协议，补充协议与该合同具有同等法律效力。</w:t>
      </w:r>
      <w:bookmarkEnd w:id="88"/>
      <w:bookmarkEnd w:id="89"/>
    </w:p>
    <w:p w14:paraId="161FD992">
      <w:pPr>
        <w:widowControl w:val="0"/>
        <w:kinsoku/>
        <w:adjustRightInd/>
        <w:snapToGrid/>
        <w:spacing w:line="360" w:lineRule="auto"/>
        <w:ind w:firstLine="480" w:firstLineChars="200"/>
        <w:jc w:val="both"/>
        <w:textAlignment w:val="auto"/>
        <w:rPr>
          <w:sz w:val="24"/>
        </w:rPr>
      </w:pPr>
      <w:bookmarkStart w:id="90" w:name="_Toc2579"/>
      <w:bookmarkStart w:id="91" w:name="_Toc27685"/>
      <w:r>
        <w:rPr>
          <w:rFonts w:hint="eastAsia"/>
          <w:sz w:val="24"/>
        </w:rPr>
        <w:t>（6）其它未尽事宜，以《中华人民共和国</w:t>
      </w:r>
      <w:r>
        <w:rPr>
          <w:rFonts w:hint="eastAsia" w:eastAsia="宋体"/>
          <w:sz w:val="24"/>
          <w:lang w:val="en-US" w:eastAsia="zh-CN"/>
        </w:rPr>
        <w:t>民法典</w:t>
      </w:r>
      <w:r>
        <w:rPr>
          <w:rFonts w:hint="eastAsia"/>
          <w:sz w:val="24"/>
        </w:rPr>
        <w:t>》规定为准。 九、合同生效及其它</w:t>
      </w:r>
      <w:bookmarkEnd w:id="90"/>
      <w:bookmarkEnd w:id="91"/>
    </w:p>
    <w:p w14:paraId="49C59D88">
      <w:pPr>
        <w:widowControl w:val="0"/>
        <w:kinsoku/>
        <w:adjustRightInd/>
        <w:snapToGrid/>
        <w:spacing w:line="360" w:lineRule="auto"/>
        <w:ind w:firstLine="480" w:firstLineChars="200"/>
        <w:jc w:val="both"/>
        <w:textAlignment w:val="auto"/>
        <w:rPr>
          <w:sz w:val="24"/>
        </w:rPr>
      </w:pPr>
      <w:bookmarkStart w:id="92" w:name="_Toc1264"/>
      <w:bookmarkStart w:id="93" w:name="_Toc2782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92"/>
      <w:bookmarkEnd w:id="93"/>
    </w:p>
    <w:p w14:paraId="2C12D85B">
      <w:pPr>
        <w:widowControl w:val="0"/>
        <w:kinsoku/>
        <w:adjustRightInd/>
        <w:snapToGrid/>
        <w:spacing w:line="360" w:lineRule="auto"/>
        <w:ind w:firstLine="480" w:firstLineChars="200"/>
        <w:jc w:val="both"/>
        <w:textAlignment w:val="auto"/>
        <w:rPr>
          <w:sz w:val="24"/>
        </w:rPr>
      </w:pPr>
      <w:bookmarkStart w:id="94" w:name="_Toc20058"/>
      <w:bookmarkStart w:id="95" w:name="_Toc1367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94"/>
      <w:bookmarkEnd w:id="95"/>
    </w:p>
    <w:p w14:paraId="165EB0EC">
      <w:pPr>
        <w:spacing w:line="360" w:lineRule="auto"/>
        <w:jc w:val="both"/>
        <w:outlineLvl w:val="9"/>
        <w:rPr>
          <w:sz w:val="24"/>
        </w:rPr>
      </w:pPr>
    </w:p>
    <w:p w14:paraId="0FBEA695">
      <w:pPr>
        <w:widowControl w:val="0"/>
        <w:kinsoku/>
        <w:adjustRightInd/>
        <w:snapToGrid/>
        <w:spacing w:line="360" w:lineRule="auto"/>
        <w:jc w:val="both"/>
        <w:textAlignment w:val="auto"/>
        <w:rPr>
          <w:sz w:val="24"/>
        </w:rPr>
      </w:pPr>
      <w:bookmarkStart w:id="96" w:name="_Toc20805_WPSOffice_Level2"/>
      <w:bookmarkStart w:id="97" w:name="_Toc16421_WPSOffice_Level2"/>
      <w:bookmarkStart w:id="98" w:name="_Toc4045"/>
      <w:bookmarkStart w:id="99" w:name="_Toc3081_WPSOffice_Level2"/>
      <w:bookmarkStart w:id="100" w:name="_Toc7032_WPSOffice_Level1"/>
      <w:bookmarkStart w:id="101" w:name="_Toc13056_WPSOffice_Level2"/>
      <w:bookmarkStart w:id="102" w:name="_Toc26378"/>
      <w:bookmarkStart w:id="103" w:name="_Toc10619_WPSOffice_Level2"/>
      <w:bookmarkStart w:id="104" w:name="_Toc29610_WPSOffice_Level2"/>
      <w:r>
        <w:rPr>
          <w:rFonts w:hint="eastAsia"/>
          <w:sz w:val="24"/>
        </w:rPr>
        <w:t>甲</w:t>
      </w:r>
      <w:r>
        <w:rPr>
          <w:rFonts w:hint="eastAsia"/>
          <w:sz w:val="24"/>
        </w:rPr>
        <w:tab/>
      </w:r>
      <w:r>
        <w:rPr>
          <w:rFonts w:hint="eastAsia"/>
          <w:sz w:val="24"/>
        </w:rPr>
        <w:t>方（公章）：</w:t>
      </w:r>
      <w:r>
        <w:rPr>
          <w:rFonts w:hint="eastAsia"/>
          <w:sz w:val="24"/>
        </w:rPr>
        <w:tab/>
      </w:r>
      <w:r>
        <w:rPr>
          <w:rFonts w:hint="eastAsia" w:eastAsia="宋体"/>
          <w:sz w:val="24"/>
          <w:lang w:val="en-US" w:eastAsia="zh-CN"/>
        </w:rPr>
        <w:t xml:space="preserve">                                   </w:t>
      </w:r>
      <w:r>
        <w:rPr>
          <w:rFonts w:hint="eastAsia"/>
          <w:sz w:val="24"/>
        </w:rPr>
        <w:t>乙</w:t>
      </w:r>
      <w:r>
        <w:rPr>
          <w:rFonts w:hint="eastAsia"/>
          <w:sz w:val="24"/>
        </w:rPr>
        <w:tab/>
      </w:r>
      <w:r>
        <w:rPr>
          <w:rFonts w:hint="eastAsia"/>
          <w:sz w:val="24"/>
        </w:rPr>
        <w:t>方（公章）：</w:t>
      </w:r>
      <w:bookmarkEnd w:id="96"/>
      <w:bookmarkEnd w:id="97"/>
      <w:bookmarkEnd w:id="98"/>
      <w:bookmarkEnd w:id="99"/>
      <w:bookmarkEnd w:id="100"/>
      <w:bookmarkEnd w:id="101"/>
      <w:bookmarkEnd w:id="102"/>
      <w:bookmarkEnd w:id="103"/>
      <w:bookmarkEnd w:id="104"/>
    </w:p>
    <w:p w14:paraId="24CC39CC">
      <w:pPr>
        <w:widowControl w:val="0"/>
        <w:kinsoku/>
        <w:adjustRightInd/>
        <w:snapToGrid/>
        <w:spacing w:line="360" w:lineRule="auto"/>
        <w:jc w:val="both"/>
        <w:textAlignment w:val="auto"/>
        <w:rPr>
          <w:sz w:val="24"/>
        </w:rPr>
      </w:pPr>
      <w:bookmarkStart w:id="105" w:name="_Toc11748"/>
      <w:bookmarkStart w:id="106" w:name="_Toc20300"/>
      <w:r>
        <w:rPr>
          <w:rFonts w:hint="eastAsia"/>
          <w:sz w:val="24"/>
        </w:rPr>
        <w:t>法定代表人或授权代理人：（签字）</w:t>
      </w:r>
      <w:r>
        <w:rPr>
          <w:rFonts w:hint="eastAsia"/>
          <w:sz w:val="24"/>
        </w:rPr>
        <w:tab/>
      </w:r>
      <w:r>
        <w:rPr>
          <w:rFonts w:hint="eastAsia" w:eastAsia="宋体"/>
          <w:sz w:val="24"/>
          <w:lang w:val="en-US" w:eastAsia="zh-CN"/>
        </w:rPr>
        <w:t xml:space="preserve">    </w:t>
      </w:r>
      <w:r>
        <w:rPr>
          <w:rFonts w:hint="eastAsia"/>
          <w:sz w:val="24"/>
        </w:rPr>
        <w:t>法定代表人或授权代理人：（签字）</w:t>
      </w:r>
      <w:bookmarkEnd w:id="105"/>
      <w:bookmarkEnd w:id="106"/>
    </w:p>
    <w:p w14:paraId="34FED6CC">
      <w:pPr>
        <w:widowControl w:val="0"/>
        <w:kinsoku/>
        <w:adjustRightInd/>
        <w:snapToGrid/>
        <w:spacing w:line="360" w:lineRule="auto"/>
        <w:jc w:val="both"/>
        <w:textAlignment w:val="auto"/>
        <w:rPr>
          <w:sz w:val="24"/>
        </w:rPr>
      </w:pPr>
      <w:bookmarkStart w:id="107" w:name="_Toc11893"/>
      <w:bookmarkStart w:id="108" w:name="_Toc2236"/>
      <w:r>
        <w:rPr>
          <w:rFonts w:hint="eastAsia"/>
          <w:sz w:val="24"/>
        </w:rPr>
        <w:t>开户单位：</w:t>
      </w:r>
      <w:r>
        <w:rPr>
          <w:rFonts w:hint="eastAsia" w:eastAsia="宋体"/>
          <w:sz w:val="24"/>
          <w:lang w:val="en-US" w:eastAsia="zh-CN"/>
        </w:rPr>
        <w:t xml:space="preserve">                                                 </w:t>
      </w:r>
      <w:r>
        <w:rPr>
          <w:rFonts w:hint="eastAsia"/>
          <w:sz w:val="24"/>
        </w:rPr>
        <w:t>开户单位：</w:t>
      </w:r>
      <w:bookmarkEnd w:id="107"/>
      <w:bookmarkEnd w:id="108"/>
    </w:p>
    <w:p w14:paraId="6A74C6A5">
      <w:pPr>
        <w:widowControl w:val="0"/>
        <w:kinsoku/>
        <w:adjustRightInd/>
        <w:snapToGrid/>
        <w:spacing w:line="360" w:lineRule="auto"/>
        <w:jc w:val="both"/>
        <w:textAlignment w:val="auto"/>
        <w:rPr>
          <w:sz w:val="24"/>
        </w:rPr>
      </w:pPr>
      <w:bookmarkStart w:id="109" w:name="_Toc25263"/>
      <w:bookmarkStart w:id="110" w:name="_Toc31863"/>
      <w:r>
        <w:rPr>
          <w:rFonts w:hint="eastAsia"/>
          <w:sz w:val="24"/>
        </w:rPr>
        <w:t>开户银行：</w:t>
      </w:r>
      <w:r>
        <w:rPr>
          <w:rFonts w:hint="eastAsia" w:eastAsia="宋体"/>
          <w:sz w:val="24"/>
          <w:lang w:val="en-US" w:eastAsia="zh-CN"/>
        </w:rPr>
        <w:t xml:space="preserve">                                                 </w:t>
      </w:r>
      <w:r>
        <w:rPr>
          <w:rFonts w:hint="eastAsia"/>
          <w:sz w:val="24"/>
        </w:rPr>
        <w:t>开户银行：</w:t>
      </w:r>
      <w:bookmarkEnd w:id="109"/>
      <w:bookmarkEnd w:id="110"/>
    </w:p>
    <w:p w14:paraId="130B2A0C">
      <w:pPr>
        <w:widowControl w:val="0"/>
        <w:kinsoku/>
        <w:adjustRightInd/>
        <w:snapToGrid/>
        <w:spacing w:line="360" w:lineRule="auto"/>
        <w:jc w:val="both"/>
        <w:textAlignment w:val="auto"/>
        <w:rPr>
          <w:sz w:val="24"/>
        </w:rPr>
      </w:pPr>
      <w:bookmarkStart w:id="111" w:name="_Toc27472"/>
      <w:bookmarkStart w:id="112" w:name="_Toc17067"/>
      <w:r>
        <w:rPr>
          <w:rFonts w:hint="eastAsia"/>
          <w:sz w:val="24"/>
        </w:rPr>
        <w:t>帐</w:t>
      </w:r>
      <w:r>
        <w:rPr>
          <w:rFonts w:hint="eastAsia"/>
          <w:sz w:val="24"/>
        </w:rPr>
        <w:tab/>
      </w:r>
      <w:r>
        <w:rPr>
          <w:rFonts w:hint="eastAsia"/>
          <w:sz w:val="24"/>
        </w:rPr>
        <w:t>号：</w:t>
      </w:r>
      <w:r>
        <w:rPr>
          <w:rFonts w:hint="eastAsia"/>
          <w:sz w:val="24"/>
        </w:rPr>
        <w:tab/>
      </w:r>
      <w:r>
        <w:rPr>
          <w:rFonts w:hint="eastAsia" w:eastAsia="宋体"/>
          <w:sz w:val="24"/>
          <w:lang w:val="en-US" w:eastAsia="zh-CN"/>
        </w:rPr>
        <w:t xml:space="preserve">                                                </w:t>
      </w:r>
      <w:r>
        <w:rPr>
          <w:rFonts w:hint="eastAsia"/>
          <w:sz w:val="24"/>
        </w:rPr>
        <w:t>帐</w:t>
      </w:r>
      <w:r>
        <w:rPr>
          <w:rFonts w:hint="eastAsia"/>
          <w:sz w:val="24"/>
        </w:rPr>
        <w:tab/>
      </w:r>
      <w:r>
        <w:rPr>
          <w:rFonts w:hint="eastAsia"/>
          <w:sz w:val="24"/>
        </w:rPr>
        <w:t>号：</w:t>
      </w:r>
      <w:bookmarkEnd w:id="111"/>
      <w:bookmarkEnd w:id="112"/>
    </w:p>
    <w:p w14:paraId="79E2CF51">
      <w:pPr>
        <w:widowControl w:val="0"/>
        <w:kinsoku/>
        <w:adjustRightInd/>
        <w:snapToGrid/>
        <w:spacing w:line="360" w:lineRule="auto"/>
        <w:jc w:val="both"/>
        <w:textAlignment w:val="auto"/>
        <w:rPr>
          <w:sz w:val="24"/>
        </w:rPr>
      </w:pPr>
      <w:bookmarkStart w:id="113" w:name="_Toc19503"/>
      <w:bookmarkStart w:id="114" w:name="_Toc18260"/>
      <w:r>
        <w:rPr>
          <w:rFonts w:hint="eastAsia"/>
          <w:sz w:val="24"/>
        </w:rPr>
        <w:t>地</w:t>
      </w:r>
      <w:r>
        <w:rPr>
          <w:rFonts w:hint="eastAsia"/>
          <w:sz w:val="24"/>
        </w:rPr>
        <w:tab/>
      </w:r>
      <w:r>
        <w:rPr>
          <w:rFonts w:hint="eastAsia"/>
          <w:sz w:val="24"/>
        </w:rPr>
        <w:t>址：</w:t>
      </w:r>
      <w:r>
        <w:rPr>
          <w:rFonts w:hint="eastAsia"/>
          <w:sz w:val="24"/>
        </w:rPr>
        <w:tab/>
      </w:r>
      <w:r>
        <w:rPr>
          <w:rFonts w:hint="eastAsia" w:eastAsia="宋体"/>
          <w:sz w:val="24"/>
          <w:lang w:val="en-US" w:eastAsia="zh-CN"/>
        </w:rPr>
        <w:t xml:space="preserve">                                                </w:t>
      </w:r>
      <w:r>
        <w:rPr>
          <w:rFonts w:hint="eastAsia"/>
          <w:sz w:val="24"/>
        </w:rPr>
        <w:t>地</w:t>
      </w:r>
      <w:r>
        <w:rPr>
          <w:rFonts w:hint="eastAsia"/>
          <w:sz w:val="24"/>
        </w:rPr>
        <w:tab/>
      </w:r>
      <w:r>
        <w:rPr>
          <w:rFonts w:hint="eastAsia"/>
          <w:sz w:val="24"/>
        </w:rPr>
        <w:t>址：</w:t>
      </w:r>
      <w:bookmarkEnd w:id="113"/>
      <w:bookmarkEnd w:id="114"/>
    </w:p>
    <w:p w14:paraId="5141A380">
      <w:pPr>
        <w:widowControl w:val="0"/>
        <w:kinsoku/>
        <w:adjustRightInd/>
        <w:snapToGrid/>
        <w:spacing w:line="360" w:lineRule="auto"/>
        <w:jc w:val="both"/>
        <w:textAlignment w:val="auto"/>
        <w:rPr>
          <w:sz w:val="24"/>
        </w:rPr>
      </w:pPr>
      <w:bookmarkStart w:id="115" w:name="_Toc15291"/>
      <w:bookmarkStart w:id="116" w:name="_Toc16058"/>
      <w:r>
        <w:rPr>
          <w:rFonts w:hint="eastAsia"/>
          <w:sz w:val="24"/>
        </w:rPr>
        <w:t>电</w:t>
      </w:r>
      <w:r>
        <w:rPr>
          <w:rFonts w:hint="eastAsia"/>
          <w:sz w:val="24"/>
        </w:rPr>
        <w:tab/>
      </w:r>
      <w:r>
        <w:rPr>
          <w:rFonts w:hint="eastAsia"/>
          <w:sz w:val="24"/>
        </w:rPr>
        <w:t>话：</w:t>
      </w:r>
      <w:r>
        <w:rPr>
          <w:rFonts w:hint="eastAsia"/>
          <w:sz w:val="24"/>
        </w:rPr>
        <w:tab/>
      </w:r>
      <w:r>
        <w:rPr>
          <w:rFonts w:hint="eastAsia" w:eastAsia="宋体"/>
          <w:sz w:val="24"/>
          <w:lang w:val="en-US" w:eastAsia="zh-CN"/>
        </w:rPr>
        <w:t xml:space="preserve">                                               </w:t>
      </w:r>
      <w:r>
        <w:rPr>
          <w:rFonts w:hint="eastAsia"/>
          <w:sz w:val="24"/>
        </w:rPr>
        <w:t>电</w:t>
      </w:r>
      <w:r>
        <w:rPr>
          <w:rFonts w:hint="eastAsia"/>
          <w:sz w:val="24"/>
        </w:rPr>
        <w:tab/>
      </w:r>
      <w:r>
        <w:rPr>
          <w:rFonts w:hint="eastAsia"/>
          <w:sz w:val="24"/>
        </w:rPr>
        <w:t>话：</w:t>
      </w:r>
      <w:bookmarkEnd w:id="115"/>
      <w:bookmarkEnd w:id="116"/>
    </w:p>
    <w:p w14:paraId="3402D59B">
      <w:pPr>
        <w:widowControl w:val="0"/>
        <w:kinsoku/>
        <w:adjustRightInd/>
        <w:snapToGrid/>
        <w:spacing w:line="360" w:lineRule="auto"/>
        <w:jc w:val="both"/>
        <w:textAlignment w:val="auto"/>
        <w:rPr>
          <w:sz w:val="24"/>
        </w:rPr>
      </w:pPr>
      <w:bookmarkStart w:id="117" w:name="_Toc22352"/>
      <w:bookmarkStart w:id="118" w:name="_Toc32463"/>
      <w:r>
        <w:rPr>
          <w:rFonts w:hint="eastAsia"/>
          <w:sz w:val="24"/>
        </w:rPr>
        <w:t>签订时间：</w:t>
      </w:r>
      <w:r>
        <w:rPr>
          <w:rFonts w:hint="eastAsia" w:eastAsia="宋体"/>
          <w:sz w:val="24"/>
          <w:lang w:val="en-US" w:eastAsia="zh-CN"/>
        </w:rPr>
        <w:t xml:space="preserve">                                                </w:t>
      </w:r>
      <w:r>
        <w:rPr>
          <w:rFonts w:hint="eastAsia"/>
          <w:sz w:val="24"/>
        </w:rPr>
        <w:t>签订时间：</w:t>
      </w:r>
      <w:bookmarkEnd w:id="117"/>
      <w:bookmarkEnd w:id="118"/>
    </w:p>
    <w:p w14:paraId="27637A28">
      <w:pPr>
        <w:rPr>
          <w:sz w:val="24"/>
        </w:rPr>
      </w:pPr>
      <w:r>
        <w:rPr>
          <w:sz w:val="24"/>
        </w:rPr>
        <w:br w:type="page"/>
      </w:r>
    </w:p>
    <w:p w14:paraId="4A4296FC">
      <w:pPr>
        <w:spacing w:before="101" w:line="225" w:lineRule="auto"/>
        <w:jc w:val="center"/>
        <w:outlineLvl w:val="0"/>
        <w:rPr>
          <w:rFonts w:ascii="宋体" w:hAnsi="宋体" w:eastAsia="宋体" w:cs="宋体"/>
          <w:b/>
          <w:bCs/>
          <w:sz w:val="31"/>
          <w:szCs w:val="31"/>
        </w:rPr>
      </w:pPr>
      <w:bookmarkStart w:id="119" w:name="_Toc1427"/>
      <w:r>
        <w:rPr>
          <w:rFonts w:ascii="宋体" w:hAnsi="宋体" w:eastAsia="宋体" w:cs="宋体"/>
          <w:b/>
          <w:bCs/>
          <w:spacing w:val="10"/>
          <w:sz w:val="31"/>
          <w:szCs w:val="31"/>
        </w:rPr>
        <w:t>第</w:t>
      </w:r>
      <w:r>
        <w:rPr>
          <w:rFonts w:hint="eastAsia" w:ascii="宋体" w:hAnsi="宋体" w:eastAsia="宋体" w:cs="宋体"/>
          <w:b/>
          <w:bCs/>
          <w:spacing w:val="9"/>
          <w:sz w:val="31"/>
          <w:szCs w:val="31"/>
          <w:lang w:val="en-US" w:eastAsia="zh-CN"/>
        </w:rPr>
        <w:t>七</w:t>
      </w:r>
      <w:r>
        <w:rPr>
          <w:rFonts w:ascii="宋体" w:hAnsi="宋体" w:eastAsia="宋体" w:cs="宋体"/>
          <w:b/>
          <w:bCs/>
          <w:spacing w:val="9"/>
          <w:sz w:val="31"/>
          <w:szCs w:val="31"/>
        </w:rPr>
        <w:t>部分</w:t>
      </w:r>
      <w:r>
        <w:rPr>
          <w:rFonts w:hint="eastAsia" w:ascii="宋体" w:hAnsi="宋体" w:eastAsia="宋体" w:cs="宋体"/>
          <w:b/>
          <w:bCs/>
          <w:spacing w:val="9"/>
          <w:sz w:val="31"/>
          <w:szCs w:val="31"/>
          <w:lang w:val="en-US" w:eastAsia="zh-CN"/>
        </w:rPr>
        <w:t xml:space="preserve"> </w:t>
      </w:r>
      <w:r>
        <w:rPr>
          <w:rFonts w:ascii="宋体" w:hAnsi="宋体" w:eastAsia="宋体" w:cs="宋体"/>
          <w:b/>
          <w:bCs/>
          <w:spacing w:val="9"/>
          <w:sz w:val="31"/>
          <w:szCs w:val="31"/>
        </w:rPr>
        <w:t>投标文件格式</w:t>
      </w:r>
      <w:bookmarkEnd w:id="119"/>
    </w:p>
    <w:p w14:paraId="5CC4DD2E">
      <w:pPr>
        <w:spacing w:line="274" w:lineRule="auto"/>
      </w:pPr>
    </w:p>
    <w:p w14:paraId="06E0F55F">
      <w:pPr>
        <w:spacing w:before="78" w:line="220" w:lineRule="auto"/>
        <w:ind w:left="41"/>
        <w:rPr>
          <w:rFonts w:ascii="宋体" w:hAnsi="宋体" w:eastAsia="宋体" w:cs="宋体"/>
          <w:sz w:val="24"/>
          <w:szCs w:val="24"/>
        </w:rPr>
      </w:pPr>
      <w:r>
        <w:rPr>
          <w:rFonts w:ascii="宋体" w:hAnsi="宋体" w:eastAsia="宋体" w:cs="宋体"/>
          <w:spacing w:val="-2"/>
          <w:sz w:val="24"/>
          <w:szCs w:val="24"/>
        </w:rPr>
        <w:t>投标文</w:t>
      </w:r>
      <w:r>
        <w:rPr>
          <w:rFonts w:ascii="宋体" w:hAnsi="宋体" w:eastAsia="宋体" w:cs="宋体"/>
          <w:spacing w:val="-1"/>
          <w:sz w:val="24"/>
          <w:szCs w:val="24"/>
        </w:rPr>
        <w:t>件封面格式</w:t>
      </w:r>
    </w:p>
    <w:p w14:paraId="5538951F">
      <w:pPr>
        <w:spacing w:line="248" w:lineRule="auto"/>
      </w:pPr>
    </w:p>
    <w:p w14:paraId="32282E10">
      <w:pPr>
        <w:spacing w:line="248" w:lineRule="auto"/>
      </w:pPr>
    </w:p>
    <w:p w14:paraId="52B7DA9A">
      <w:pPr>
        <w:spacing w:line="249" w:lineRule="auto"/>
      </w:pPr>
    </w:p>
    <w:p w14:paraId="7316017A">
      <w:pPr>
        <w:spacing w:line="360" w:lineRule="auto"/>
        <w:jc w:val="center"/>
        <w:rPr>
          <w:rFonts w:hint="eastAsia" w:ascii="Times New Roman" w:hAnsi="Times New Roman"/>
          <w:b/>
          <w:bCs/>
          <w:kern w:val="0"/>
          <w:sz w:val="40"/>
          <w:szCs w:val="24"/>
        </w:rPr>
      </w:pPr>
      <w:r>
        <w:rPr>
          <w:rFonts w:hint="eastAsia" w:ascii="Times New Roman" w:hAnsi="Times New Roman"/>
          <w:b/>
          <w:bCs/>
          <w:kern w:val="0"/>
          <w:sz w:val="40"/>
          <w:szCs w:val="24"/>
          <w:u w:val="single"/>
        </w:rPr>
        <w:t xml:space="preserve">                      </w:t>
      </w:r>
      <w:r>
        <w:rPr>
          <w:rFonts w:hint="eastAsia" w:ascii="Times New Roman" w:hAnsi="Times New Roman"/>
          <w:b/>
          <w:bCs/>
          <w:kern w:val="0"/>
          <w:sz w:val="40"/>
          <w:szCs w:val="24"/>
        </w:rPr>
        <w:t>项目</w:t>
      </w:r>
    </w:p>
    <w:p w14:paraId="66E2806C">
      <w:pPr>
        <w:spacing w:line="360" w:lineRule="auto"/>
        <w:rPr>
          <w:rFonts w:hint="eastAsia" w:ascii="Times New Roman" w:hAnsi="Times New Roman"/>
          <w:b/>
          <w:bCs/>
          <w:kern w:val="0"/>
          <w:sz w:val="40"/>
          <w:szCs w:val="24"/>
          <w:u w:val="single"/>
        </w:rPr>
      </w:pPr>
      <w:r>
        <w:rPr>
          <w:rFonts w:hint="eastAsia" w:ascii="Times New Roman" w:hAnsi="Times New Roman"/>
          <w:b/>
          <w:bCs/>
          <w:kern w:val="0"/>
          <w:sz w:val="40"/>
          <w:szCs w:val="24"/>
        </w:rPr>
        <w:t xml:space="preserve">                 </w:t>
      </w:r>
    </w:p>
    <w:p w14:paraId="30999E6D">
      <w:pPr>
        <w:spacing w:line="360" w:lineRule="auto"/>
        <w:rPr>
          <w:rFonts w:hint="eastAsia" w:ascii="宋体" w:hAnsi="宋体" w:cs="宋体"/>
          <w:b/>
          <w:bCs/>
          <w:color w:val="000000"/>
          <w:kern w:val="0"/>
          <w:sz w:val="36"/>
          <w:szCs w:val="36"/>
          <w:lang w:bidi="ar"/>
        </w:rPr>
      </w:pPr>
      <w:r>
        <w:rPr>
          <w:rFonts w:hint="eastAsia" w:ascii="Times New Roman" w:hAnsi="Times New Roman"/>
          <w:b/>
          <w:bCs/>
          <w:kern w:val="0"/>
          <w:sz w:val="40"/>
          <w:szCs w:val="24"/>
        </w:rPr>
        <w:t xml:space="preserve">             </w:t>
      </w:r>
    </w:p>
    <w:p w14:paraId="38F131ED">
      <w:pPr>
        <w:rPr>
          <w:rFonts w:hint="eastAsia" w:ascii="宋体" w:hAnsi="宋体" w:cs="宋体"/>
          <w:sz w:val="72"/>
          <w:szCs w:val="44"/>
        </w:rPr>
      </w:pPr>
    </w:p>
    <w:p w14:paraId="06A6B368">
      <w:pPr>
        <w:jc w:val="center"/>
        <w:rPr>
          <w:rFonts w:hint="eastAsia" w:ascii="宋体" w:hAnsi="宋体" w:cs="宋体"/>
          <w:sz w:val="72"/>
          <w:szCs w:val="44"/>
        </w:rPr>
      </w:pPr>
      <w:r>
        <w:rPr>
          <w:rFonts w:hint="eastAsia" w:ascii="宋体" w:hAnsi="宋体" w:cs="宋体"/>
          <w:sz w:val="72"/>
          <w:szCs w:val="44"/>
          <w:lang w:bidi="ar"/>
        </w:rPr>
        <w:t>投标文件</w:t>
      </w:r>
    </w:p>
    <w:p w14:paraId="40DF2A3A">
      <w:pPr>
        <w:spacing w:line="500" w:lineRule="exact"/>
        <w:ind w:firstLine="1680" w:firstLineChars="600"/>
        <w:rPr>
          <w:rFonts w:hint="eastAsia" w:ascii="宋体" w:hAnsi="宋体" w:cs="宋体"/>
          <w:sz w:val="28"/>
          <w:szCs w:val="28"/>
          <w:lang w:bidi="ar"/>
        </w:rPr>
      </w:pPr>
    </w:p>
    <w:p w14:paraId="22717D4F">
      <w:pPr>
        <w:spacing w:line="500" w:lineRule="exact"/>
        <w:ind w:firstLine="1960" w:firstLineChars="700"/>
        <w:rPr>
          <w:rFonts w:hint="eastAsia" w:ascii="宋体" w:hAnsi="宋体" w:cs="宋体"/>
          <w:sz w:val="28"/>
          <w:szCs w:val="28"/>
          <w:lang w:bidi="ar"/>
        </w:rPr>
      </w:pPr>
      <w:r>
        <w:rPr>
          <w:rFonts w:hint="eastAsia" w:ascii="宋体" w:hAnsi="宋体" w:cs="宋体"/>
          <w:sz w:val="28"/>
          <w:szCs w:val="28"/>
          <w:lang w:bidi="ar"/>
        </w:rPr>
        <w:t>项目编号：</w:t>
      </w:r>
    </w:p>
    <w:p w14:paraId="505776DF">
      <w:pPr>
        <w:spacing w:line="500" w:lineRule="exact"/>
        <w:ind w:firstLine="480" w:firstLineChars="200"/>
        <w:rPr>
          <w:rFonts w:hint="eastAsia" w:ascii="宋体" w:hAnsi="宋体" w:cs="宋体"/>
          <w:sz w:val="24"/>
        </w:rPr>
      </w:pPr>
    </w:p>
    <w:p w14:paraId="13932300">
      <w:pPr>
        <w:spacing w:line="500" w:lineRule="exact"/>
        <w:ind w:firstLine="480" w:firstLineChars="200"/>
        <w:rPr>
          <w:rFonts w:hint="eastAsia" w:ascii="宋体" w:hAnsi="宋体" w:cs="宋体"/>
          <w:sz w:val="24"/>
        </w:rPr>
      </w:pPr>
    </w:p>
    <w:p w14:paraId="79C1A476">
      <w:pPr>
        <w:spacing w:line="500" w:lineRule="exact"/>
        <w:rPr>
          <w:rFonts w:hint="eastAsia" w:ascii="宋体" w:hAnsi="宋体" w:cs="宋体"/>
          <w:sz w:val="24"/>
        </w:rPr>
      </w:pPr>
    </w:p>
    <w:p w14:paraId="41DD6064">
      <w:pPr>
        <w:spacing w:line="500" w:lineRule="exact"/>
        <w:rPr>
          <w:rFonts w:hint="eastAsia" w:ascii="宋体" w:hAnsi="宋体" w:cs="宋体"/>
          <w:sz w:val="24"/>
        </w:rPr>
      </w:pPr>
    </w:p>
    <w:p w14:paraId="3CEC59EA">
      <w:pPr>
        <w:spacing w:line="500" w:lineRule="exact"/>
        <w:rPr>
          <w:rFonts w:hint="eastAsia" w:ascii="宋体" w:hAnsi="宋体" w:cs="宋体"/>
          <w:sz w:val="24"/>
        </w:rPr>
      </w:pPr>
    </w:p>
    <w:p w14:paraId="79603575">
      <w:pPr>
        <w:spacing w:line="400" w:lineRule="exact"/>
        <w:ind w:firstLine="1540" w:firstLineChars="550"/>
        <w:rPr>
          <w:rFonts w:hint="eastAsia" w:ascii="宋体" w:hAnsi="宋体" w:cs="宋体"/>
          <w:sz w:val="28"/>
          <w:szCs w:val="28"/>
        </w:rPr>
      </w:pPr>
      <w:r>
        <w:rPr>
          <w:rFonts w:hint="eastAsia" w:ascii="宋体" w:hAnsi="宋体" w:cs="宋体"/>
          <w:sz w:val="28"/>
          <w:szCs w:val="28"/>
          <w:lang w:bidi="ar"/>
        </w:rPr>
        <w:t>供应商名称：（公章）</w:t>
      </w:r>
    </w:p>
    <w:p w14:paraId="76C9B7F6">
      <w:pPr>
        <w:spacing w:line="400" w:lineRule="exact"/>
        <w:ind w:firstLine="560" w:firstLineChars="200"/>
        <w:rPr>
          <w:rFonts w:hint="eastAsia" w:ascii="宋体" w:hAnsi="宋体" w:cs="宋体"/>
          <w:sz w:val="28"/>
          <w:szCs w:val="28"/>
        </w:rPr>
      </w:pPr>
    </w:p>
    <w:p w14:paraId="6E21006D">
      <w:pPr>
        <w:spacing w:line="400" w:lineRule="exact"/>
        <w:jc w:val="center"/>
        <w:rPr>
          <w:rFonts w:hint="eastAsia" w:ascii="宋体" w:hAnsi="宋体" w:cs="宋体"/>
          <w:sz w:val="28"/>
          <w:szCs w:val="28"/>
          <w:lang w:bidi="ar"/>
        </w:rPr>
      </w:pPr>
      <w:r>
        <w:rPr>
          <w:rFonts w:hint="eastAsia" w:ascii="宋体" w:hAnsi="宋体" w:cs="宋体"/>
          <w:sz w:val="28"/>
          <w:szCs w:val="28"/>
          <w:lang w:bidi="ar"/>
        </w:rPr>
        <w:t>法定代表人或负责人或被授权人签名（或盖章）</w:t>
      </w:r>
    </w:p>
    <w:p w14:paraId="49E67A78">
      <w:pPr>
        <w:spacing w:line="400" w:lineRule="exact"/>
        <w:jc w:val="center"/>
        <w:rPr>
          <w:rFonts w:hint="eastAsia" w:ascii="宋体" w:hAnsi="宋体" w:cs="宋体"/>
          <w:sz w:val="28"/>
          <w:szCs w:val="28"/>
          <w:lang w:bidi="ar"/>
        </w:rPr>
      </w:pPr>
    </w:p>
    <w:p w14:paraId="0FE7E1C0">
      <w:pPr>
        <w:spacing w:line="400" w:lineRule="exact"/>
        <w:jc w:val="center"/>
        <w:rPr>
          <w:rFonts w:hint="eastAsia" w:ascii="宋体" w:hAnsi="宋体" w:cs="宋体"/>
          <w:szCs w:val="21"/>
        </w:rPr>
      </w:pPr>
      <w:r>
        <w:rPr>
          <w:rFonts w:hint="eastAsia" w:ascii="宋体" w:hAnsi="宋体" w:cs="宋体"/>
          <w:sz w:val="28"/>
          <w:szCs w:val="28"/>
          <w:lang w:bidi="ar"/>
        </w:rPr>
        <w:t>年    月    日</w:t>
      </w:r>
    </w:p>
    <w:p w14:paraId="04E24111">
      <w:pPr>
        <w:spacing w:line="400" w:lineRule="exact"/>
        <w:rPr>
          <w:rFonts w:hint="eastAsia" w:ascii="Times New Roman" w:hAnsi="Times New Roman"/>
          <w:szCs w:val="24"/>
        </w:rPr>
      </w:pPr>
    </w:p>
    <w:p w14:paraId="44F6C245">
      <w:pPr>
        <w:spacing w:line="400" w:lineRule="exact"/>
        <w:rPr>
          <w:rFonts w:hint="eastAsia" w:ascii="Times New Roman" w:hAnsi="Times New Roman"/>
          <w:szCs w:val="24"/>
        </w:rPr>
      </w:pPr>
    </w:p>
    <w:p w14:paraId="3BE70F73">
      <w:pPr>
        <w:spacing w:line="400" w:lineRule="exact"/>
        <w:rPr>
          <w:rFonts w:hint="eastAsia" w:ascii="Times New Roman" w:hAnsi="Times New Roman"/>
          <w:szCs w:val="24"/>
        </w:rPr>
      </w:pPr>
    </w:p>
    <w:p w14:paraId="4461E685">
      <w:pPr>
        <w:spacing w:line="400" w:lineRule="exact"/>
        <w:rPr>
          <w:rFonts w:hint="eastAsia" w:ascii="Times New Roman" w:hAnsi="Times New Roman"/>
          <w:szCs w:val="24"/>
        </w:rPr>
      </w:pPr>
    </w:p>
    <w:p w14:paraId="3F5F982E">
      <w:pPr>
        <w:spacing w:line="400" w:lineRule="exact"/>
        <w:rPr>
          <w:rFonts w:hint="eastAsia" w:ascii="Times New Roman" w:hAnsi="Times New Roman"/>
          <w:szCs w:val="24"/>
        </w:rPr>
      </w:pPr>
    </w:p>
    <w:p w14:paraId="28949A85">
      <w:pPr>
        <w:spacing w:line="400" w:lineRule="exact"/>
        <w:rPr>
          <w:rFonts w:hint="eastAsia" w:ascii="Times New Roman" w:hAnsi="Times New Roman"/>
          <w:szCs w:val="24"/>
        </w:rPr>
      </w:pPr>
    </w:p>
    <w:p w14:paraId="69ECBD65">
      <w:pPr>
        <w:spacing w:line="520" w:lineRule="exact"/>
        <w:jc w:val="left"/>
        <w:rPr>
          <w:rFonts w:hint="eastAsia" w:ascii="Times New Roman" w:hAnsi="Times New Roman"/>
          <w:b/>
          <w:sz w:val="44"/>
          <w:szCs w:val="44"/>
        </w:rPr>
      </w:pPr>
    </w:p>
    <w:p w14:paraId="24D62CC2">
      <w:pPr>
        <w:spacing w:line="520" w:lineRule="exact"/>
        <w:ind w:firstLine="3962" w:firstLineChars="900"/>
        <w:jc w:val="left"/>
        <w:rPr>
          <w:rFonts w:hint="eastAsia" w:ascii="Times New Roman" w:hAnsi="Times New Roman"/>
          <w:b/>
          <w:sz w:val="44"/>
          <w:szCs w:val="44"/>
        </w:rPr>
      </w:pPr>
      <w:r>
        <w:rPr>
          <w:rFonts w:hint="eastAsia" w:ascii="Times New Roman" w:hAnsi="Times New Roman"/>
          <w:b/>
          <w:sz w:val="44"/>
          <w:szCs w:val="44"/>
        </w:rPr>
        <w:t>目  录</w:t>
      </w:r>
    </w:p>
    <w:p w14:paraId="42956D46">
      <w:pPr>
        <w:spacing w:line="520" w:lineRule="exact"/>
        <w:ind w:firstLine="880" w:firstLineChars="200"/>
        <w:jc w:val="left"/>
        <w:rPr>
          <w:rFonts w:hint="eastAsia" w:ascii="Times New Roman" w:hAnsi="Times New Roman"/>
          <w:sz w:val="44"/>
          <w:szCs w:val="44"/>
        </w:rPr>
      </w:pPr>
    </w:p>
    <w:p w14:paraId="18BFF152">
      <w:pPr>
        <w:spacing w:line="520" w:lineRule="exact"/>
        <w:ind w:firstLine="1320" w:firstLineChars="300"/>
        <w:jc w:val="left"/>
        <w:rPr>
          <w:rFonts w:hint="eastAsia" w:ascii="Times New Roman" w:hAnsi="Times New Roman"/>
          <w:sz w:val="44"/>
          <w:szCs w:val="44"/>
        </w:rPr>
      </w:pPr>
      <w:r>
        <w:rPr>
          <w:rFonts w:hint="eastAsia" w:ascii="Times New Roman" w:hAnsi="Times New Roman"/>
          <w:sz w:val="44"/>
          <w:szCs w:val="44"/>
        </w:rPr>
        <w:t>（由供应商自行编制并设置页码）</w:t>
      </w:r>
    </w:p>
    <w:p w14:paraId="5611974A">
      <w:pPr>
        <w:spacing w:line="400" w:lineRule="exact"/>
        <w:rPr>
          <w:rFonts w:hint="eastAsia" w:ascii="Times New Roman" w:hAnsi="Times New Roman"/>
          <w:szCs w:val="24"/>
        </w:rPr>
      </w:pPr>
    </w:p>
    <w:p w14:paraId="6B353C44">
      <w:pPr>
        <w:spacing w:line="400" w:lineRule="exact"/>
        <w:rPr>
          <w:rFonts w:hint="eastAsia" w:ascii="Times New Roman" w:hAnsi="Times New Roman"/>
          <w:szCs w:val="24"/>
        </w:rPr>
      </w:pPr>
    </w:p>
    <w:p w14:paraId="69C4B552">
      <w:pPr>
        <w:spacing w:line="400" w:lineRule="exact"/>
        <w:rPr>
          <w:rFonts w:hint="eastAsia" w:ascii="Times New Roman" w:hAnsi="Times New Roman"/>
          <w:szCs w:val="24"/>
        </w:rPr>
      </w:pPr>
    </w:p>
    <w:p w14:paraId="0441E859">
      <w:pPr>
        <w:spacing w:line="400" w:lineRule="exact"/>
        <w:rPr>
          <w:rFonts w:hint="eastAsia" w:ascii="Times New Roman" w:hAnsi="Times New Roman"/>
          <w:szCs w:val="24"/>
        </w:rPr>
      </w:pPr>
    </w:p>
    <w:p w14:paraId="58D90FC9">
      <w:pPr>
        <w:spacing w:line="400" w:lineRule="exact"/>
        <w:rPr>
          <w:rFonts w:hint="eastAsia" w:ascii="Times New Roman" w:hAnsi="Times New Roman"/>
          <w:szCs w:val="24"/>
        </w:rPr>
      </w:pPr>
    </w:p>
    <w:p w14:paraId="25492B86">
      <w:pPr>
        <w:spacing w:line="400" w:lineRule="exact"/>
        <w:rPr>
          <w:rFonts w:hint="eastAsia" w:ascii="Times New Roman" w:hAnsi="Times New Roman"/>
          <w:szCs w:val="24"/>
        </w:rPr>
      </w:pPr>
    </w:p>
    <w:p w14:paraId="6136857E">
      <w:pPr>
        <w:spacing w:line="400" w:lineRule="exact"/>
        <w:rPr>
          <w:rFonts w:hint="eastAsia" w:ascii="Times New Roman" w:hAnsi="Times New Roman"/>
          <w:szCs w:val="24"/>
        </w:rPr>
      </w:pPr>
    </w:p>
    <w:p w14:paraId="2D9BD316">
      <w:pPr>
        <w:spacing w:line="400" w:lineRule="exact"/>
        <w:rPr>
          <w:rFonts w:hint="eastAsia" w:ascii="Times New Roman" w:hAnsi="Times New Roman"/>
          <w:szCs w:val="24"/>
        </w:rPr>
      </w:pPr>
    </w:p>
    <w:p w14:paraId="0E0F5157">
      <w:pPr>
        <w:spacing w:line="400" w:lineRule="exact"/>
        <w:rPr>
          <w:rFonts w:hint="eastAsia" w:ascii="Times New Roman" w:hAnsi="Times New Roman"/>
          <w:szCs w:val="24"/>
        </w:rPr>
      </w:pPr>
    </w:p>
    <w:p w14:paraId="59EEB5B8">
      <w:pPr>
        <w:spacing w:line="400" w:lineRule="exact"/>
        <w:rPr>
          <w:rFonts w:hint="eastAsia" w:ascii="Times New Roman" w:hAnsi="Times New Roman"/>
          <w:szCs w:val="24"/>
        </w:rPr>
      </w:pPr>
    </w:p>
    <w:p w14:paraId="4419F5A4">
      <w:pPr>
        <w:spacing w:line="400" w:lineRule="exact"/>
        <w:rPr>
          <w:rFonts w:hint="eastAsia" w:ascii="Times New Roman" w:hAnsi="Times New Roman"/>
          <w:szCs w:val="24"/>
        </w:rPr>
      </w:pPr>
    </w:p>
    <w:p w14:paraId="522D76E9">
      <w:pPr>
        <w:spacing w:line="400" w:lineRule="exact"/>
        <w:rPr>
          <w:rFonts w:hint="eastAsia" w:ascii="Times New Roman" w:hAnsi="Times New Roman"/>
          <w:szCs w:val="24"/>
        </w:rPr>
      </w:pPr>
    </w:p>
    <w:p w14:paraId="58EEA1CC">
      <w:pPr>
        <w:spacing w:line="400" w:lineRule="exact"/>
        <w:rPr>
          <w:rFonts w:hint="eastAsia" w:ascii="Times New Roman" w:hAnsi="Times New Roman"/>
          <w:szCs w:val="24"/>
        </w:rPr>
      </w:pPr>
    </w:p>
    <w:p w14:paraId="559DD73E">
      <w:pPr>
        <w:spacing w:line="400" w:lineRule="exact"/>
        <w:rPr>
          <w:rFonts w:hint="eastAsia" w:ascii="Times New Roman" w:hAnsi="Times New Roman"/>
          <w:szCs w:val="24"/>
        </w:rPr>
      </w:pPr>
    </w:p>
    <w:p w14:paraId="6F983BB0">
      <w:pPr>
        <w:spacing w:line="400" w:lineRule="exact"/>
        <w:rPr>
          <w:rFonts w:hint="eastAsia" w:ascii="Times New Roman" w:hAnsi="Times New Roman"/>
          <w:szCs w:val="24"/>
        </w:rPr>
      </w:pPr>
    </w:p>
    <w:p w14:paraId="7E77B58A">
      <w:pPr>
        <w:spacing w:line="400" w:lineRule="exact"/>
        <w:rPr>
          <w:rFonts w:hint="eastAsia" w:ascii="Times New Roman" w:hAnsi="Times New Roman"/>
          <w:szCs w:val="24"/>
        </w:rPr>
      </w:pPr>
    </w:p>
    <w:p w14:paraId="1F5A5290">
      <w:pPr>
        <w:spacing w:line="400" w:lineRule="exact"/>
        <w:rPr>
          <w:rFonts w:hint="eastAsia" w:ascii="Times New Roman" w:hAnsi="Times New Roman"/>
          <w:szCs w:val="24"/>
        </w:rPr>
      </w:pPr>
    </w:p>
    <w:p w14:paraId="355D56F2">
      <w:pPr>
        <w:spacing w:line="400" w:lineRule="exact"/>
        <w:rPr>
          <w:rFonts w:hint="eastAsia" w:ascii="Times New Roman" w:hAnsi="Times New Roman"/>
          <w:szCs w:val="24"/>
        </w:rPr>
      </w:pPr>
    </w:p>
    <w:p w14:paraId="3C314814">
      <w:pPr>
        <w:spacing w:line="400" w:lineRule="exact"/>
        <w:rPr>
          <w:rFonts w:hint="eastAsia" w:ascii="Times New Roman" w:hAnsi="Times New Roman"/>
          <w:szCs w:val="24"/>
        </w:rPr>
      </w:pPr>
    </w:p>
    <w:p w14:paraId="2806BCA3">
      <w:pPr>
        <w:spacing w:line="400" w:lineRule="exact"/>
        <w:rPr>
          <w:rFonts w:hint="eastAsia" w:ascii="Times New Roman" w:hAnsi="Times New Roman"/>
          <w:szCs w:val="24"/>
        </w:rPr>
      </w:pPr>
    </w:p>
    <w:p w14:paraId="439FBDDA">
      <w:pPr>
        <w:spacing w:line="400" w:lineRule="exact"/>
        <w:rPr>
          <w:rFonts w:hint="eastAsia" w:ascii="Times New Roman" w:hAnsi="Times New Roman"/>
          <w:szCs w:val="24"/>
        </w:rPr>
      </w:pPr>
    </w:p>
    <w:p w14:paraId="1B642CFF">
      <w:pPr>
        <w:spacing w:line="400" w:lineRule="exact"/>
        <w:rPr>
          <w:rFonts w:hint="eastAsia" w:ascii="Times New Roman" w:hAnsi="Times New Roman"/>
          <w:szCs w:val="24"/>
        </w:rPr>
      </w:pPr>
    </w:p>
    <w:p w14:paraId="57FC00CE">
      <w:pPr>
        <w:spacing w:line="400" w:lineRule="exact"/>
        <w:rPr>
          <w:rFonts w:hint="eastAsia" w:ascii="Times New Roman" w:hAnsi="Times New Roman"/>
          <w:szCs w:val="24"/>
        </w:rPr>
      </w:pPr>
    </w:p>
    <w:p w14:paraId="440D26E0">
      <w:pPr>
        <w:spacing w:line="400" w:lineRule="exact"/>
        <w:rPr>
          <w:rFonts w:hint="eastAsia" w:ascii="Times New Roman" w:hAnsi="Times New Roman"/>
          <w:szCs w:val="24"/>
        </w:rPr>
      </w:pPr>
    </w:p>
    <w:p w14:paraId="57904912">
      <w:pPr>
        <w:spacing w:line="400" w:lineRule="exact"/>
        <w:rPr>
          <w:rFonts w:hint="eastAsia" w:ascii="Times New Roman" w:hAnsi="Times New Roman"/>
          <w:szCs w:val="24"/>
        </w:rPr>
      </w:pPr>
    </w:p>
    <w:p w14:paraId="7254ADE0">
      <w:pPr>
        <w:spacing w:line="400" w:lineRule="exact"/>
        <w:rPr>
          <w:rFonts w:hint="eastAsia" w:ascii="Times New Roman" w:hAnsi="Times New Roman"/>
          <w:szCs w:val="24"/>
        </w:rPr>
      </w:pPr>
    </w:p>
    <w:p w14:paraId="4C3BE1BA">
      <w:pPr>
        <w:rPr>
          <w:rFonts w:hint="eastAsia" w:ascii="宋体" w:hAnsi="宋体"/>
          <w:szCs w:val="21"/>
          <w:lang w:bidi="ar"/>
        </w:rPr>
      </w:pPr>
    </w:p>
    <w:p w14:paraId="1BB6B8C8">
      <w:pPr>
        <w:rPr>
          <w:rFonts w:hint="eastAsia" w:ascii="宋体" w:hAnsi="宋体"/>
          <w:szCs w:val="21"/>
          <w:lang w:bidi="ar"/>
        </w:rPr>
      </w:pPr>
    </w:p>
    <w:p w14:paraId="52900D5A">
      <w:pPr>
        <w:rPr>
          <w:rFonts w:hint="eastAsia" w:ascii="宋体" w:hAnsi="宋体"/>
          <w:szCs w:val="21"/>
          <w:lang w:bidi="ar"/>
        </w:rPr>
      </w:pPr>
    </w:p>
    <w:p w14:paraId="1BDB1BB4">
      <w:pPr>
        <w:rPr>
          <w:rFonts w:hint="eastAsia" w:ascii="宋体" w:hAnsi="宋体"/>
          <w:szCs w:val="21"/>
          <w:lang w:bidi="ar"/>
        </w:rPr>
      </w:pPr>
    </w:p>
    <w:p w14:paraId="6B67B81D">
      <w:pPr>
        <w:spacing w:line="500" w:lineRule="exact"/>
        <w:jc w:val="left"/>
        <w:rPr>
          <w:rFonts w:ascii="宋体" w:hAnsi="宋体" w:cs="宋体"/>
          <w:b/>
          <w:bCs/>
          <w:snapToGrid w:val="0"/>
          <w:kern w:val="0"/>
          <w:sz w:val="24"/>
          <w:szCs w:val="24"/>
        </w:rPr>
      </w:pPr>
      <w:r>
        <w:rPr>
          <w:rFonts w:hint="eastAsia" w:ascii="宋体" w:hAnsi="宋体" w:cs="宋体"/>
          <w:b/>
          <w:bCs/>
          <w:spacing w:val="-13"/>
          <w:sz w:val="24"/>
          <w:szCs w:val="24"/>
        </w:rPr>
        <w:t>一、资格证明文件格式</w:t>
      </w:r>
    </w:p>
    <w:p w14:paraId="1387DD25">
      <w:pPr>
        <w:spacing w:line="360" w:lineRule="exact"/>
        <w:jc w:val="left"/>
        <w:rPr>
          <w:rFonts w:ascii="宋体" w:hAnsi="宋体" w:cs="宋体"/>
          <w:b/>
          <w:bCs/>
          <w:snapToGrid w:val="0"/>
          <w:kern w:val="0"/>
          <w:sz w:val="24"/>
          <w:szCs w:val="24"/>
        </w:rPr>
      </w:pPr>
      <w:r>
        <w:rPr>
          <w:rFonts w:hint="eastAsia" w:ascii="宋体" w:hAnsi="宋体" w:cs="宋体"/>
          <w:b/>
          <w:bCs/>
          <w:snapToGrid w:val="0"/>
          <w:kern w:val="0"/>
          <w:sz w:val="24"/>
          <w:szCs w:val="24"/>
        </w:rPr>
        <w:t>1.开标一览表格式</w:t>
      </w:r>
    </w:p>
    <w:p w14:paraId="6D23AD65">
      <w:pPr>
        <w:spacing w:line="360" w:lineRule="exact"/>
        <w:jc w:val="center"/>
        <w:rPr>
          <w:rFonts w:hint="eastAsia" w:ascii="宋体" w:hAnsi="宋体" w:cs="宋体"/>
          <w:b/>
          <w:bCs/>
          <w:snapToGrid w:val="0"/>
          <w:kern w:val="0"/>
          <w:sz w:val="24"/>
          <w:szCs w:val="24"/>
        </w:rPr>
      </w:pPr>
    </w:p>
    <w:p w14:paraId="2CEB699E">
      <w:pPr>
        <w:spacing w:line="360" w:lineRule="exact"/>
        <w:jc w:val="center"/>
        <w:rPr>
          <w:rFonts w:hint="eastAsia" w:ascii="宋体" w:hAnsi="宋体" w:cs="宋体"/>
          <w:b/>
          <w:bCs/>
          <w:snapToGrid w:val="0"/>
          <w:kern w:val="0"/>
          <w:sz w:val="32"/>
          <w:szCs w:val="24"/>
        </w:rPr>
      </w:pPr>
      <w:r>
        <w:rPr>
          <w:rFonts w:hint="eastAsia" w:ascii="宋体" w:hAnsi="宋体" w:cs="宋体"/>
          <w:b/>
          <w:bCs/>
          <w:snapToGrid w:val="0"/>
          <w:kern w:val="0"/>
          <w:sz w:val="32"/>
          <w:szCs w:val="24"/>
        </w:rPr>
        <w:t>开标一览表</w:t>
      </w:r>
    </w:p>
    <w:p w14:paraId="40C72260">
      <w:pPr>
        <w:ind w:firstLine="420" w:firstLineChars="200"/>
        <w:rPr>
          <w:rFonts w:ascii="Times New Roman" w:hAnsi="Times New Roman"/>
          <w:szCs w:val="24"/>
        </w:rPr>
      </w:pPr>
    </w:p>
    <w:tbl>
      <w:tblPr>
        <w:tblStyle w:val="26"/>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4F84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2243532">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FBFCD67">
            <w:pPr>
              <w:spacing w:line="360" w:lineRule="exact"/>
              <w:jc w:val="left"/>
              <w:rPr>
                <w:rFonts w:ascii="宋体" w:hAnsi="宋体" w:cs="宋体"/>
                <w:bCs/>
                <w:snapToGrid w:val="0"/>
                <w:kern w:val="0"/>
                <w:sz w:val="24"/>
                <w:szCs w:val="24"/>
              </w:rPr>
            </w:pPr>
          </w:p>
        </w:tc>
      </w:tr>
      <w:tr w14:paraId="2FF1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9DC968C">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C63FCC0">
            <w:pPr>
              <w:spacing w:line="360" w:lineRule="exact"/>
              <w:jc w:val="left"/>
              <w:rPr>
                <w:rFonts w:ascii="宋体" w:hAnsi="宋体" w:cs="宋体"/>
                <w:bCs/>
                <w:snapToGrid w:val="0"/>
                <w:kern w:val="0"/>
                <w:sz w:val="24"/>
                <w:szCs w:val="24"/>
              </w:rPr>
            </w:pPr>
          </w:p>
        </w:tc>
      </w:tr>
      <w:tr w14:paraId="3F73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ABE3055">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9D78E8A">
            <w:pPr>
              <w:spacing w:line="360" w:lineRule="exact"/>
              <w:jc w:val="left"/>
              <w:rPr>
                <w:rFonts w:ascii="宋体" w:hAnsi="宋体" w:cs="宋体"/>
                <w:bCs/>
                <w:snapToGrid w:val="0"/>
                <w:kern w:val="0"/>
                <w:sz w:val="24"/>
                <w:szCs w:val="24"/>
              </w:rPr>
            </w:pPr>
          </w:p>
        </w:tc>
      </w:tr>
      <w:tr w14:paraId="1CA7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9B660CB">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73E747B">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大写：（￥：）</w:t>
            </w:r>
          </w:p>
        </w:tc>
      </w:tr>
      <w:tr w14:paraId="667B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0173BF0">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交货时间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A8FA545">
            <w:pPr>
              <w:spacing w:line="360" w:lineRule="exact"/>
              <w:jc w:val="left"/>
              <w:rPr>
                <w:rFonts w:ascii="宋体" w:hAnsi="宋体" w:cs="宋体"/>
                <w:bCs/>
                <w:snapToGrid w:val="0"/>
                <w:kern w:val="0"/>
                <w:sz w:val="24"/>
                <w:szCs w:val="24"/>
              </w:rPr>
            </w:pPr>
          </w:p>
        </w:tc>
      </w:tr>
      <w:tr w14:paraId="63D8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E9DDAB9">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质量保证期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55121B">
            <w:pPr>
              <w:spacing w:line="360" w:lineRule="exact"/>
              <w:jc w:val="left"/>
              <w:rPr>
                <w:rFonts w:ascii="宋体" w:hAnsi="宋体" w:cs="宋体"/>
                <w:bCs/>
                <w:snapToGrid w:val="0"/>
                <w:kern w:val="0"/>
                <w:sz w:val="24"/>
                <w:szCs w:val="24"/>
              </w:rPr>
            </w:pPr>
          </w:p>
        </w:tc>
      </w:tr>
      <w:tr w14:paraId="3C14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FE9EA26">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75DC8AC">
            <w:pPr>
              <w:spacing w:line="360" w:lineRule="exact"/>
              <w:jc w:val="left"/>
              <w:rPr>
                <w:rFonts w:ascii="宋体" w:hAnsi="宋体" w:cs="宋体"/>
                <w:bCs/>
                <w:snapToGrid w:val="0"/>
                <w:kern w:val="0"/>
                <w:sz w:val="24"/>
                <w:szCs w:val="24"/>
              </w:rPr>
            </w:pPr>
          </w:p>
          <w:p w14:paraId="67B5E2B7">
            <w:pPr>
              <w:spacing w:line="360" w:lineRule="exact"/>
              <w:jc w:val="left"/>
              <w:rPr>
                <w:rFonts w:ascii="宋体" w:hAnsi="宋体" w:cs="宋体"/>
                <w:bCs/>
                <w:snapToGrid w:val="0"/>
                <w:kern w:val="0"/>
                <w:sz w:val="24"/>
                <w:szCs w:val="24"/>
              </w:rPr>
            </w:pPr>
          </w:p>
        </w:tc>
      </w:tr>
    </w:tbl>
    <w:p w14:paraId="6A66B305">
      <w:pPr>
        <w:spacing w:line="360" w:lineRule="exact"/>
        <w:jc w:val="left"/>
        <w:rPr>
          <w:rFonts w:ascii="宋体" w:hAnsi="宋体" w:cs="宋体"/>
          <w:bCs/>
          <w:snapToGrid w:val="0"/>
          <w:kern w:val="0"/>
          <w:sz w:val="24"/>
          <w:szCs w:val="24"/>
        </w:rPr>
      </w:pPr>
    </w:p>
    <w:p w14:paraId="1FB944FE">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注：“开标一览表”报总价。</w:t>
      </w:r>
    </w:p>
    <w:p w14:paraId="20E3814D">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投标人（公章）：</w:t>
      </w:r>
    </w:p>
    <w:p w14:paraId="642606B9">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法定代表人（负责人）或授权代表（签字）：</w:t>
      </w:r>
    </w:p>
    <w:p w14:paraId="480CCFD7">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日期：年月日</w:t>
      </w:r>
    </w:p>
    <w:p w14:paraId="7CA4F59B">
      <w:pPr>
        <w:spacing w:line="360" w:lineRule="exact"/>
        <w:jc w:val="left"/>
        <w:rPr>
          <w:rFonts w:ascii="宋体" w:hAnsi="宋体" w:cs="宋体"/>
          <w:bCs/>
          <w:sz w:val="24"/>
          <w:szCs w:val="24"/>
        </w:rPr>
      </w:pPr>
    </w:p>
    <w:p w14:paraId="448D4E9B">
      <w:pPr>
        <w:spacing w:line="360" w:lineRule="exact"/>
        <w:jc w:val="left"/>
        <w:rPr>
          <w:rFonts w:ascii="宋体" w:hAnsi="宋体" w:cs="宋体"/>
          <w:bCs/>
          <w:sz w:val="24"/>
          <w:szCs w:val="24"/>
        </w:rPr>
      </w:pPr>
    </w:p>
    <w:p w14:paraId="410972B7">
      <w:pPr>
        <w:spacing w:line="360" w:lineRule="exact"/>
        <w:jc w:val="left"/>
        <w:rPr>
          <w:rFonts w:ascii="宋体" w:hAnsi="宋体" w:cs="宋体"/>
          <w:bCs/>
          <w:sz w:val="24"/>
          <w:szCs w:val="24"/>
        </w:rPr>
      </w:pPr>
    </w:p>
    <w:p w14:paraId="32F65695">
      <w:pPr>
        <w:spacing w:line="360" w:lineRule="exact"/>
        <w:jc w:val="left"/>
        <w:rPr>
          <w:rFonts w:ascii="宋体" w:hAnsi="宋体" w:cs="宋体"/>
          <w:bCs/>
          <w:sz w:val="24"/>
          <w:szCs w:val="24"/>
        </w:rPr>
      </w:pPr>
    </w:p>
    <w:p w14:paraId="258C00F4">
      <w:pPr>
        <w:pStyle w:val="10"/>
        <w:rPr>
          <w:rFonts w:ascii="宋体" w:hAnsi="宋体" w:cs="宋体"/>
          <w:bCs/>
          <w:sz w:val="24"/>
          <w:szCs w:val="24"/>
        </w:rPr>
      </w:pPr>
    </w:p>
    <w:p w14:paraId="57838567">
      <w:pPr>
        <w:pStyle w:val="22"/>
        <w:rPr>
          <w:rFonts w:ascii="宋体" w:hAnsi="宋体" w:cs="宋体"/>
          <w:bCs/>
          <w:sz w:val="24"/>
          <w:szCs w:val="24"/>
        </w:rPr>
      </w:pPr>
    </w:p>
    <w:p w14:paraId="7E70CDF8">
      <w:pPr>
        <w:pStyle w:val="10"/>
      </w:pPr>
    </w:p>
    <w:p w14:paraId="5EFD08DF">
      <w:pPr>
        <w:spacing w:line="360" w:lineRule="exact"/>
        <w:jc w:val="left"/>
        <w:rPr>
          <w:rFonts w:ascii="宋体" w:hAnsi="宋体" w:cs="宋体"/>
          <w:b/>
          <w:bCs/>
          <w:sz w:val="24"/>
          <w:szCs w:val="24"/>
        </w:rPr>
      </w:pPr>
      <w:r>
        <w:rPr>
          <w:rFonts w:hint="eastAsia" w:ascii="宋体" w:hAnsi="宋体" w:cs="宋体"/>
          <w:b/>
          <w:bCs/>
          <w:sz w:val="24"/>
          <w:szCs w:val="24"/>
        </w:rPr>
        <w:t>2.授权书格式</w:t>
      </w:r>
    </w:p>
    <w:p w14:paraId="6F626C6E">
      <w:pPr>
        <w:spacing w:line="360" w:lineRule="exact"/>
        <w:jc w:val="left"/>
        <w:rPr>
          <w:rFonts w:ascii="宋体" w:hAnsi="宋体" w:cs="宋体"/>
          <w:bCs/>
          <w:sz w:val="24"/>
          <w:szCs w:val="24"/>
        </w:rPr>
      </w:pPr>
    </w:p>
    <w:p w14:paraId="63DF1AC5">
      <w:pPr>
        <w:spacing w:line="360" w:lineRule="exact"/>
        <w:jc w:val="left"/>
        <w:rPr>
          <w:rFonts w:ascii="宋体" w:hAnsi="宋体" w:cs="宋体"/>
          <w:bCs/>
          <w:sz w:val="24"/>
          <w:szCs w:val="24"/>
        </w:rPr>
      </w:pPr>
    </w:p>
    <w:p w14:paraId="13DF40F6">
      <w:pPr>
        <w:spacing w:line="360" w:lineRule="exact"/>
        <w:jc w:val="center"/>
        <w:rPr>
          <w:rFonts w:ascii="宋体" w:hAnsi="宋体" w:cs="宋体"/>
          <w:b/>
          <w:bCs/>
          <w:sz w:val="32"/>
          <w:szCs w:val="24"/>
        </w:rPr>
      </w:pPr>
      <w:r>
        <w:rPr>
          <w:rFonts w:hint="eastAsia" w:ascii="宋体" w:hAnsi="宋体" w:cs="宋体"/>
          <w:b/>
          <w:bCs/>
          <w:sz w:val="32"/>
          <w:szCs w:val="24"/>
        </w:rPr>
        <w:t>法定代表人（负责人）授权委托书</w:t>
      </w:r>
    </w:p>
    <w:p w14:paraId="5F7E57A3">
      <w:pPr>
        <w:spacing w:line="360" w:lineRule="exact"/>
        <w:jc w:val="left"/>
        <w:rPr>
          <w:rFonts w:ascii="宋体" w:hAnsi="宋体" w:cs="宋体"/>
          <w:bCs/>
          <w:sz w:val="24"/>
          <w:szCs w:val="24"/>
        </w:rPr>
      </w:pPr>
    </w:p>
    <w:p w14:paraId="551F3891">
      <w:pPr>
        <w:spacing w:line="480" w:lineRule="exact"/>
        <w:jc w:val="left"/>
        <w:rPr>
          <w:rFonts w:ascii="宋体" w:hAnsi="宋体" w:cs="宋体"/>
          <w:bCs/>
          <w:sz w:val="24"/>
          <w:szCs w:val="24"/>
        </w:rPr>
      </w:pPr>
      <w:r>
        <w:rPr>
          <w:rFonts w:hint="eastAsia" w:ascii="宋体" w:hAnsi="宋体" w:cs="宋体"/>
          <w:bCs/>
          <w:sz w:val="24"/>
          <w:szCs w:val="24"/>
        </w:rPr>
        <w:t>委托单位：</w:t>
      </w:r>
    </w:p>
    <w:p w14:paraId="77CBB8F3">
      <w:pPr>
        <w:spacing w:line="480" w:lineRule="exact"/>
        <w:jc w:val="left"/>
        <w:rPr>
          <w:rFonts w:ascii="宋体" w:hAnsi="宋体" w:cs="宋体"/>
          <w:bCs/>
          <w:sz w:val="24"/>
          <w:szCs w:val="24"/>
        </w:rPr>
      </w:pPr>
      <w:r>
        <w:rPr>
          <w:rFonts w:hint="eastAsia" w:ascii="宋体" w:hAnsi="宋体" w:cs="宋体"/>
          <w:bCs/>
          <w:sz w:val="24"/>
          <w:szCs w:val="24"/>
        </w:rPr>
        <w:t>地址：            法定代表人（负责人）：</w:t>
      </w:r>
    </w:p>
    <w:p w14:paraId="4C2F2712">
      <w:pPr>
        <w:spacing w:line="480" w:lineRule="exact"/>
        <w:jc w:val="left"/>
        <w:rPr>
          <w:rFonts w:ascii="宋体" w:hAnsi="宋体" w:cs="宋体"/>
          <w:bCs/>
          <w:sz w:val="24"/>
          <w:szCs w:val="24"/>
        </w:rPr>
      </w:pPr>
      <w:r>
        <w:rPr>
          <w:rFonts w:hint="eastAsia" w:ascii="宋体" w:hAnsi="宋体" w:cs="宋体"/>
          <w:bCs/>
          <w:sz w:val="24"/>
          <w:szCs w:val="24"/>
        </w:rPr>
        <w:t>授权代表姓名：    性别：        出生日期：年月日</w:t>
      </w:r>
    </w:p>
    <w:p w14:paraId="0EDEF7D5">
      <w:pPr>
        <w:spacing w:line="480" w:lineRule="exact"/>
        <w:jc w:val="left"/>
        <w:rPr>
          <w:rFonts w:ascii="宋体" w:hAnsi="宋体" w:cs="宋体"/>
          <w:bCs/>
          <w:sz w:val="24"/>
          <w:szCs w:val="24"/>
        </w:rPr>
      </w:pPr>
      <w:r>
        <w:rPr>
          <w:rFonts w:hint="eastAsia" w:ascii="宋体" w:hAnsi="宋体" w:cs="宋体"/>
          <w:bCs/>
          <w:sz w:val="24"/>
          <w:szCs w:val="24"/>
        </w:rPr>
        <w:t>所在单位：        职务：</w:t>
      </w:r>
    </w:p>
    <w:p w14:paraId="5B05A88D">
      <w:pPr>
        <w:spacing w:line="480" w:lineRule="exact"/>
        <w:jc w:val="left"/>
        <w:rPr>
          <w:rFonts w:ascii="宋体" w:hAnsi="宋体" w:cs="宋体"/>
          <w:bCs/>
          <w:sz w:val="24"/>
          <w:szCs w:val="24"/>
        </w:rPr>
      </w:pPr>
      <w:r>
        <w:rPr>
          <w:rFonts w:hint="eastAsia" w:ascii="宋体" w:hAnsi="宋体" w:cs="宋体"/>
          <w:bCs/>
          <w:sz w:val="24"/>
          <w:szCs w:val="24"/>
        </w:rPr>
        <w:t>身份证：          现住：</w:t>
      </w:r>
    </w:p>
    <w:p w14:paraId="550D33E2">
      <w:pPr>
        <w:spacing w:line="480" w:lineRule="exact"/>
        <w:jc w:val="left"/>
        <w:rPr>
          <w:rFonts w:ascii="宋体" w:hAnsi="宋体" w:cs="宋体"/>
          <w:bCs/>
          <w:sz w:val="24"/>
          <w:szCs w:val="24"/>
        </w:rPr>
      </w:pPr>
      <w:r>
        <w:rPr>
          <w:rFonts w:hint="eastAsia" w:ascii="宋体" w:hAnsi="宋体" w:cs="宋体"/>
          <w:bCs/>
          <w:sz w:val="24"/>
          <w:szCs w:val="24"/>
        </w:rPr>
        <w:t>兹委托参加项目事宜，并授权其全权办理以下事宜：</w:t>
      </w:r>
    </w:p>
    <w:p w14:paraId="1A4AEDA2">
      <w:pPr>
        <w:spacing w:line="480" w:lineRule="exact"/>
        <w:jc w:val="left"/>
        <w:rPr>
          <w:rFonts w:ascii="宋体" w:hAnsi="宋体" w:cs="宋体"/>
          <w:bCs/>
          <w:sz w:val="24"/>
          <w:szCs w:val="24"/>
        </w:rPr>
      </w:pPr>
      <w:r>
        <w:rPr>
          <w:rFonts w:hint="eastAsia" w:ascii="宋体" w:hAnsi="宋体" w:cs="宋体"/>
          <w:bCs/>
          <w:sz w:val="24"/>
          <w:szCs w:val="24"/>
        </w:rPr>
        <w:t>1、参加投标活动；</w:t>
      </w:r>
    </w:p>
    <w:p w14:paraId="67FB282F">
      <w:pPr>
        <w:spacing w:line="480" w:lineRule="exact"/>
        <w:jc w:val="left"/>
        <w:rPr>
          <w:rFonts w:ascii="宋体" w:hAnsi="宋体" w:cs="宋体"/>
          <w:bCs/>
          <w:sz w:val="24"/>
          <w:szCs w:val="24"/>
        </w:rPr>
      </w:pPr>
      <w:r>
        <w:rPr>
          <w:rFonts w:hint="eastAsia" w:ascii="宋体" w:hAnsi="宋体" w:cs="宋体"/>
          <w:bCs/>
          <w:sz w:val="24"/>
          <w:szCs w:val="24"/>
        </w:rPr>
        <w:t>2、签订与中标事宜有关的合同。</w:t>
      </w:r>
    </w:p>
    <w:p w14:paraId="5E4BFE4D">
      <w:pPr>
        <w:spacing w:line="480" w:lineRule="exact"/>
        <w:jc w:val="left"/>
        <w:rPr>
          <w:rFonts w:ascii="宋体" w:hAnsi="宋体" w:cs="宋体"/>
          <w:bCs/>
          <w:sz w:val="24"/>
          <w:szCs w:val="24"/>
        </w:rPr>
      </w:pPr>
      <w:r>
        <w:rPr>
          <w:rFonts w:hint="eastAsia" w:ascii="宋体" w:hAnsi="宋体" w:cs="宋体"/>
          <w:bCs/>
          <w:sz w:val="24"/>
          <w:szCs w:val="24"/>
        </w:rPr>
        <w:t>授权代表在办理上述事宜过程中以其自己的名义所签署的所有文件我均予以承认。</w:t>
      </w:r>
    </w:p>
    <w:p w14:paraId="3B1973BD">
      <w:pPr>
        <w:spacing w:line="480" w:lineRule="exact"/>
        <w:jc w:val="left"/>
        <w:rPr>
          <w:rFonts w:ascii="宋体" w:hAnsi="宋体" w:cs="宋体"/>
          <w:bCs/>
          <w:sz w:val="24"/>
          <w:szCs w:val="24"/>
        </w:rPr>
      </w:pPr>
      <w:r>
        <w:rPr>
          <w:rFonts w:hint="eastAsia" w:ascii="宋体" w:hAnsi="宋体" w:cs="宋体"/>
          <w:bCs/>
          <w:sz w:val="24"/>
          <w:szCs w:val="24"/>
        </w:rPr>
        <w:t>授权代表无转委权。</w:t>
      </w:r>
    </w:p>
    <w:p w14:paraId="7C1131E2">
      <w:pPr>
        <w:spacing w:line="480" w:lineRule="exact"/>
        <w:jc w:val="left"/>
        <w:rPr>
          <w:rFonts w:ascii="宋体" w:hAnsi="宋体" w:cs="宋体"/>
          <w:bCs/>
          <w:sz w:val="24"/>
          <w:szCs w:val="24"/>
        </w:rPr>
      </w:pPr>
      <w:r>
        <w:rPr>
          <w:rFonts w:hint="eastAsia" w:ascii="宋体" w:hAnsi="宋体" w:cs="宋体"/>
          <w:bCs/>
          <w:sz w:val="24"/>
          <w:szCs w:val="24"/>
        </w:rPr>
        <w:t>委托期限：至上述事宜处理完毕止。</w:t>
      </w:r>
    </w:p>
    <w:p w14:paraId="5931DEB6">
      <w:pPr>
        <w:spacing w:line="480" w:lineRule="exact"/>
        <w:ind w:left="420" w:leftChars="200" w:firstLine="560" w:firstLineChars="200"/>
        <w:jc w:val="left"/>
        <w:rPr>
          <w:rFonts w:ascii="宋体" w:hAnsi="宋体" w:cs="宋体"/>
          <w:bCs/>
          <w:sz w:val="28"/>
          <w:szCs w:val="24"/>
        </w:rPr>
      </w:pPr>
    </w:p>
    <w:p w14:paraId="67CE61C8">
      <w:pPr>
        <w:spacing w:line="480" w:lineRule="exact"/>
        <w:jc w:val="left"/>
        <w:rPr>
          <w:rFonts w:ascii="宋体" w:hAnsi="宋体" w:cs="宋体"/>
          <w:bCs/>
          <w:sz w:val="24"/>
          <w:szCs w:val="24"/>
        </w:rPr>
      </w:pPr>
      <w:r>
        <w:rPr>
          <w:rFonts w:hint="eastAsia" w:ascii="宋体" w:hAnsi="宋体" w:cs="宋体"/>
          <w:bCs/>
          <w:sz w:val="24"/>
          <w:szCs w:val="24"/>
        </w:rPr>
        <w:t>委托单位（公章）：</w:t>
      </w:r>
    </w:p>
    <w:p w14:paraId="46BD52DA">
      <w:pPr>
        <w:spacing w:line="480" w:lineRule="exact"/>
        <w:jc w:val="left"/>
        <w:rPr>
          <w:rFonts w:ascii="宋体" w:hAnsi="宋体" w:cs="宋体"/>
          <w:bCs/>
          <w:sz w:val="24"/>
          <w:szCs w:val="24"/>
        </w:rPr>
      </w:pPr>
      <w:r>
        <w:rPr>
          <w:rFonts w:hint="eastAsia" w:ascii="宋体" w:hAnsi="宋体" w:cs="宋体"/>
          <w:bCs/>
          <w:sz w:val="24"/>
          <w:szCs w:val="24"/>
        </w:rPr>
        <w:t>法定代表人（负责人）（签字）：</w:t>
      </w:r>
    </w:p>
    <w:p w14:paraId="1315F486">
      <w:pPr>
        <w:spacing w:line="480" w:lineRule="exact"/>
        <w:jc w:val="left"/>
        <w:rPr>
          <w:rFonts w:ascii="宋体" w:hAnsi="宋体" w:cs="宋体"/>
          <w:bCs/>
          <w:sz w:val="24"/>
          <w:szCs w:val="24"/>
        </w:rPr>
      </w:pPr>
      <w:r>
        <w:rPr>
          <w:rFonts w:hint="eastAsia" w:ascii="宋体" w:hAnsi="宋体" w:cs="宋体"/>
          <w:bCs/>
          <w:sz w:val="24"/>
          <w:szCs w:val="24"/>
        </w:rPr>
        <w:t>授权代表（签字）：</w:t>
      </w:r>
    </w:p>
    <w:p w14:paraId="0FEBE07D">
      <w:pPr>
        <w:spacing w:line="480" w:lineRule="exact"/>
        <w:jc w:val="left"/>
        <w:rPr>
          <w:rFonts w:ascii="宋体" w:hAnsi="宋体" w:cs="宋体"/>
          <w:bCs/>
          <w:sz w:val="24"/>
          <w:szCs w:val="24"/>
        </w:rPr>
      </w:pPr>
      <w:r>
        <w:rPr>
          <w:rFonts w:hint="eastAsia" w:ascii="宋体" w:hAnsi="宋体" w:cs="宋体"/>
          <w:bCs/>
          <w:sz w:val="24"/>
          <w:szCs w:val="24"/>
        </w:rPr>
        <w:t>日期：</w:t>
      </w:r>
      <w:r>
        <w:rPr>
          <w:rFonts w:hint="eastAsia" w:ascii="宋体" w:hAnsi="宋体" w:cs="宋体"/>
          <w:bCs/>
          <w:snapToGrid w:val="0"/>
          <w:color w:val="000000"/>
          <w:kern w:val="0"/>
          <w:sz w:val="24"/>
          <w:szCs w:val="24"/>
        </w:rPr>
        <w:t>年月日</w:t>
      </w:r>
    </w:p>
    <w:p w14:paraId="74CD971C">
      <w:pPr>
        <w:spacing w:line="480" w:lineRule="exact"/>
        <w:jc w:val="left"/>
        <w:rPr>
          <w:rFonts w:ascii="宋体" w:hAnsi="宋体" w:cs="宋体"/>
          <w:bCs/>
          <w:sz w:val="24"/>
          <w:szCs w:val="24"/>
        </w:rPr>
      </w:pPr>
    </w:p>
    <w:p w14:paraId="7F860E0A">
      <w:pPr>
        <w:spacing w:line="480" w:lineRule="exact"/>
        <w:jc w:val="left"/>
        <w:rPr>
          <w:rFonts w:ascii="宋体" w:hAnsi="宋体" w:cs="宋体"/>
          <w:bCs/>
          <w:sz w:val="24"/>
          <w:szCs w:val="24"/>
        </w:rPr>
      </w:pPr>
      <w:r>
        <w:rPr>
          <w:rFonts w:hint="eastAsia" w:ascii="宋体" w:hAnsi="宋体" w:cs="宋体"/>
          <w:bCs/>
          <w:sz w:val="24"/>
          <w:szCs w:val="24"/>
        </w:rPr>
        <w:t>附：法定代表人（负责人）的身份证及授权代表的身份证</w:t>
      </w:r>
    </w:p>
    <w:p w14:paraId="3339A181">
      <w:pPr>
        <w:spacing w:line="360" w:lineRule="exact"/>
        <w:jc w:val="left"/>
        <w:rPr>
          <w:rFonts w:ascii="宋体" w:hAnsi="宋体" w:cs="宋体"/>
          <w:bCs/>
          <w:sz w:val="24"/>
          <w:szCs w:val="24"/>
        </w:rPr>
      </w:pPr>
    </w:p>
    <w:p w14:paraId="45B9AC08">
      <w:pPr>
        <w:spacing w:line="360" w:lineRule="exact"/>
        <w:jc w:val="left"/>
        <w:rPr>
          <w:rFonts w:ascii="宋体" w:hAnsi="宋体" w:cs="宋体"/>
          <w:bCs/>
          <w:sz w:val="24"/>
          <w:szCs w:val="24"/>
        </w:rPr>
      </w:pPr>
    </w:p>
    <w:p w14:paraId="621AD1D7">
      <w:pPr>
        <w:spacing w:line="360" w:lineRule="exact"/>
        <w:jc w:val="left"/>
        <w:rPr>
          <w:rFonts w:ascii="宋体" w:hAnsi="宋体" w:cs="宋体"/>
          <w:bCs/>
          <w:sz w:val="24"/>
          <w:szCs w:val="24"/>
        </w:rPr>
      </w:pPr>
    </w:p>
    <w:p w14:paraId="39DDDF5B">
      <w:pPr>
        <w:spacing w:line="360" w:lineRule="exact"/>
        <w:jc w:val="left"/>
        <w:rPr>
          <w:rFonts w:ascii="宋体" w:hAnsi="宋体" w:cs="宋体"/>
          <w:bCs/>
          <w:sz w:val="24"/>
          <w:szCs w:val="24"/>
        </w:rPr>
      </w:pPr>
    </w:p>
    <w:p w14:paraId="27A998CA">
      <w:pPr>
        <w:spacing w:line="360" w:lineRule="exact"/>
        <w:jc w:val="left"/>
        <w:rPr>
          <w:rFonts w:ascii="宋体" w:hAnsi="宋体" w:cs="宋体"/>
          <w:bCs/>
          <w:sz w:val="24"/>
          <w:szCs w:val="24"/>
        </w:rPr>
      </w:pPr>
    </w:p>
    <w:p w14:paraId="4AD23CF7">
      <w:pPr>
        <w:spacing w:line="360" w:lineRule="exact"/>
        <w:jc w:val="left"/>
        <w:rPr>
          <w:rFonts w:ascii="宋体" w:hAnsi="宋体" w:cs="宋体"/>
          <w:bCs/>
          <w:sz w:val="24"/>
          <w:szCs w:val="24"/>
        </w:rPr>
      </w:pPr>
    </w:p>
    <w:p w14:paraId="561B4A88">
      <w:pPr>
        <w:spacing w:line="360" w:lineRule="exact"/>
        <w:jc w:val="left"/>
        <w:rPr>
          <w:rFonts w:ascii="宋体" w:hAnsi="宋体" w:cs="宋体"/>
          <w:bCs/>
          <w:sz w:val="24"/>
          <w:szCs w:val="24"/>
        </w:rPr>
      </w:pPr>
    </w:p>
    <w:p w14:paraId="771485B1">
      <w:pPr>
        <w:spacing w:line="360" w:lineRule="exact"/>
        <w:jc w:val="left"/>
        <w:rPr>
          <w:rFonts w:ascii="宋体" w:hAnsi="宋体" w:cs="宋体"/>
          <w:bCs/>
          <w:sz w:val="24"/>
          <w:szCs w:val="24"/>
        </w:rPr>
      </w:pPr>
    </w:p>
    <w:p w14:paraId="772271C3">
      <w:pPr>
        <w:spacing w:line="360" w:lineRule="exact"/>
        <w:jc w:val="left"/>
        <w:rPr>
          <w:rFonts w:ascii="宋体" w:hAnsi="宋体" w:cs="宋体"/>
          <w:bCs/>
          <w:sz w:val="24"/>
          <w:szCs w:val="24"/>
        </w:rPr>
      </w:pPr>
    </w:p>
    <w:p w14:paraId="07331743">
      <w:pPr>
        <w:spacing w:line="360" w:lineRule="exact"/>
        <w:jc w:val="left"/>
        <w:rPr>
          <w:rFonts w:ascii="宋体" w:hAnsi="宋体" w:cs="宋体"/>
          <w:bCs/>
          <w:sz w:val="24"/>
          <w:szCs w:val="24"/>
        </w:rPr>
      </w:pPr>
    </w:p>
    <w:p w14:paraId="30042FE4">
      <w:pPr>
        <w:spacing w:line="360" w:lineRule="exact"/>
        <w:jc w:val="left"/>
        <w:rPr>
          <w:rFonts w:ascii="宋体" w:hAnsi="宋体" w:cs="宋体"/>
          <w:bCs/>
          <w:sz w:val="24"/>
          <w:szCs w:val="24"/>
        </w:rPr>
      </w:pPr>
    </w:p>
    <w:p w14:paraId="09593AD3">
      <w:pPr>
        <w:spacing w:line="360" w:lineRule="exact"/>
        <w:jc w:val="left"/>
        <w:rPr>
          <w:rFonts w:ascii="宋体" w:hAnsi="宋体" w:cs="宋体"/>
          <w:b/>
          <w:bCs/>
          <w:sz w:val="24"/>
          <w:szCs w:val="24"/>
        </w:rPr>
      </w:pPr>
      <w:r>
        <w:rPr>
          <w:rFonts w:hint="eastAsia" w:ascii="宋体" w:hAnsi="宋体" w:cs="宋体"/>
          <w:b/>
          <w:bCs/>
          <w:sz w:val="24"/>
          <w:szCs w:val="24"/>
        </w:rPr>
        <w:t>3.资格声明函格式</w:t>
      </w:r>
    </w:p>
    <w:p w14:paraId="66A75F5D">
      <w:pPr>
        <w:spacing w:line="360" w:lineRule="exact"/>
        <w:jc w:val="center"/>
        <w:rPr>
          <w:rFonts w:ascii="宋体" w:hAnsi="宋体" w:cs="宋体"/>
          <w:b/>
          <w:bCs/>
          <w:sz w:val="24"/>
          <w:szCs w:val="24"/>
        </w:rPr>
      </w:pPr>
    </w:p>
    <w:p w14:paraId="72289F18">
      <w:pPr>
        <w:spacing w:line="360" w:lineRule="exact"/>
        <w:jc w:val="center"/>
        <w:rPr>
          <w:rFonts w:ascii="宋体" w:hAnsi="宋体" w:cs="宋体"/>
          <w:b/>
          <w:bCs/>
          <w:sz w:val="32"/>
          <w:szCs w:val="24"/>
        </w:rPr>
      </w:pPr>
      <w:r>
        <w:rPr>
          <w:rFonts w:hint="eastAsia" w:ascii="宋体" w:hAnsi="宋体" w:cs="宋体"/>
          <w:b/>
          <w:bCs/>
          <w:sz w:val="32"/>
          <w:szCs w:val="24"/>
        </w:rPr>
        <w:t>关于资格的声明函</w:t>
      </w:r>
    </w:p>
    <w:p w14:paraId="003662A9">
      <w:pPr>
        <w:spacing w:line="360" w:lineRule="exact"/>
        <w:jc w:val="left"/>
        <w:rPr>
          <w:rFonts w:ascii="宋体" w:hAnsi="宋体" w:cs="宋体"/>
          <w:bCs/>
          <w:sz w:val="24"/>
          <w:szCs w:val="24"/>
        </w:rPr>
      </w:pPr>
    </w:p>
    <w:p w14:paraId="13D3B252">
      <w:pPr>
        <w:spacing w:line="500" w:lineRule="exact"/>
        <w:jc w:val="left"/>
        <w:rPr>
          <w:rFonts w:ascii="宋体" w:hAnsi="宋体" w:cs="宋体"/>
          <w:bCs/>
          <w:sz w:val="24"/>
          <w:szCs w:val="24"/>
        </w:rPr>
      </w:pPr>
      <w:r>
        <w:rPr>
          <w:rFonts w:hint="eastAsia" w:ascii="宋体" w:hAnsi="宋体" w:cs="宋体"/>
          <w:bCs/>
          <w:sz w:val="24"/>
          <w:szCs w:val="24"/>
        </w:rPr>
        <w:t>采购人或代理机构名称：</w:t>
      </w:r>
    </w:p>
    <w:p w14:paraId="3B955BDA">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关于贵方编号为     公开招标，本签字人愿意参加投标，提供“采购内容及要求”中规定的服务，并证明提交的下列文件和说明是准确的真实的。</w:t>
      </w:r>
    </w:p>
    <w:p w14:paraId="6E08556B">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1、由市场监管局签发的我方工商营业执照副本。</w:t>
      </w:r>
    </w:p>
    <w:p w14:paraId="734AB027">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2、法定代表人（负责人）授权书。</w:t>
      </w:r>
    </w:p>
    <w:p w14:paraId="7DCFD242">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3、法定代表人（负责人）或授权代表身份证（答疑时出示原件）。</w:t>
      </w:r>
    </w:p>
    <w:p w14:paraId="14AD5DDA">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4、公司地址、联系电话、传真等。</w:t>
      </w:r>
    </w:p>
    <w:p w14:paraId="42D747C4">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5、法定代表人（负责人）或授权代表的联系电话。</w:t>
      </w:r>
    </w:p>
    <w:p w14:paraId="2EE0A528">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6、招标项目要求的其他文件。</w:t>
      </w:r>
    </w:p>
    <w:p w14:paraId="01DCA220">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7、本签字人确认资格文件中的说明是真实的、准确的。</w:t>
      </w:r>
    </w:p>
    <w:p w14:paraId="052CA560">
      <w:pPr>
        <w:spacing w:line="500" w:lineRule="exact"/>
        <w:ind w:firstLine="480" w:firstLineChars="200"/>
        <w:jc w:val="left"/>
        <w:rPr>
          <w:rFonts w:ascii="宋体" w:hAnsi="宋体" w:cs="宋体"/>
          <w:bCs/>
          <w:sz w:val="24"/>
          <w:szCs w:val="24"/>
        </w:rPr>
      </w:pPr>
    </w:p>
    <w:p w14:paraId="641B8092">
      <w:pPr>
        <w:spacing w:line="500" w:lineRule="exact"/>
        <w:ind w:firstLine="480" w:firstLineChars="200"/>
        <w:jc w:val="left"/>
        <w:rPr>
          <w:rFonts w:ascii="宋体" w:hAnsi="宋体" w:cs="宋体"/>
          <w:bCs/>
          <w:sz w:val="24"/>
          <w:szCs w:val="24"/>
        </w:rPr>
      </w:pPr>
    </w:p>
    <w:p w14:paraId="767FECFD">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 xml:space="preserve">投标人（公章）：                                                  </w:t>
      </w:r>
    </w:p>
    <w:p w14:paraId="27F1F010">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 xml:space="preserve">法定代表人（负责人）或授权代表（签字）：                          </w:t>
      </w:r>
    </w:p>
    <w:p w14:paraId="702F8784">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日期：    年   月    日</w:t>
      </w:r>
    </w:p>
    <w:p w14:paraId="3746EFC0">
      <w:pPr>
        <w:spacing w:line="500" w:lineRule="exact"/>
        <w:ind w:firstLine="480" w:firstLineChars="200"/>
        <w:jc w:val="left"/>
        <w:rPr>
          <w:rFonts w:ascii="宋体" w:hAnsi="宋体" w:cs="宋体"/>
          <w:bCs/>
          <w:sz w:val="24"/>
          <w:szCs w:val="24"/>
        </w:rPr>
      </w:pPr>
    </w:p>
    <w:p w14:paraId="7265359B">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说明：供应商承诺不实的，依据《中华人民共和国政府采购法》第七十七条供虚假材料谋取中标、成交的</w:t>
      </w:r>
      <w:r>
        <w:rPr>
          <w:rFonts w:ascii="宋体" w:hAnsi="宋体" w:cs="宋体"/>
          <w:position w:val="11"/>
          <w:sz w:val="24"/>
          <w:szCs w:val="24"/>
        </w:rPr>
        <w:drawing>
          <wp:inline distT="0" distB="0" distL="114300" distR="114300">
            <wp:extent cx="66675" cy="38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9"/>
                    <a:stretch>
                      <a:fillRect/>
                    </a:stretch>
                  </pic:blipFill>
                  <pic:spPr>
                    <a:xfrm>
                      <a:off x="0" y="0"/>
                      <a:ext cx="66675" cy="38100"/>
                    </a:xfrm>
                    <a:prstGeom prst="rect">
                      <a:avLst/>
                    </a:prstGeom>
                    <a:noFill/>
                    <a:ln>
                      <a:noFill/>
                    </a:ln>
                  </pic:spPr>
                </pic:pic>
              </a:graphicData>
            </a:graphic>
          </wp:inline>
        </w:drawing>
      </w:r>
      <w:r>
        <w:rPr>
          <w:rFonts w:hint="eastAsia" w:ascii="宋体" w:hAnsi="宋体" w:cs="宋体"/>
          <w:bCs/>
          <w:sz w:val="24"/>
          <w:szCs w:val="24"/>
        </w:rPr>
        <w:t>有关规定予以处理。</w:t>
      </w:r>
    </w:p>
    <w:p w14:paraId="786ABD04">
      <w:pPr>
        <w:spacing w:line="360" w:lineRule="exact"/>
        <w:jc w:val="left"/>
        <w:rPr>
          <w:rFonts w:ascii="宋体" w:hAnsi="宋体" w:cs="宋体"/>
          <w:bCs/>
          <w:sz w:val="24"/>
          <w:szCs w:val="24"/>
        </w:rPr>
      </w:pPr>
    </w:p>
    <w:p w14:paraId="0BE5A530">
      <w:pPr>
        <w:spacing w:line="360" w:lineRule="exact"/>
        <w:jc w:val="left"/>
        <w:rPr>
          <w:rFonts w:ascii="宋体" w:hAnsi="宋体" w:cs="宋体"/>
          <w:bCs/>
          <w:sz w:val="24"/>
          <w:szCs w:val="24"/>
        </w:rPr>
      </w:pPr>
    </w:p>
    <w:p w14:paraId="0EC515F7">
      <w:pPr>
        <w:spacing w:line="360" w:lineRule="exact"/>
        <w:jc w:val="left"/>
        <w:rPr>
          <w:rFonts w:ascii="宋体" w:hAnsi="宋体" w:cs="宋体"/>
          <w:bCs/>
          <w:sz w:val="24"/>
          <w:szCs w:val="24"/>
        </w:rPr>
      </w:pPr>
    </w:p>
    <w:p w14:paraId="30B2941A">
      <w:pPr>
        <w:spacing w:line="360" w:lineRule="exact"/>
        <w:jc w:val="left"/>
        <w:rPr>
          <w:rFonts w:ascii="宋体" w:hAnsi="宋体" w:cs="宋体"/>
          <w:bCs/>
          <w:sz w:val="24"/>
          <w:szCs w:val="24"/>
        </w:rPr>
      </w:pPr>
    </w:p>
    <w:p w14:paraId="4BEDC250">
      <w:pPr>
        <w:spacing w:line="360" w:lineRule="exact"/>
        <w:jc w:val="left"/>
        <w:rPr>
          <w:rFonts w:ascii="宋体" w:hAnsi="宋体" w:cs="宋体"/>
          <w:bCs/>
          <w:sz w:val="24"/>
          <w:szCs w:val="24"/>
        </w:rPr>
      </w:pPr>
    </w:p>
    <w:p w14:paraId="39B707B3">
      <w:pPr>
        <w:spacing w:line="360" w:lineRule="exact"/>
        <w:jc w:val="left"/>
        <w:rPr>
          <w:rFonts w:ascii="宋体" w:hAnsi="宋体" w:cs="宋体"/>
          <w:bCs/>
          <w:sz w:val="24"/>
          <w:szCs w:val="24"/>
        </w:rPr>
      </w:pPr>
    </w:p>
    <w:p w14:paraId="35B802FB">
      <w:pPr>
        <w:spacing w:line="360" w:lineRule="exact"/>
        <w:jc w:val="left"/>
        <w:rPr>
          <w:rFonts w:ascii="宋体" w:hAnsi="宋体" w:cs="宋体"/>
          <w:bCs/>
          <w:sz w:val="24"/>
          <w:szCs w:val="24"/>
        </w:rPr>
      </w:pPr>
    </w:p>
    <w:p w14:paraId="05BF3A49">
      <w:pPr>
        <w:spacing w:line="360" w:lineRule="exact"/>
        <w:jc w:val="left"/>
        <w:rPr>
          <w:rFonts w:ascii="宋体" w:hAnsi="宋体" w:cs="宋体"/>
          <w:bCs/>
          <w:sz w:val="24"/>
          <w:szCs w:val="24"/>
        </w:rPr>
      </w:pPr>
    </w:p>
    <w:p w14:paraId="34182A85">
      <w:pPr>
        <w:rPr>
          <w:rFonts w:ascii="Times New Roman" w:hAnsi="Times New Roman"/>
          <w:szCs w:val="24"/>
        </w:rPr>
      </w:pPr>
    </w:p>
    <w:p w14:paraId="27426FD1">
      <w:pPr>
        <w:spacing w:line="360" w:lineRule="exact"/>
        <w:jc w:val="left"/>
        <w:rPr>
          <w:rFonts w:ascii="宋体" w:hAnsi="宋体" w:cs="宋体"/>
          <w:b/>
          <w:bCs/>
          <w:sz w:val="24"/>
          <w:szCs w:val="24"/>
        </w:rPr>
      </w:pPr>
      <w:r>
        <w:rPr>
          <w:rFonts w:hint="eastAsia" w:ascii="宋体" w:hAnsi="宋体" w:cs="宋体"/>
          <w:b/>
          <w:bCs/>
          <w:sz w:val="24"/>
          <w:szCs w:val="24"/>
        </w:rPr>
        <w:t>4. 投标人承诺函格式</w:t>
      </w:r>
    </w:p>
    <w:p w14:paraId="16CB51A2">
      <w:pPr>
        <w:spacing w:line="360" w:lineRule="exact"/>
        <w:jc w:val="left"/>
        <w:rPr>
          <w:rFonts w:ascii="宋体" w:hAnsi="宋体" w:cs="宋体"/>
          <w:bCs/>
          <w:sz w:val="24"/>
          <w:szCs w:val="24"/>
        </w:rPr>
      </w:pPr>
    </w:p>
    <w:p w14:paraId="6650707E">
      <w:pPr>
        <w:spacing w:line="360" w:lineRule="exact"/>
        <w:jc w:val="center"/>
        <w:rPr>
          <w:rFonts w:ascii="宋体" w:hAnsi="宋体" w:cs="宋体"/>
          <w:b/>
          <w:bCs/>
          <w:sz w:val="32"/>
          <w:szCs w:val="24"/>
        </w:rPr>
      </w:pPr>
      <w:r>
        <w:rPr>
          <w:rFonts w:hint="eastAsia" w:ascii="宋体" w:hAnsi="宋体" w:cs="宋体"/>
          <w:b/>
          <w:bCs/>
          <w:sz w:val="32"/>
          <w:szCs w:val="24"/>
        </w:rPr>
        <w:t>投标人承诺函</w:t>
      </w:r>
    </w:p>
    <w:p w14:paraId="2D57AA36">
      <w:pPr>
        <w:spacing w:line="500" w:lineRule="exact"/>
        <w:ind w:firstLine="428" w:firstLineChars="200"/>
        <w:jc w:val="left"/>
        <w:rPr>
          <w:rFonts w:ascii="宋体" w:hAnsi="宋体" w:cs="宋体"/>
          <w:bCs/>
          <w:spacing w:val="-13"/>
          <w:sz w:val="24"/>
          <w:szCs w:val="24"/>
        </w:rPr>
      </w:pPr>
    </w:p>
    <w:p w14:paraId="6B330777">
      <w:pPr>
        <w:spacing w:line="480" w:lineRule="exact"/>
        <w:jc w:val="left"/>
        <w:rPr>
          <w:rFonts w:ascii="宋体" w:hAnsi="宋体" w:cs="宋体"/>
          <w:bCs/>
          <w:sz w:val="24"/>
          <w:szCs w:val="24"/>
        </w:rPr>
      </w:pPr>
      <w:r>
        <w:rPr>
          <w:rFonts w:hint="eastAsia" w:ascii="宋体" w:hAnsi="宋体" w:cs="宋体"/>
          <w:bCs/>
          <w:sz w:val="24"/>
          <w:szCs w:val="24"/>
        </w:rPr>
        <w:t>采购人或代理机构名称：</w:t>
      </w:r>
    </w:p>
    <w:p w14:paraId="1E88F584">
      <w:pPr>
        <w:spacing w:line="480" w:lineRule="exact"/>
        <w:ind w:firstLine="480" w:firstLineChars="200"/>
        <w:rPr>
          <w:rFonts w:ascii="宋体" w:hAnsi="宋体" w:cs="宋体"/>
          <w:bCs/>
          <w:sz w:val="24"/>
          <w:szCs w:val="24"/>
        </w:rPr>
      </w:pPr>
      <w:r>
        <w:rPr>
          <w:rFonts w:hint="eastAsia" w:ascii="宋体" w:hAnsi="宋体" w:cs="宋体"/>
          <w:bCs/>
          <w:sz w:val="24"/>
          <w:szCs w:val="24"/>
        </w:rPr>
        <w:t>很荣幸能参与项目编号为     项目的投标。</w:t>
      </w:r>
    </w:p>
    <w:p w14:paraId="2CAFF5AB">
      <w:pPr>
        <w:spacing w:line="480" w:lineRule="exact"/>
        <w:ind w:firstLine="480" w:firstLineChars="200"/>
        <w:rPr>
          <w:rFonts w:ascii="宋体" w:hAnsi="宋体" w:cs="宋体"/>
          <w:bCs/>
          <w:sz w:val="24"/>
          <w:szCs w:val="24"/>
        </w:rPr>
      </w:pPr>
      <w:r>
        <w:rPr>
          <w:rFonts w:hint="eastAsia" w:ascii="宋体" w:hAnsi="宋体" w:cs="宋体"/>
          <w:bCs/>
          <w:sz w:val="24"/>
          <w:szCs w:val="24"/>
        </w:rPr>
        <w:t>我代表（投标人名称），在此作如下承诺：</w:t>
      </w:r>
    </w:p>
    <w:p w14:paraId="4C7C4696">
      <w:pPr>
        <w:spacing w:line="480" w:lineRule="exact"/>
        <w:ind w:firstLine="480" w:firstLineChars="200"/>
        <w:rPr>
          <w:rFonts w:ascii="宋体" w:hAnsi="宋体" w:cs="宋体"/>
          <w:bCs/>
          <w:sz w:val="24"/>
          <w:szCs w:val="24"/>
        </w:rPr>
      </w:pPr>
      <w:r>
        <w:rPr>
          <w:rFonts w:hint="eastAsia" w:ascii="宋体" w:hAnsi="宋体" w:cs="宋体"/>
          <w:bCs/>
          <w:sz w:val="24"/>
          <w:szCs w:val="24"/>
        </w:rPr>
        <w:t>1、完全理解和接受本项目招标文件的一切规定和要求；</w:t>
      </w:r>
    </w:p>
    <w:p w14:paraId="5F871D91">
      <w:pPr>
        <w:spacing w:line="480" w:lineRule="exact"/>
        <w:ind w:firstLine="480" w:firstLineChars="200"/>
        <w:rPr>
          <w:rFonts w:ascii="宋体" w:hAnsi="宋体" w:cs="宋体"/>
          <w:bCs/>
          <w:sz w:val="24"/>
          <w:szCs w:val="24"/>
        </w:rPr>
      </w:pPr>
      <w:r>
        <w:rPr>
          <w:rFonts w:hint="eastAsia" w:ascii="宋体" w:hAnsi="宋体" w:cs="宋体"/>
          <w:bCs/>
          <w:sz w:val="24"/>
          <w:szCs w:val="24"/>
        </w:rPr>
        <w:t>2、我方递交的投标文件中所有的资料均为真实的、准确的，无任何虚假内容。若存在有虚假内容，我方愿意承担法律责任。</w:t>
      </w:r>
    </w:p>
    <w:p w14:paraId="05E5D5AA">
      <w:pPr>
        <w:spacing w:line="480" w:lineRule="exact"/>
        <w:ind w:firstLine="480" w:firstLineChars="200"/>
        <w:rPr>
          <w:rFonts w:ascii="宋体" w:hAnsi="宋体" w:cs="宋体"/>
          <w:bCs/>
          <w:sz w:val="24"/>
          <w:szCs w:val="24"/>
        </w:rPr>
      </w:pPr>
      <w:r>
        <w:rPr>
          <w:rFonts w:hint="eastAsia" w:ascii="宋体" w:hAnsi="宋体" w:cs="宋体"/>
          <w:bCs/>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4D3C5012">
      <w:pPr>
        <w:spacing w:line="480" w:lineRule="exact"/>
        <w:ind w:firstLine="480" w:firstLineChars="200"/>
        <w:rPr>
          <w:rFonts w:ascii="宋体" w:hAnsi="宋体" w:cs="宋体"/>
          <w:bCs/>
          <w:sz w:val="24"/>
          <w:szCs w:val="24"/>
        </w:rPr>
      </w:pPr>
      <w:r>
        <w:rPr>
          <w:rFonts w:hint="eastAsia" w:ascii="宋体" w:hAnsi="宋体" w:cs="宋体"/>
          <w:bCs/>
          <w:sz w:val="24"/>
          <w:szCs w:val="24"/>
        </w:rPr>
        <w:t>4、若中标，本承诺将成为合同不可分割的一部分，与合同具有同等的法律效力。</w:t>
      </w:r>
    </w:p>
    <w:p w14:paraId="5DD5D99B">
      <w:pPr>
        <w:spacing w:line="480" w:lineRule="exact"/>
        <w:ind w:firstLine="480" w:firstLineChars="200"/>
        <w:rPr>
          <w:rFonts w:ascii="宋体" w:hAnsi="宋体" w:cs="宋体"/>
          <w:bCs/>
          <w:sz w:val="24"/>
          <w:szCs w:val="24"/>
        </w:rPr>
      </w:pPr>
      <w:r>
        <w:rPr>
          <w:rFonts w:hint="eastAsia" w:ascii="宋体" w:hAnsi="宋体" w:cs="宋体"/>
          <w:bCs/>
          <w:sz w:val="24"/>
          <w:szCs w:val="24"/>
        </w:rPr>
        <w:t>5、我方同意招标文件所附的合同文本作为与采购方签约的合同文本，非经双方一致同意，不得改变原合同文本的条款。</w:t>
      </w:r>
    </w:p>
    <w:p w14:paraId="74F06DA1">
      <w:pPr>
        <w:spacing w:line="480" w:lineRule="exact"/>
        <w:ind w:firstLine="480" w:firstLineChars="200"/>
        <w:rPr>
          <w:rFonts w:ascii="宋体" w:hAnsi="宋体" w:cs="宋体"/>
          <w:bCs/>
          <w:sz w:val="24"/>
          <w:szCs w:val="24"/>
        </w:rPr>
      </w:pPr>
      <w:r>
        <w:rPr>
          <w:rFonts w:hint="eastAsia" w:ascii="宋体" w:hAnsi="宋体" w:cs="宋体"/>
          <w:bCs/>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4168F810">
      <w:pPr>
        <w:spacing w:line="480" w:lineRule="exact"/>
        <w:ind w:firstLine="480" w:firstLineChars="200"/>
        <w:rPr>
          <w:rFonts w:ascii="宋体" w:hAnsi="宋体" w:cs="宋体"/>
          <w:bCs/>
          <w:sz w:val="24"/>
          <w:szCs w:val="24"/>
        </w:rPr>
      </w:pPr>
    </w:p>
    <w:p w14:paraId="5BCE6DF9">
      <w:pPr>
        <w:spacing w:line="480" w:lineRule="exact"/>
        <w:jc w:val="left"/>
        <w:rPr>
          <w:rFonts w:ascii="宋体" w:hAnsi="宋体" w:cs="宋体"/>
          <w:bCs/>
          <w:sz w:val="24"/>
          <w:szCs w:val="24"/>
        </w:rPr>
      </w:pPr>
      <w:r>
        <w:rPr>
          <w:rFonts w:hint="eastAsia" w:ascii="宋体" w:hAnsi="宋体" w:cs="宋体"/>
          <w:bCs/>
          <w:sz w:val="24"/>
          <w:szCs w:val="24"/>
        </w:rPr>
        <w:t>投标人（公章）：</w:t>
      </w:r>
    </w:p>
    <w:p w14:paraId="1E825AD7">
      <w:pPr>
        <w:spacing w:line="480" w:lineRule="exact"/>
        <w:jc w:val="left"/>
        <w:rPr>
          <w:rFonts w:ascii="宋体" w:hAnsi="宋体" w:cs="宋体"/>
          <w:bCs/>
          <w:sz w:val="24"/>
          <w:szCs w:val="24"/>
        </w:rPr>
      </w:pPr>
      <w:r>
        <w:rPr>
          <w:rFonts w:hint="eastAsia" w:ascii="宋体" w:hAnsi="宋体" w:cs="宋体"/>
          <w:bCs/>
          <w:sz w:val="24"/>
          <w:szCs w:val="24"/>
        </w:rPr>
        <w:t>法定代表人（负责人）或授权代表（签字）：</w:t>
      </w:r>
    </w:p>
    <w:p w14:paraId="2C14CA9A">
      <w:pPr>
        <w:spacing w:line="480" w:lineRule="exact"/>
        <w:jc w:val="left"/>
        <w:rPr>
          <w:rFonts w:ascii="宋体" w:hAnsi="宋体" w:cs="宋体"/>
          <w:bCs/>
          <w:sz w:val="24"/>
          <w:szCs w:val="24"/>
        </w:rPr>
      </w:pPr>
      <w:r>
        <w:rPr>
          <w:rFonts w:hint="eastAsia" w:ascii="宋体" w:hAnsi="宋体" w:cs="宋体"/>
          <w:bCs/>
          <w:sz w:val="24"/>
          <w:szCs w:val="24"/>
        </w:rPr>
        <w:t>日期：</w:t>
      </w:r>
      <w:r>
        <w:rPr>
          <w:rFonts w:hint="eastAsia" w:ascii="宋体" w:hAnsi="宋体" w:cs="宋体"/>
          <w:bCs/>
          <w:snapToGrid w:val="0"/>
          <w:color w:val="000000"/>
          <w:kern w:val="0"/>
          <w:sz w:val="24"/>
          <w:szCs w:val="24"/>
        </w:rPr>
        <w:t>年月日</w:t>
      </w:r>
    </w:p>
    <w:p w14:paraId="30E4BAA9">
      <w:pPr>
        <w:spacing w:line="360" w:lineRule="exact"/>
        <w:jc w:val="left"/>
        <w:rPr>
          <w:rFonts w:ascii="宋体" w:hAnsi="宋体" w:cs="宋体"/>
          <w:bCs/>
          <w:sz w:val="24"/>
          <w:szCs w:val="24"/>
        </w:rPr>
      </w:pPr>
    </w:p>
    <w:p w14:paraId="310ACB66">
      <w:pPr>
        <w:spacing w:line="360" w:lineRule="exact"/>
        <w:jc w:val="left"/>
        <w:rPr>
          <w:rFonts w:ascii="宋体" w:hAnsi="宋体" w:cs="宋体"/>
          <w:bCs/>
          <w:sz w:val="24"/>
          <w:szCs w:val="24"/>
        </w:rPr>
      </w:pPr>
    </w:p>
    <w:p w14:paraId="5B0FBDEF">
      <w:pPr>
        <w:spacing w:line="360" w:lineRule="exact"/>
        <w:jc w:val="left"/>
        <w:rPr>
          <w:rFonts w:ascii="宋体" w:hAnsi="宋体" w:cs="宋体"/>
          <w:bCs/>
          <w:sz w:val="24"/>
          <w:szCs w:val="24"/>
        </w:rPr>
      </w:pPr>
    </w:p>
    <w:p w14:paraId="53E81C5D">
      <w:pPr>
        <w:spacing w:line="360" w:lineRule="exact"/>
        <w:jc w:val="left"/>
        <w:rPr>
          <w:rFonts w:ascii="宋体" w:hAnsi="宋体" w:cs="宋体"/>
          <w:bCs/>
          <w:sz w:val="24"/>
          <w:szCs w:val="24"/>
        </w:rPr>
      </w:pPr>
    </w:p>
    <w:p w14:paraId="3E8CA1D6">
      <w:pPr>
        <w:spacing w:line="360" w:lineRule="exact"/>
        <w:jc w:val="left"/>
        <w:rPr>
          <w:rFonts w:ascii="宋体" w:hAnsi="宋体" w:cs="宋体"/>
          <w:bCs/>
          <w:sz w:val="24"/>
          <w:szCs w:val="24"/>
        </w:rPr>
      </w:pPr>
    </w:p>
    <w:p w14:paraId="2EFF07DB">
      <w:pPr>
        <w:spacing w:line="440" w:lineRule="exact"/>
        <w:jc w:val="left"/>
        <w:rPr>
          <w:rFonts w:ascii="宋体" w:hAnsi="宋体" w:cs="宋体"/>
          <w:bCs/>
          <w:sz w:val="24"/>
          <w:szCs w:val="24"/>
        </w:rPr>
      </w:pPr>
    </w:p>
    <w:p w14:paraId="18C0D27A">
      <w:pPr>
        <w:spacing w:line="440" w:lineRule="exact"/>
        <w:jc w:val="left"/>
        <w:rPr>
          <w:rFonts w:ascii="宋体" w:hAnsi="宋体" w:cs="宋体"/>
          <w:bCs/>
          <w:sz w:val="24"/>
          <w:szCs w:val="24"/>
        </w:rPr>
      </w:pPr>
    </w:p>
    <w:p w14:paraId="3395F783">
      <w:pPr>
        <w:spacing w:line="520" w:lineRule="exact"/>
        <w:rPr>
          <w:rFonts w:ascii="宋体" w:hAnsi="宋体" w:cs="宋体"/>
          <w:sz w:val="24"/>
          <w:szCs w:val="24"/>
        </w:rPr>
      </w:pPr>
      <w:r>
        <w:rPr>
          <w:rFonts w:hint="eastAsia" w:ascii="宋体" w:hAnsi="宋体" w:cs="宋体"/>
          <w:b/>
          <w:sz w:val="24"/>
          <w:szCs w:val="24"/>
        </w:rPr>
        <w:t>5.营业执照副本或其他资格证明文件</w:t>
      </w:r>
      <w:r>
        <w:rPr>
          <w:rFonts w:hint="eastAsia" w:ascii="宋体" w:hAnsi="宋体" w:cs="宋体"/>
          <w:sz w:val="24"/>
          <w:szCs w:val="24"/>
        </w:rPr>
        <w:t>（加盖单位公章）</w:t>
      </w:r>
    </w:p>
    <w:p w14:paraId="21AC8512">
      <w:pPr>
        <w:spacing w:line="520" w:lineRule="exact"/>
        <w:rPr>
          <w:rFonts w:ascii="宋体" w:hAnsi="宋体" w:cs="宋体"/>
          <w:sz w:val="24"/>
          <w:szCs w:val="24"/>
        </w:rPr>
      </w:pPr>
      <w:r>
        <w:rPr>
          <w:rFonts w:hint="eastAsia" w:ascii="宋体" w:hAnsi="宋体" w:cs="宋体"/>
          <w:b/>
          <w:sz w:val="24"/>
          <w:szCs w:val="24"/>
        </w:rPr>
        <w:t>6.具有履行合同所必需的设备和专业技术能力的承诺</w:t>
      </w:r>
      <w:r>
        <w:rPr>
          <w:rFonts w:hint="eastAsia" w:ascii="宋体" w:hAnsi="宋体" w:cs="宋体"/>
          <w:sz w:val="24"/>
          <w:szCs w:val="24"/>
        </w:rPr>
        <w:t>（加盖单位公章）</w:t>
      </w:r>
    </w:p>
    <w:p w14:paraId="281F0503">
      <w:pPr>
        <w:widowControl/>
        <w:adjustRightInd w:val="0"/>
        <w:snapToGrid w:val="0"/>
        <w:spacing w:line="520" w:lineRule="exact"/>
        <w:rPr>
          <w:rFonts w:ascii="宋体" w:hAnsi="宋体" w:cs="宋体"/>
          <w:sz w:val="24"/>
          <w:szCs w:val="24"/>
        </w:rPr>
      </w:pPr>
      <w:r>
        <w:rPr>
          <w:rFonts w:hint="eastAsia" w:ascii="宋体" w:hAnsi="宋体" w:cs="宋体"/>
          <w:b/>
          <w:sz w:val="24"/>
          <w:szCs w:val="24"/>
        </w:rPr>
        <w:t>7.依法缴纳税收和社会保障资金的缴费凭证</w:t>
      </w:r>
      <w:r>
        <w:rPr>
          <w:rFonts w:hint="eastAsia" w:ascii="宋体" w:hAnsi="宋体" w:cs="宋体"/>
          <w:sz w:val="24"/>
          <w:szCs w:val="24"/>
        </w:rPr>
        <w:t>（加盖单位公章）</w:t>
      </w:r>
    </w:p>
    <w:p w14:paraId="01E1273A">
      <w:pPr>
        <w:spacing w:line="520" w:lineRule="exact"/>
        <w:rPr>
          <w:rFonts w:ascii="宋体" w:hAnsi="宋体" w:cs="宋体"/>
          <w:sz w:val="24"/>
          <w:szCs w:val="24"/>
        </w:rPr>
      </w:pPr>
      <w:r>
        <w:rPr>
          <w:rFonts w:hint="eastAsia" w:ascii="宋体" w:hAnsi="宋体" w:cs="宋体"/>
          <w:b/>
          <w:sz w:val="24"/>
          <w:szCs w:val="24"/>
        </w:rPr>
        <w:t>8.良好的商业信誉和健全的财务会计制度的证明文件</w:t>
      </w:r>
      <w:r>
        <w:rPr>
          <w:rFonts w:hint="eastAsia" w:ascii="宋体" w:hAnsi="宋体" w:cs="宋体"/>
          <w:sz w:val="24"/>
          <w:szCs w:val="24"/>
        </w:rPr>
        <w:t>（加盖单位公章）</w:t>
      </w:r>
    </w:p>
    <w:p w14:paraId="0460424F">
      <w:pPr>
        <w:spacing w:line="520" w:lineRule="exact"/>
        <w:rPr>
          <w:rFonts w:hint="eastAsia" w:ascii="宋体" w:hAnsi="宋体" w:cs="宋体"/>
          <w:sz w:val="24"/>
          <w:szCs w:val="24"/>
        </w:rPr>
      </w:pPr>
      <w:r>
        <w:rPr>
          <w:rFonts w:hint="eastAsia" w:ascii="宋体" w:hAnsi="宋体" w:cs="宋体"/>
          <w:sz w:val="24"/>
          <w:szCs w:val="24"/>
        </w:rPr>
        <w:t>说明：（1）提供本单位</w:t>
      </w:r>
      <w:r>
        <w:rPr>
          <w:rFonts w:hint="eastAsia" w:ascii="宋体" w:hAnsi="宋体" w:eastAsia="宋体" w:cs="宋体"/>
          <w:sz w:val="24"/>
          <w:szCs w:val="24"/>
          <w:lang w:val="en-US" w:eastAsia="zh-CN"/>
        </w:rPr>
        <w:t>近一年</w:t>
      </w:r>
      <w:r>
        <w:rPr>
          <w:rFonts w:hint="eastAsia" w:ascii="宋体" w:hAnsi="宋体" w:cs="宋体"/>
          <w:sz w:val="24"/>
          <w:szCs w:val="24"/>
        </w:rPr>
        <w:t>经会计师事务所出具的审计报告或本公司出具的财务报表或提供银行出具的证明文件。银行出具的证明文件应能说明该投标人与银行之间业务往来正常，企业信誉良好等。</w:t>
      </w:r>
    </w:p>
    <w:p w14:paraId="21A1E3FD">
      <w:pPr>
        <w:spacing w:line="520" w:lineRule="exact"/>
        <w:ind w:firstLine="720" w:firstLineChars="300"/>
        <w:rPr>
          <w:rFonts w:ascii="宋体" w:hAnsi="宋体" w:cs="宋体"/>
          <w:sz w:val="24"/>
          <w:szCs w:val="24"/>
        </w:rPr>
      </w:pPr>
      <w:r>
        <w:rPr>
          <w:rFonts w:hint="eastAsia" w:ascii="宋体" w:hAnsi="宋体" w:cs="宋体"/>
          <w:sz w:val="24"/>
          <w:szCs w:val="24"/>
        </w:rPr>
        <w:t>（2）供应商提供企业有关财务会计制度。</w:t>
      </w:r>
    </w:p>
    <w:p w14:paraId="1F901DE2">
      <w:pPr>
        <w:spacing w:line="520" w:lineRule="exact"/>
        <w:rPr>
          <w:rFonts w:ascii="宋体" w:hAnsi="宋体" w:cs="宋体"/>
          <w:sz w:val="24"/>
          <w:szCs w:val="24"/>
        </w:rPr>
      </w:pPr>
      <w:r>
        <w:rPr>
          <w:rFonts w:hint="eastAsia" w:ascii="宋体" w:hAnsi="宋体" w:cs="宋体"/>
          <w:b/>
          <w:sz w:val="24"/>
          <w:szCs w:val="24"/>
        </w:rPr>
        <w:t>9.投标人出具参加政府采购活动前三年内，在经营活动中没有重大违法记录的书面声明</w:t>
      </w:r>
      <w:r>
        <w:rPr>
          <w:rFonts w:hint="eastAsia" w:ascii="宋体" w:hAnsi="宋体" w:cs="宋体"/>
          <w:sz w:val="24"/>
          <w:szCs w:val="24"/>
        </w:rPr>
        <w:t>（加盖单位公章）</w:t>
      </w:r>
    </w:p>
    <w:p w14:paraId="6EE171D7">
      <w:pPr>
        <w:spacing w:line="360" w:lineRule="auto"/>
        <w:jc w:val="center"/>
        <w:rPr>
          <w:rFonts w:ascii="宋体" w:hAnsi="宋体" w:cs="宋体"/>
          <w:sz w:val="24"/>
          <w:szCs w:val="24"/>
        </w:rPr>
      </w:pPr>
    </w:p>
    <w:p w14:paraId="7037E05D">
      <w:pPr>
        <w:spacing w:line="360" w:lineRule="auto"/>
        <w:jc w:val="center"/>
        <w:rPr>
          <w:rFonts w:ascii="宋体" w:hAnsi="宋体" w:cs="宋体"/>
          <w:b/>
          <w:sz w:val="24"/>
          <w:szCs w:val="24"/>
        </w:rPr>
      </w:pPr>
      <w:r>
        <w:rPr>
          <w:rFonts w:hint="eastAsia" w:ascii="宋体" w:hAnsi="宋体" w:cs="宋体"/>
          <w:b/>
          <w:sz w:val="24"/>
          <w:szCs w:val="24"/>
        </w:rPr>
        <w:t>声明函（格式）</w:t>
      </w:r>
    </w:p>
    <w:p w14:paraId="5A8227B8">
      <w:pPr>
        <w:spacing w:line="360" w:lineRule="auto"/>
        <w:ind w:firstLine="604" w:firstLineChars="252"/>
        <w:rPr>
          <w:rFonts w:ascii="宋体" w:hAnsi="宋体" w:cs="宋体"/>
          <w:sz w:val="24"/>
          <w:szCs w:val="24"/>
        </w:rPr>
      </w:pPr>
    </w:p>
    <w:p w14:paraId="47E0F5EB">
      <w:pPr>
        <w:spacing w:line="360" w:lineRule="auto"/>
        <w:ind w:firstLine="604" w:firstLineChars="252"/>
        <w:rPr>
          <w:rFonts w:ascii="宋体" w:hAnsi="宋体" w:cs="宋体"/>
          <w:sz w:val="24"/>
          <w:szCs w:val="24"/>
        </w:rPr>
      </w:pPr>
      <w:r>
        <w:rPr>
          <w:rFonts w:hint="eastAsia" w:ascii="宋体" w:hAnsi="宋体" w:cs="宋体"/>
          <w:sz w:val="24"/>
          <w:szCs w:val="24"/>
        </w:rPr>
        <w:t>（法定代表人或其授权代表）代表</w:t>
      </w:r>
      <w:r>
        <w:rPr>
          <w:rFonts w:hint="eastAsia" w:ascii="宋体" w:hAnsi="宋体" w:cs="宋体"/>
          <w:sz w:val="24"/>
          <w:szCs w:val="24"/>
          <w:u w:val="single"/>
        </w:rPr>
        <w:t xml:space="preserve">   （</w:t>
      </w:r>
      <w:r>
        <w:rPr>
          <w:rFonts w:hint="eastAsia" w:ascii="宋体" w:hAnsi="宋体" w:cs="宋体"/>
          <w:sz w:val="24"/>
          <w:szCs w:val="24"/>
        </w:rPr>
        <w:t>公司全称） 向本项目的采购人和采购代理机构郑重声明如下：</w:t>
      </w:r>
    </w:p>
    <w:p w14:paraId="66CC82A4">
      <w:pPr>
        <w:spacing w:line="360" w:lineRule="auto"/>
        <w:ind w:firstLine="604" w:firstLineChars="252"/>
        <w:rPr>
          <w:rFonts w:ascii="宋体" w:hAnsi="宋体" w:cs="宋体"/>
          <w:sz w:val="24"/>
          <w:szCs w:val="24"/>
        </w:rPr>
      </w:pPr>
      <w:r>
        <w:rPr>
          <w:rFonts w:hint="eastAsia" w:ascii="宋体" w:hAnsi="宋体" w:cs="宋体"/>
          <w:sz w:val="24"/>
          <w:szCs w:val="24"/>
        </w:rPr>
        <w:t>我公司近三年来的经营活动中，未因违法经营受到刑事处罚或者责令停产停业、吊销许可证或者执照、较大数额罚款等行政处罚。</w:t>
      </w:r>
    </w:p>
    <w:p w14:paraId="5F4B98E6">
      <w:pPr>
        <w:spacing w:line="360" w:lineRule="auto"/>
        <w:ind w:firstLine="604" w:firstLineChars="252"/>
        <w:rPr>
          <w:rFonts w:ascii="宋体" w:hAnsi="宋体" w:cs="宋体"/>
          <w:sz w:val="24"/>
          <w:szCs w:val="24"/>
        </w:rPr>
      </w:pPr>
      <w:r>
        <w:rPr>
          <w:rFonts w:hint="eastAsia" w:ascii="宋体" w:hAnsi="宋体" w:cs="宋体"/>
          <w:sz w:val="24"/>
          <w:szCs w:val="24"/>
        </w:rPr>
        <w:t>特此声明。</w:t>
      </w:r>
    </w:p>
    <w:p w14:paraId="2C843390">
      <w:pPr>
        <w:spacing w:line="360" w:lineRule="auto"/>
        <w:ind w:firstLine="604" w:firstLineChars="252"/>
        <w:rPr>
          <w:rFonts w:ascii="宋体" w:hAnsi="宋体" w:cs="宋体"/>
          <w:sz w:val="24"/>
          <w:szCs w:val="24"/>
        </w:rPr>
      </w:pPr>
    </w:p>
    <w:p w14:paraId="4D386C29">
      <w:pPr>
        <w:spacing w:line="360" w:lineRule="auto"/>
        <w:ind w:firstLine="604" w:firstLineChars="252"/>
        <w:rPr>
          <w:rFonts w:ascii="宋体" w:hAnsi="宋体" w:cs="宋体"/>
          <w:sz w:val="24"/>
          <w:szCs w:val="24"/>
        </w:rPr>
      </w:pPr>
      <w:r>
        <w:rPr>
          <w:rFonts w:hint="eastAsia" w:ascii="宋体" w:hAnsi="宋体" w:cs="宋体"/>
          <w:sz w:val="24"/>
          <w:szCs w:val="24"/>
        </w:rPr>
        <w:t>供应商（盖章）：</w:t>
      </w:r>
    </w:p>
    <w:p w14:paraId="59DAEEFE">
      <w:pPr>
        <w:spacing w:line="360" w:lineRule="auto"/>
        <w:ind w:firstLine="600" w:firstLineChars="250"/>
        <w:rPr>
          <w:rFonts w:ascii="宋体" w:hAnsi="宋体" w:cs="宋体"/>
          <w:sz w:val="24"/>
          <w:szCs w:val="24"/>
        </w:rPr>
      </w:pPr>
      <w:r>
        <w:rPr>
          <w:rFonts w:hint="eastAsia" w:ascii="宋体" w:hAnsi="宋体" w:cs="宋体"/>
          <w:sz w:val="24"/>
          <w:szCs w:val="24"/>
        </w:rPr>
        <w:t>法定代表人或其授权代表（签字）：</w:t>
      </w:r>
    </w:p>
    <w:p w14:paraId="3475B5FD">
      <w:pPr>
        <w:ind w:firstLine="480" w:firstLineChars="200"/>
        <w:rPr>
          <w:rFonts w:ascii="Times New Roman" w:hAnsi="Times New Roman"/>
          <w:sz w:val="24"/>
          <w:szCs w:val="24"/>
        </w:rPr>
      </w:pPr>
      <w:r>
        <w:rPr>
          <w:rFonts w:hint="eastAsia" w:ascii="Times New Roman" w:hAnsi="Times New Roman"/>
          <w:sz w:val="24"/>
          <w:szCs w:val="24"/>
        </w:rPr>
        <w:t xml:space="preserve"> 日期： 年 月 日</w:t>
      </w:r>
    </w:p>
    <w:p w14:paraId="0AC1E4C9">
      <w:pPr>
        <w:spacing w:line="360" w:lineRule="exact"/>
        <w:jc w:val="left"/>
        <w:rPr>
          <w:rFonts w:ascii="宋体" w:hAnsi="宋体" w:cs="宋体"/>
          <w:bCs/>
          <w:sz w:val="24"/>
          <w:szCs w:val="24"/>
        </w:rPr>
      </w:pPr>
    </w:p>
    <w:p w14:paraId="7B61BEE1">
      <w:pPr>
        <w:spacing w:line="360" w:lineRule="exact"/>
        <w:jc w:val="left"/>
        <w:rPr>
          <w:rFonts w:ascii="宋体" w:hAnsi="宋体" w:cs="宋体"/>
          <w:bCs/>
          <w:sz w:val="24"/>
          <w:szCs w:val="24"/>
        </w:rPr>
      </w:pPr>
    </w:p>
    <w:p w14:paraId="47DB6740">
      <w:pPr>
        <w:spacing w:line="360" w:lineRule="exact"/>
        <w:jc w:val="left"/>
        <w:rPr>
          <w:rFonts w:ascii="宋体" w:hAnsi="宋体" w:cs="宋体"/>
          <w:bCs/>
          <w:sz w:val="24"/>
          <w:szCs w:val="24"/>
        </w:rPr>
      </w:pPr>
    </w:p>
    <w:p w14:paraId="70CE0E10">
      <w:pPr>
        <w:spacing w:line="360" w:lineRule="exact"/>
        <w:jc w:val="left"/>
        <w:rPr>
          <w:rFonts w:ascii="宋体" w:hAnsi="宋体" w:cs="宋体"/>
          <w:bCs/>
          <w:sz w:val="24"/>
          <w:szCs w:val="24"/>
        </w:rPr>
      </w:pPr>
    </w:p>
    <w:p w14:paraId="2273736F">
      <w:pPr>
        <w:spacing w:line="360" w:lineRule="exact"/>
        <w:jc w:val="left"/>
        <w:rPr>
          <w:rFonts w:ascii="宋体" w:hAnsi="宋体" w:cs="宋体"/>
          <w:bCs/>
          <w:sz w:val="24"/>
          <w:szCs w:val="24"/>
        </w:rPr>
      </w:pPr>
    </w:p>
    <w:p w14:paraId="74292EB1">
      <w:pPr>
        <w:spacing w:line="360" w:lineRule="exact"/>
        <w:jc w:val="left"/>
        <w:rPr>
          <w:rFonts w:ascii="宋体" w:hAnsi="宋体" w:cs="宋体"/>
          <w:bCs/>
          <w:sz w:val="24"/>
          <w:szCs w:val="24"/>
        </w:rPr>
      </w:pPr>
    </w:p>
    <w:p w14:paraId="2A89085D">
      <w:pPr>
        <w:spacing w:line="360" w:lineRule="exact"/>
        <w:jc w:val="left"/>
        <w:rPr>
          <w:rFonts w:ascii="宋体" w:hAnsi="宋体" w:cs="宋体"/>
          <w:bCs/>
          <w:sz w:val="24"/>
          <w:szCs w:val="24"/>
        </w:rPr>
      </w:pPr>
    </w:p>
    <w:p w14:paraId="5E781179">
      <w:pPr>
        <w:spacing w:line="360" w:lineRule="exact"/>
        <w:jc w:val="left"/>
        <w:rPr>
          <w:rFonts w:ascii="宋体" w:hAnsi="宋体" w:cs="宋体"/>
          <w:bCs/>
          <w:sz w:val="24"/>
          <w:szCs w:val="24"/>
        </w:rPr>
      </w:pPr>
    </w:p>
    <w:p w14:paraId="4B2C4318">
      <w:pPr>
        <w:spacing w:line="360" w:lineRule="exact"/>
        <w:jc w:val="left"/>
        <w:rPr>
          <w:rFonts w:ascii="宋体" w:hAnsi="宋体" w:cs="宋体"/>
          <w:bCs/>
          <w:sz w:val="24"/>
          <w:szCs w:val="24"/>
        </w:rPr>
      </w:pPr>
    </w:p>
    <w:p w14:paraId="2371A1D9">
      <w:pPr>
        <w:spacing w:line="360" w:lineRule="exact"/>
        <w:jc w:val="left"/>
        <w:rPr>
          <w:rFonts w:ascii="宋体" w:hAnsi="宋体" w:cs="宋体"/>
          <w:b/>
          <w:bCs/>
          <w:sz w:val="24"/>
          <w:szCs w:val="24"/>
        </w:rPr>
      </w:pPr>
      <w:r>
        <w:rPr>
          <w:rFonts w:hint="eastAsia" w:ascii="宋体" w:hAnsi="宋体" w:cs="宋体"/>
          <w:b/>
          <w:bCs/>
          <w:sz w:val="24"/>
          <w:szCs w:val="24"/>
        </w:rPr>
        <w:t>10.投标人诚信承诺书</w:t>
      </w:r>
    </w:p>
    <w:p w14:paraId="63497C18">
      <w:pPr>
        <w:spacing w:line="360" w:lineRule="exact"/>
        <w:jc w:val="left"/>
        <w:rPr>
          <w:rFonts w:ascii="宋体" w:hAnsi="宋体" w:cs="宋体"/>
          <w:bCs/>
          <w:sz w:val="24"/>
          <w:szCs w:val="24"/>
        </w:rPr>
      </w:pPr>
    </w:p>
    <w:p w14:paraId="6685BA51">
      <w:pPr>
        <w:spacing w:line="360" w:lineRule="exact"/>
        <w:jc w:val="center"/>
        <w:rPr>
          <w:rFonts w:ascii="宋体" w:hAnsi="宋体" w:cs="宋体"/>
          <w:b/>
          <w:bCs/>
          <w:sz w:val="32"/>
          <w:szCs w:val="24"/>
        </w:rPr>
      </w:pPr>
      <w:r>
        <w:rPr>
          <w:rFonts w:hint="eastAsia" w:ascii="宋体" w:hAnsi="宋体" w:cs="宋体"/>
          <w:b/>
          <w:bCs/>
          <w:sz w:val="32"/>
          <w:szCs w:val="24"/>
        </w:rPr>
        <w:t>诚信承诺书</w:t>
      </w:r>
    </w:p>
    <w:p w14:paraId="4F3B9C85">
      <w:pPr>
        <w:spacing w:line="360" w:lineRule="exact"/>
        <w:jc w:val="left"/>
        <w:rPr>
          <w:rFonts w:ascii="宋体" w:hAnsi="宋体" w:cs="宋体"/>
          <w:bCs/>
          <w:sz w:val="24"/>
          <w:szCs w:val="24"/>
        </w:rPr>
      </w:pPr>
    </w:p>
    <w:p w14:paraId="3E14A265">
      <w:pPr>
        <w:spacing w:line="500" w:lineRule="exact"/>
        <w:ind w:firstLine="480" w:firstLineChars="200"/>
        <w:rPr>
          <w:rFonts w:ascii="宋体" w:hAnsi="宋体" w:cs="宋体"/>
          <w:bCs/>
          <w:sz w:val="24"/>
          <w:szCs w:val="24"/>
        </w:rPr>
      </w:pPr>
      <w:r>
        <w:rPr>
          <w:rFonts w:hint="eastAsia" w:ascii="宋体" w:hAnsi="宋体" w:cs="宋体"/>
          <w:bCs/>
          <w:sz w:val="24"/>
          <w:szCs w:val="24"/>
        </w:rPr>
        <w:t>为维护市场公平竞争，营造诚实守信的公共资源交易环境，本公司郑重承诺：</w:t>
      </w:r>
    </w:p>
    <w:p w14:paraId="61358BF9">
      <w:pPr>
        <w:spacing w:line="500" w:lineRule="exact"/>
        <w:ind w:firstLine="480" w:firstLineChars="200"/>
        <w:rPr>
          <w:rFonts w:ascii="宋体" w:hAnsi="宋体" w:cs="宋体"/>
          <w:bCs/>
          <w:sz w:val="24"/>
          <w:szCs w:val="24"/>
        </w:rPr>
      </w:pPr>
      <w:r>
        <w:rPr>
          <w:rFonts w:hint="eastAsia" w:ascii="宋体" w:hAnsi="宋体" w:cs="宋体"/>
          <w:bCs/>
          <w:sz w:val="24"/>
          <w:szCs w:val="24"/>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085D912">
      <w:pPr>
        <w:spacing w:line="500" w:lineRule="exact"/>
        <w:ind w:firstLine="480" w:firstLineChars="200"/>
        <w:rPr>
          <w:rFonts w:ascii="宋体" w:hAnsi="宋体" w:cs="宋体"/>
          <w:bCs/>
          <w:sz w:val="24"/>
          <w:szCs w:val="24"/>
        </w:rPr>
      </w:pPr>
      <w:r>
        <w:rPr>
          <w:rFonts w:hint="eastAsia" w:ascii="宋体" w:hAnsi="宋体" w:cs="宋体"/>
          <w:bCs/>
          <w:sz w:val="24"/>
          <w:szCs w:val="24"/>
        </w:rPr>
        <w:t>2、本公司在参加本项目过程中严格遵守各项诚信廉洁规定，如有违反，自愿按规定接受处罚。</w:t>
      </w:r>
    </w:p>
    <w:p w14:paraId="59AAED2A">
      <w:pPr>
        <w:spacing w:line="500" w:lineRule="exact"/>
        <w:ind w:firstLine="480" w:firstLineChars="200"/>
        <w:rPr>
          <w:rFonts w:ascii="宋体" w:hAnsi="宋体" w:cs="宋体"/>
          <w:bCs/>
          <w:sz w:val="24"/>
          <w:szCs w:val="24"/>
        </w:rPr>
      </w:pPr>
    </w:p>
    <w:p w14:paraId="6D851C44">
      <w:pPr>
        <w:spacing w:line="500" w:lineRule="exact"/>
        <w:ind w:firstLine="480" w:firstLineChars="200"/>
        <w:rPr>
          <w:rFonts w:ascii="宋体" w:hAnsi="宋体" w:cs="宋体"/>
          <w:bCs/>
          <w:sz w:val="24"/>
          <w:szCs w:val="24"/>
        </w:rPr>
      </w:pPr>
      <w:r>
        <w:rPr>
          <w:rFonts w:hint="eastAsia" w:ascii="宋体" w:hAnsi="宋体" w:cs="宋体"/>
          <w:bCs/>
          <w:sz w:val="24"/>
          <w:szCs w:val="24"/>
        </w:rPr>
        <w:t>承诺人法定名称（盖章）：</w:t>
      </w:r>
    </w:p>
    <w:p w14:paraId="7AB8D9FA">
      <w:pPr>
        <w:spacing w:line="500" w:lineRule="exact"/>
        <w:ind w:firstLine="480" w:firstLineChars="200"/>
        <w:rPr>
          <w:rFonts w:ascii="宋体" w:hAnsi="宋体" w:cs="宋体"/>
          <w:bCs/>
          <w:sz w:val="24"/>
          <w:szCs w:val="24"/>
        </w:rPr>
      </w:pPr>
      <w:r>
        <w:rPr>
          <w:rFonts w:hint="eastAsia" w:ascii="宋体" w:hAnsi="宋体" w:cs="宋体"/>
          <w:bCs/>
          <w:sz w:val="24"/>
          <w:szCs w:val="24"/>
        </w:rPr>
        <w:t>承诺人法定地址：</w:t>
      </w:r>
    </w:p>
    <w:p w14:paraId="3A9CC3C3">
      <w:pPr>
        <w:spacing w:line="500" w:lineRule="exact"/>
        <w:ind w:firstLine="480" w:firstLineChars="200"/>
        <w:rPr>
          <w:rFonts w:ascii="宋体" w:hAnsi="宋体" w:cs="宋体"/>
          <w:bCs/>
          <w:sz w:val="24"/>
          <w:szCs w:val="24"/>
        </w:rPr>
      </w:pPr>
      <w:r>
        <w:rPr>
          <w:rFonts w:hint="eastAsia" w:ascii="宋体" w:hAnsi="宋体" w:cs="宋体"/>
          <w:bCs/>
          <w:sz w:val="24"/>
          <w:szCs w:val="24"/>
        </w:rPr>
        <w:t>授权代表（签字或盖章）：</w:t>
      </w:r>
    </w:p>
    <w:p w14:paraId="1CFBF422">
      <w:pPr>
        <w:spacing w:line="500" w:lineRule="exact"/>
        <w:ind w:firstLine="480" w:firstLineChars="200"/>
        <w:rPr>
          <w:rFonts w:ascii="宋体" w:hAnsi="宋体" w:cs="宋体"/>
          <w:bCs/>
          <w:sz w:val="24"/>
          <w:szCs w:val="24"/>
        </w:rPr>
      </w:pPr>
      <w:r>
        <w:rPr>
          <w:rFonts w:hint="eastAsia" w:ascii="宋体" w:hAnsi="宋体" w:cs="宋体"/>
          <w:bCs/>
          <w:sz w:val="24"/>
          <w:szCs w:val="24"/>
        </w:rPr>
        <w:t>电话：</w:t>
      </w:r>
    </w:p>
    <w:p w14:paraId="3643FACB">
      <w:pPr>
        <w:spacing w:line="500" w:lineRule="exact"/>
        <w:ind w:firstLine="480" w:firstLineChars="200"/>
        <w:rPr>
          <w:rFonts w:ascii="宋体" w:hAnsi="宋体" w:cs="宋体"/>
          <w:bCs/>
          <w:sz w:val="24"/>
          <w:szCs w:val="24"/>
        </w:rPr>
      </w:pPr>
      <w:r>
        <w:rPr>
          <w:rFonts w:hint="eastAsia" w:ascii="宋体" w:hAnsi="宋体" w:cs="宋体"/>
          <w:bCs/>
          <w:sz w:val="24"/>
          <w:szCs w:val="24"/>
        </w:rPr>
        <w:t>日期：年月日</w:t>
      </w:r>
    </w:p>
    <w:p w14:paraId="33AEBE3A">
      <w:pPr>
        <w:spacing w:line="500" w:lineRule="exact"/>
        <w:ind w:firstLine="480" w:firstLineChars="200"/>
        <w:rPr>
          <w:rFonts w:ascii="宋体" w:hAnsi="宋体" w:cs="宋体"/>
          <w:bCs/>
          <w:sz w:val="24"/>
          <w:szCs w:val="24"/>
        </w:rPr>
      </w:pPr>
    </w:p>
    <w:p w14:paraId="29B20A8A">
      <w:pPr>
        <w:spacing w:line="360" w:lineRule="exact"/>
        <w:jc w:val="left"/>
        <w:rPr>
          <w:rFonts w:hint="eastAsia" w:ascii="宋体" w:hAnsi="宋体" w:cs="宋体"/>
          <w:bCs/>
          <w:sz w:val="24"/>
          <w:szCs w:val="24"/>
        </w:rPr>
      </w:pPr>
    </w:p>
    <w:p w14:paraId="1E9F9BAA">
      <w:pPr>
        <w:spacing w:line="360" w:lineRule="exact"/>
        <w:jc w:val="left"/>
        <w:rPr>
          <w:rFonts w:hint="eastAsia" w:ascii="宋体" w:hAnsi="宋体" w:cs="宋体"/>
          <w:bCs/>
          <w:sz w:val="24"/>
          <w:szCs w:val="24"/>
        </w:rPr>
      </w:pPr>
    </w:p>
    <w:p w14:paraId="7ACA0B77">
      <w:pPr>
        <w:spacing w:line="360" w:lineRule="exact"/>
        <w:jc w:val="left"/>
        <w:rPr>
          <w:rFonts w:hint="eastAsia" w:ascii="宋体" w:hAnsi="宋体" w:cs="宋体"/>
          <w:bCs/>
          <w:sz w:val="24"/>
          <w:szCs w:val="24"/>
        </w:rPr>
      </w:pPr>
    </w:p>
    <w:p w14:paraId="7D6C1F32">
      <w:pPr>
        <w:spacing w:line="360" w:lineRule="exact"/>
        <w:jc w:val="left"/>
        <w:rPr>
          <w:rFonts w:hint="eastAsia" w:ascii="宋体" w:hAnsi="宋体" w:cs="宋体"/>
          <w:bCs/>
          <w:sz w:val="24"/>
          <w:szCs w:val="24"/>
        </w:rPr>
      </w:pPr>
    </w:p>
    <w:p w14:paraId="3A300EF1">
      <w:pPr>
        <w:spacing w:line="360" w:lineRule="exact"/>
        <w:jc w:val="left"/>
        <w:rPr>
          <w:rFonts w:hint="eastAsia" w:ascii="宋体" w:hAnsi="宋体" w:cs="宋体"/>
          <w:bCs/>
          <w:sz w:val="24"/>
          <w:szCs w:val="24"/>
        </w:rPr>
      </w:pPr>
    </w:p>
    <w:p w14:paraId="70B80D90">
      <w:pPr>
        <w:spacing w:line="360" w:lineRule="exact"/>
        <w:jc w:val="left"/>
        <w:rPr>
          <w:rFonts w:hint="eastAsia" w:ascii="宋体" w:hAnsi="宋体" w:cs="宋体"/>
          <w:bCs/>
          <w:sz w:val="24"/>
          <w:szCs w:val="24"/>
        </w:rPr>
      </w:pPr>
    </w:p>
    <w:p w14:paraId="6B60A9A2">
      <w:pPr>
        <w:spacing w:line="360" w:lineRule="exact"/>
        <w:jc w:val="left"/>
        <w:rPr>
          <w:rFonts w:hint="eastAsia" w:ascii="宋体" w:hAnsi="宋体" w:cs="宋体"/>
          <w:bCs/>
          <w:sz w:val="24"/>
          <w:szCs w:val="24"/>
        </w:rPr>
      </w:pPr>
    </w:p>
    <w:p w14:paraId="605503D7">
      <w:pPr>
        <w:spacing w:line="360" w:lineRule="exact"/>
        <w:jc w:val="left"/>
        <w:rPr>
          <w:rFonts w:hint="eastAsia" w:ascii="宋体" w:hAnsi="宋体" w:cs="宋体"/>
          <w:bCs/>
          <w:sz w:val="24"/>
          <w:szCs w:val="24"/>
        </w:rPr>
      </w:pPr>
    </w:p>
    <w:p w14:paraId="69DCE375">
      <w:pPr>
        <w:spacing w:line="360" w:lineRule="exact"/>
        <w:jc w:val="left"/>
        <w:rPr>
          <w:rFonts w:hint="eastAsia" w:ascii="宋体" w:hAnsi="宋体" w:cs="宋体"/>
          <w:bCs/>
          <w:sz w:val="24"/>
          <w:szCs w:val="24"/>
        </w:rPr>
      </w:pPr>
    </w:p>
    <w:p w14:paraId="2ED72D06">
      <w:pPr>
        <w:spacing w:line="360" w:lineRule="exact"/>
        <w:jc w:val="left"/>
        <w:rPr>
          <w:rFonts w:hint="eastAsia" w:ascii="宋体" w:hAnsi="宋体" w:cs="宋体"/>
          <w:bCs/>
          <w:sz w:val="24"/>
          <w:szCs w:val="24"/>
        </w:rPr>
      </w:pPr>
    </w:p>
    <w:p w14:paraId="244EDDC4">
      <w:pPr>
        <w:spacing w:line="360" w:lineRule="exact"/>
        <w:jc w:val="left"/>
        <w:rPr>
          <w:rFonts w:hint="eastAsia" w:ascii="宋体" w:hAnsi="宋体" w:cs="宋体"/>
          <w:bCs/>
          <w:sz w:val="24"/>
          <w:szCs w:val="24"/>
        </w:rPr>
      </w:pPr>
    </w:p>
    <w:p w14:paraId="14047A57">
      <w:pPr>
        <w:spacing w:line="360" w:lineRule="exact"/>
        <w:jc w:val="left"/>
        <w:rPr>
          <w:rFonts w:hint="eastAsia" w:ascii="宋体" w:hAnsi="宋体" w:cs="宋体"/>
          <w:bCs/>
          <w:sz w:val="24"/>
          <w:szCs w:val="24"/>
        </w:rPr>
      </w:pPr>
    </w:p>
    <w:p w14:paraId="6D5FD41E">
      <w:pPr>
        <w:spacing w:line="360" w:lineRule="exact"/>
        <w:jc w:val="left"/>
        <w:rPr>
          <w:rFonts w:hint="eastAsia" w:ascii="宋体" w:hAnsi="宋体" w:cs="宋体"/>
          <w:bCs/>
          <w:sz w:val="24"/>
          <w:szCs w:val="24"/>
        </w:rPr>
      </w:pPr>
    </w:p>
    <w:p w14:paraId="1FF2057E">
      <w:pPr>
        <w:spacing w:line="360" w:lineRule="exact"/>
        <w:jc w:val="left"/>
        <w:rPr>
          <w:rFonts w:hint="eastAsia" w:ascii="宋体" w:hAnsi="宋体" w:cs="宋体"/>
          <w:bCs/>
          <w:sz w:val="24"/>
          <w:szCs w:val="24"/>
        </w:rPr>
      </w:pPr>
    </w:p>
    <w:p w14:paraId="5ACB3204">
      <w:pPr>
        <w:spacing w:line="360" w:lineRule="exact"/>
        <w:jc w:val="left"/>
        <w:rPr>
          <w:rFonts w:hint="eastAsia" w:ascii="宋体" w:hAnsi="宋体" w:cs="宋体"/>
          <w:bCs/>
          <w:sz w:val="24"/>
          <w:szCs w:val="24"/>
        </w:rPr>
      </w:pPr>
    </w:p>
    <w:p w14:paraId="1EADF911">
      <w:pPr>
        <w:spacing w:line="360" w:lineRule="exact"/>
        <w:jc w:val="left"/>
        <w:rPr>
          <w:rFonts w:ascii="宋体" w:hAnsi="宋体" w:cs="宋体"/>
          <w:bCs/>
          <w:sz w:val="24"/>
          <w:szCs w:val="24"/>
        </w:rPr>
      </w:pPr>
      <w:r>
        <w:rPr>
          <w:rFonts w:hint="eastAsia" w:ascii="宋体" w:hAnsi="宋体" w:cs="宋体"/>
          <w:b/>
          <w:bCs/>
          <w:sz w:val="24"/>
          <w:szCs w:val="24"/>
        </w:rPr>
        <w:t>11.投标人出具信用记录查询结果网页截图</w:t>
      </w:r>
      <w:r>
        <w:rPr>
          <w:rFonts w:hint="eastAsia" w:ascii="宋体" w:hAnsi="宋体" w:cs="宋体"/>
          <w:bCs/>
          <w:sz w:val="24"/>
          <w:szCs w:val="24"/>
        </w:rPr>
        <w:t>（加盖单位公章）</w:t>
      </w:r>
    </w:p>
    <w:p w14:paraId="0AFA2EA5">
      <w:pPr>
        <w:spacing w:line="360" w:lineRule="exact"/>
        <w:jc w:val="left"/>
        <w:rPr>
          <w:rFonts w:hint="eastAsia" w:ascii="宋体" w:hAnsi="宋体"/>
          <w:bCs/>
          <w:sz w:val="24"/>
          <w:szCs w:val="24"/>
        </w:rPr>
      </w:pPr>
      <w:r>
        <w:rPr>
          <w:rFonts w:hint="eastAsia" w:ascii="宋体" w:hAnsi="宋体" w:cs="宋体"/>
          <w:b/>
          <w:bCs/>
          <w:sz w:val="24"/>
          <w:szCs w:val="24"/>
        </w:rPr>
        <w:t>12.信用承诺书</w:t>
      </w:r>
    </w:p>
    <w:p w14:paraId="4468613F">
      <w:pPr>
        <w:spacing w:line="400" w:lineRule="exact"/>
        <w:jc w:val="center"/>
        <w:rPr>
          <w:rFonts w:hint="eastAsia" w:ascii="宋体" w:hAnsi="宋体"/>
          <w:b/>
          <w:bCs/>
          <w:sz w:val="32"/>
          <w:szCs w:val="24"/>
        </w:rPr>
      </w:pPr>
      <w:r>
        <w:rPr>
          <w:rFonts w:hint="eastAsia" w:ascii="宋体" w:hAnsi="宋体"/>
          <w:b/>
          <w:bCs/>
          <w:sz w:val="32"/>
          <w:szCs w:val="24"/>
        </w:rPr>
        <w:t>信用承诺书</w:t>
      </w:r>
    </w:p>
    <w:p w14:paraId="549D1443">
      <w:pPr>
        <w:ind w:firstLine="420" w:firstLineChars="200"/>
        <w:rPr>
          <w:rFonts w:ascii="Times New Roman" w:hAnsi="Times New Roman"/>
          <w:szCs w:val="24"/>
        </w:rPr>
      </w:pPr>
    </w:p>
    <w:p w14:paraId="78399EB1">
      <w:pPr>
        <w:spacing w:line="400" w:lineRule="exact"/>
        <w:ind w:firstLine="480" w:firstLineChars="200"/>
        <w:rPr>
          <w:rFonts w:ascii="宋体" w:hAnsi="宋体"/>
          <w:sz w:val="24"/>
          <w:szCs w:val="24"/>
        </w:rPr>
      </w:pPr>
      <w:r>
        <w:rPr>
          <w:rFonts w:hint="eastAsia" w:ascii="宋体" w:hAnsi="宋体"/>
          <w:sz w:val="24"/>
          <w:szCs w:val="24"/>
        </w:rPr>
        <w:t>依据宛发改公管【2022】125号文件要求：为营造公开、公平、公正、诚实守信的公共资源交易环境，树立诚信守法的投标人形象，本人代表本单位作出以下承诺;</w:t>
      </w:r>
    </w:p>
    <w:p w14:paraId="5DCFE396">
      <w:pPr>
        <w:spacing w:line="400" w:lineRule="exact"/>
        <w:ind w:firstLine="480" w:firstLineChars="200"/>
        <w:rPr>
          <w:rFonts w:ascii="宋体" w:hAnsi="宋体"/>
          <w:sz w:val="24"/>
          <w:szCs w:val="24"/>
        </w:rPr>
      </w:pPr>
      <w:r>
        <w:rPr>
          <w:rFonts w:hint="eastAsia" w:ascii="宋体" w:hAnsi="宋体"/>
          <w:sz w:val="24"/>
          <w:szCs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66983B79">
      <w:pPr>
        <w:spacing w:line="400" w:lineRule="exact"/>
        <w:ind w:firstLine="480" w:firstLineChars="200"/>
        <w:rPr>
          <w:rFonts w:ascii="宋体" w:hAnsi="宋体"/>
          <w:sz w:val="24"/>
          <w:szCs w:val="24"/>
        </w:rPr>
      </w:pPr>
      <w:r>
        <w:rPr>
          <w:rFonts w:hint="eastAsia" w:ascii="宋体" w:hAnsi="宋体"/>
          <w:sz w:val="24"/>
          <w:szCs w:val="24"/>
        </w:rPr>
        <w:t>（二）严格依照国家和河南省关于招标投标的法律、法规、规章、规范性文件，参加公共资源招标投标活动，不挂靠、借用、出租、出借、转让资质，积极履行社会责任，促进廉政建设。</w:t>
      </w:r>
    </w:p>
    <w:p w14:paraId="30EE4741">
      <w:pPr>
        <w:spacing w:line="400" w:lineRule="exact"/>
        <w:ind w:firstLine="480" w:firstLineChars="200"/>
        <w:rPr>
          <w:rFonts w:ascii="宋体" w:hAnsi="宋体"/>
          <w:sz w:val="24"/>
          <w:szCs w:val="24"/>
        </w:rPr>
      </w:pPr>
      <w:r>
        <w:rPr>
          <w:rFonts w:hint="eastAsia" w:ascii="宋体" w:hAnsi="宋体"/>
          <w:sz w:val="24"/>
          <w:szCs w:val="24"/>
        </w:rPr>
        <w:t>（三）自我约束、自我管理，守合同、重信用，不参与围标串标、弄虚作假、骗取中标、干扰评标、胁迫他人投标（放弃中标）、恶意投诉、违约毁约等行为，自觉维护公共资源招标投标的良好秩序。</w:t>
      </w:r>
    </w:p>
    <w:p w14:paraId="2053191C">
      <w:pPr>
        <w:spacing w:line="400" w:lineRule="exact"/>
        <w:ind w:firstLine="480" w:firstLineChars="200"/>
        <w:rPr>
          <w:rFonts w:ascii="宋体" w:hAnsi="宋体"/>
          <w:sz w:val="24"/>
          <w:szCs w:val="24"/>
        </w:rPr>
      </w:pPr>
      <w:r>
        <w:rPr>
          <w:rFonts w:hint="eastAsia" w:ascii="宋体" w:hAnsi="宋体"/>
          <w:sz w:val="24"/>
          <w:szCs w:val="24"/>
        </w:rPr>
        <w:t>（四）本单位及项目经办人员信用状况良好，未被列为失信惩戒对象或“老赖”，符合参与公共资源交易活动的相关要求。</w:t>
      </w:r>
    </w:p>
    <w:p w14:paraId="2E303E67">
      <w:pPr>
        <w:spacing w:line="400" w:lineRule="exact"/>
        <w:ind w:firstLine="480" w:firstLineChars="200"/>
        <w:rPr>
          <w:rFonts w:ascii="宋体" w:hAnsi="宋体"/>
          <w:sz w:val="24"/>
          <w:szCs w:val="24"/>
        </w:rPr>
      </w:pPr>
      <w:r>
        <w:rPr>
          <w:rFonts w:hint="eastAsia" w:ascii="宋体" w:hAnsi="宋体"/>
          <w:sz w:val="24"/>
          <w:szCs w:val="24"/>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6EF81F3C">
      <w:pPr>
        <w:spacing w:line="400" w:lineRule="exact"/>
        <w:ind w:firstLine="480" w:firstLineChars="200"/>
        <w:rPr>
          <w:rFonts w:ascii="宋体" w:hAnsi="宋体"/>
          <w:sz w:val="24"/>
          <w:szCs w:val="24"/>
        </w:rPr>
      </w:pPr>
      <w:r>
        <w:rPr>
          <w:rFonts w:hint="eastAsia" w:ascii="宋体" w:hAnsi="宋体"/>
          <w:sz w:val="24"/>
          <w:szCs w:val="24"/>
        </w:rPr>
        <w:t>（六）若中标，本单位将在规定的时间内与招标人签订合同并自觉履行合同义务，不转包或违法分包中标项目。</w:t>
      </w:r>
    </w:p>
    <w:p w14:paraId="47FA58C2">
      <w:pPr>
        <w:spacing w:line="400" w:lineRule="exact"/>
        <w:ind w:firstLine="480" w:firstLineChars="200"/>
        <w:rPr>
          <w:rFonts w:ascii="宋体" w:hAnsi="宋体"/>
          <w:sz w:val="24"/>
          <w:szCs w:val="24"/>
        </w:rPr>
      </w:pPr>
      <w:r>
        <w:rPr>
          <w:rFonts w:hint="eastAsia" w:ascii="宋体" w:hAnsi="宋体"/>
          <w:sz w:val="24"/>
          <w:szCs w:val="24"/>
        </w:rPr>
        <w:t>（七）自觉接受政府、行业组织、社会公众、新闻舆论的监督。</w:t>
      </w:r>
    </w:p>
    <w:p w14:paraId="30066C62">
      <w:pPr>
        <w:spacing w:line="400" w:lineRule="exact"/>
        <w:ind w:firstLine="480" w:firstLineChars="200"/>
        <w:rPr>
          <w:rFonts w:ascii="宋体" w:hAnsi="宋体"/>
          <w:sz w:val="24"/>
          <w:szCs w:val="24"/>
        </w:rPr>
      </w:pPr>
      <w:r>
        <w:rPr>
          <w:rFonts w:hint="eastAsia" w:ascii="宋体" w:hAnsi="宋体"/>
          <w:sz w:val="24"/>
          <w:szCs w:val="24"/>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6B4B745B">
      <w:pPr>
        <w:spacing w:line="400" w:lineRule="exact"/>
        <w:ind w:firstLine="480" w:firstLineChars="200"/>
        <w:rPr>
          <w:rFonts w:ascii="宋体" w:hAnsi="宋体"/>
          <w:sz w:val="24"/>
          <w:szCs w:val="24"/>
        </w:rPr>
      </w:pPr>
      <w:r>
        <w:rPr>
          <w:rFonts w:hint="eastAsia" w:ascii="宋体" w:hAnsi="宋体"/>
          <w:sz w:val="24"/>
          <w:szCs w:val="24"/>
        </w:rPr>
        <w:t>（九）本人已认真阅读了上述承诺，并向本单位员工作了宣传教育。</w:t>
      </w:r>
    </w:p>
    <w:p w14:paraId="237CEE70">
      <w:pPr>
        <w:spacing w:line="400" w:lineRule="exact"/>
        <w:ind w:firstLine="480" w:firstLineChars="200"/>
        <w:rPr>
          <w:rFonts w:ascii="宋体" w:hAnsi="宋体"/>
          <w:sz w:val="24"/>
          <w:szCs w:val="24"/>
        </w:rPr>
      </w:pPr>
      <w:r>
        <w:rPr>
          <w:rFonts w:hint="eastAsia" w:ascii="宋体" w:hAnsi="宋体" w:cs="宋体"/>
          <w:sz w:val="24"/>
          <w:szCs w:val="24"/>
        </w:rPr>
        <w:t>法定代表人或其授权代表（签字）</w:t>
      </w:r>
      <w:r>
        <w:rPr>
          <w:rFonts w:hint="eastAsia" w:ascii="宋体" w:hAnsi="宋体"/>
          <w:sz w:val="24"/>
          <w:szCs w:val="24"/>
        </w:rPr>
        <w:t>∶</w:t>
      </w:r>
    </w:p>
    <w:p w14:paraId="691616DF">
      <w:pPr>
        <w:spacing w:line="400" w:lineRule="exact"/>
        <w:ind w:firstLine="480" w:firstLineChars="200"/>
        <w:rPr>
          <w:rFonts w:ascii="宋体" w:hAnsi="宋体"/>
          <w:sz w:val="24"/>
          <w:szCs w:val="24"/>
        </w:rPr>
      </w:pPr>
      <w:r>
        <w:rPr>
          <w:rFonts w:hint="eastAsia" w:ascii="宋体" w:hAnsi="宋体"/>
          <w:sz w:val="24"/>
          <w:szCs w:val="24"/>
        </w:rPr>
        <w:t xml:space="preserve">              企业名称（盖章）∶</w:t>
      </w:r>
    </w:p>
    <w:p w14:paraId="6899D25C">
      <w:pPr>
        <w:spacing w:line="400" w:lineRule="exact"/>
        <w:ind w:firstLine="480" w:firstLineChars="200"/>
        <w:rPr>
          <w:rFonts w:ascii="宋体" w:hAnsi="宋体"/>
          <w:sz w:val="24"/>
          <w:szCs w:val="24"/>
        </w:rPr>
      </w:pPr>
      <w:r>
        <w:rPr>
          <w:rFonts w:hint="eastAsia" w:ascii="宋体" w:hAnsi="宋体"/>
          <w:sz w:val="24"/>
          <w:szCs w:val="24"/>
        </w:rPr>
        <w:t xml:space="preserve">              项目负责人（签字）∶</w:t>
      </w:r>
    </w:p>
    <w:p w14:paraId="427CE378">
      <w:pPr>
        <w:spacing w:line="400" w:lineRule="exact"/>
        <w:ind w:firstLine="480" w:firstLineChars="200"/>
        <w:rPr>
          <w:rFonts w:hint="eastAsia" w:ascii="宋体" w:hAnsi="宋体" w:cs="宋体"/>
          <w:bCs/>
          <w:sz w:val="24"/>
          <w:szCs w:val="24"/>
        </w:rPr>
      </w:pPr>
      <w:r>
        <w:rPr>
          <w:rFonts w:hint="eastAsia" w:ascii="宋体" w:hAnsi="宋体"/>
          <w:sz w:val="24"/>
          <w:szCs w:val="24"/>
        </w:rPr>
        <w:t xml:space="preserve">                               年   月   日</w:t>
      </w:r>
    </w:p>
    <w:p w14:paraId="3D099FF3">
      <w:pPr>
        <w:spacing w:line="360" w:lineRule="exact"/>
        <w:jc w:val="left"/>
        <w:rPr>
          <w:rFonts w:ascii="宋体" w:hAnsi="宋体" w:cs="宋体"/>
          <w:b/>
          <w:bCs/>
          <w:sz w:val="24"/>
          <w:szCs w:val="24"/>
        </w:rPr>
      </w:pPr>
      <w:r>
        <w:rPr>
          <w:rFonts w:hint="eastAsia" w:ascii="宋体" w:hAnsi="宋体" w:cs="宋体"/>
          <w:b/>
          <w:bCs/>
          <w:sz w:val="24"/>
          <w:szCs w:val="24"/>
        </w:rPr>
        <w:t>13.其他资格证明</w:t>
      </w:r>
    </w:p>
    <w:p w14:paraId="6D689C59">
      <w:pPr>
        <w:widowControl/>
        <w:kinsoku w:val="0"/>
        <w:autoSpaceDE w:val="0"/>
        <w:autoSpaceDN w:val="0"/>
        <w:adjustRightInd w:val="0"/>
        <w:snapToGrid w:val="0"/>
        <w:spacing w:line="360" w:lineRule="auto"/>
        <w:jc w:val="center"/>
        <w:textAlignment w:val="baseline"/>
        <w:rPr>
          <w:rFonts w:hint="eastAsia" w:ascii="宋体" w:hAnsi="宋体" w:cs="Arial"/>
          <w:b/>
          <w:bCs/>
          <w:snapToGrid w:val="0"/>
          <w:color w:val="000000"/>
          <w:kern w:val="0"/>
          <w:sz w:val="28"/>
          <w:szCs w:val="28"/>
        </w:rPr>
      </w:pPr>
    </w:p>
    <w:p w14:paraId="7830C9E3">
      <w:pPr>
        <w:widowControl/>
        <w:kinsoku w:val="0"/>
        <w:autoSpaceDE w:val="0"/>
        <w:autoSpaceDN w:val="0"/>
        <w:adjustRightInd w:val="0"/>
        <w:snapToGrid w:val="0"/>
        <w:spacing w:line="360" w:lineRule="auto"/>
        <w:jc w:val="center"/>
        <w:textAlignment w:val="baseline"/>
        <w:rPr>
          <w:rFonts w:hint="eastAsia" w:ascii="宋体" w:hAnsi="宋体" w:cs="Arial"/>
          <w:b/>
          <w:bCs/>
          <w:snapToGrid w:val="0"/>
          <w:color w:val="000000"/>
          <w:kern w:val="0"/>
          <w:sz w:val="36"/>
          <w:szCs w:val="28"/>
        </w:rPr>
      </w:pPr>
      <w:r>
        <w:rPr>
          <w:rFonts w:hint="eastAsia" w:ascii="宋体" w:hAnsi="宋体" w:cs="Arial"/>
          <w:b/>
          <w:bCs/>
          <w:snapToGrid w:val="0"/>
          <w:color w:val="000000"/>
          <w:kern w:val="0"/>
          <w:sz w:val="36"/>
          <w:szCs w:val="28"/>
        </w:rPr>
        <w:t>投标承诺函</w:t>
      </w:r>
    </w:p>
    <w:p w14:paraId="038CA054">
      <w:pPr>
        <w:ind w:firstLine="420" w:firstLineChars="200"/>
        <w:rPr>
          <w:rFonts w:ascii="Times New Roman" w:hAnsi="Times New Roman"/>
          <w:szCs w:val="24"/>
        </w:rPr>
      </w:pPr>
    </w:p>
    <w:p w14:paraId="59E5E4DC">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致（采购人及采购代理机构）：</w:t>
      </w:r>
    </w:p>
    <w:p w14:paraId="320509C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我公司作为本次采购项目的供应商，根据招标文件要求，现郑重承诺如下：</w:t>
      </w:r>
    </w:p>
    <w:p w14:paraId="15E6897E">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一、具备《中华人民共和国政府采购法》第二十二条第一款和本项目规定的条件：</w:t>
      </w:r>
    </w:p>
    <w:p w14:paraId="29FE89CA">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（一）具有独立承担民事责任的能力；</w:t>
      </w:r>
    </w:p>
    <w:p w14:paraId="17C866DD">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（二）具有良好的商业信誉和健全的财务会计制度；</w:t>
      </w:r>
    </w:p>
    <w:p w14:paraId="0E7BC4D2">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（三）具有履行合同所必需的设备和专业技术能力；</w:t>
      </w:r>
    </w:p>
    <w:p w14:paraId="0FFD635E">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（四）有依法缴纳税收和社会保障资金的良好记录；</w:t>
      </w:r>
    </w:p>
    <w:p w14:paraId="01612C0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（五）参加政府采购活动前三年内，在经营活动中没有重大违法记录；</w:t>
      </w:r>
    </w:p>
    <w:p w14:paraId="33D41C7C">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（六）法律、行政法规规定的其他条件；</w:t>
      </w:r>
    </w:p>
    <w:p w14:paraId="14C36E5D">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（七）根据采购项目提出的特殊条件。</w:t>
      </w:r>
    </w:p>
    <w:p w14:paraId="07392465">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49C90F7">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三、参加本次招标采购活动，不存在与单位负责人为同一人或者存在直接控股、管理关系的其他供应商参与同一合同项下的政府采购活动的行为。</w:t>
      </w:r>
    </w:p>
    <w:p w14:paraId="39FA5379">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四、参加本次招标采购活动，不存在为采购项目提供整体设计、规范编制或者项目管理、监理、检测等服务的行为。</w:t>
      </w:r>
    </w:p>
    <w:p w14:paraId="1BE183BC">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五、参加本次招标采购活动，不存在和其他供应商在同一合同项下的采购项目中，同时委托同一个自然人、同一家庭的人员、同一单位的人员作为代理人的行为。</w:t>
      </w:r>
    </w:p>
    <w:p w14:paraId="5E5A31EB">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六、供应商参加本次政府采购活动要求在近三年内供应商和其法定代表人没有行贿犯罪行为。</w:t>
      </w:r>
    </w:p>
    <w:p w14:paraId="7C534574">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七、参加本次招标采购活动，不存在联合体投标。</w:t>
      </w:r>
    </w:p>
    <w:p w14:paraId="65E82B04">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八、投标文件中提供的能够给予我公司带来优惠、好处的任何材料资料和技术、服务、商务等响应承诺情况都是真实的、有效的、合法的。</w:t>
      </w:r>
    </w:p>
    <w:p w14:paraId="76E25583">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6D27A84D">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十、存在以下行为之一的愿意接受相关部门的处理：</w:t>
      </w:r>
    </w:p>
    <w:p w14:paraId="1477240F">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（一）投标有效期内撤销投标文件的；</w:t>
      </w:r>
    </w:p>
    <w:p w14:paraId="048BE1B3">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（二）在采购人确定中标人以前放弃中标候选资格的；</w:t>
      </w:r>
    </w:p>
    <w:p w14:paraId="464B721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（三）由于中标人的原因未能按照招标文件的规定与采购人签订合同；</w:t>
      </w:r>
    </w:p>
    <w:p w14:paraId="2066A81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（四）由于中标人的原因未能按照招标文件的规定交纳履约保证金；</w:t>
      </w:r>
    </w:p>
    <w:p w14:paraId="7324429C">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（五）在投标文件中提供虚假材料谋取中标；</w:t>
      </w:r>
    </w:p>
    <w:p w14:paraId="5FCC9DEB">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（六）与采购人、其他供应商或者采购代理机构恶意串通的；</w:t>
      </w:r>
    </w:p>
    <w:p w14:paraId="0CBE339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（七）投标有效期内，供应商在政府采购活动中有违法、违规、违纪行为。</w:t>
      </w:r>
    </w:p>
    <w:p w14:paraId="3E97F9A2">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由此产生的一切法律后果和责任由我公司承担。我公司声明放弃对此提出任何异议和追索的权利。</w:t>
      </w:r>
    </w:p>
    <w:p w14:paraId="36404E47">
      <w:pPr>
        <w:autoSpaceDE w:val="0"/>
        <w:autoSpaceDN w:val="0"/>
        <w:spacing w:line="480" w:lineRule="exact"/>
        <w:ind w:firstLine="480" w:firstLineChars="200"/>
        <w:jc w:val="left"/>
        <w:rPr>
          <w:rFonts w:ascii="宋体" w:hAnsi="宋体" w:cs="Arial"/>
          <w:snapToGrid w:val="0"/>
          <w:color w:val="000000"/>
          <w:kern w:val="0"/>
          <w:sz w:val="24"/>
          <w:szCs w:val="24"/>
        </w:rPr>
      </w:pPr>
      <w:r>
        <w:rPr>
          <w:rFonts w:ascii="宋体" w:hAnsi="宋体" w:cs="Arial"/>
          <w:snapToGrid w:val="0"/>
          <w:color w:val="000000"/>
          <w:kern w:val="0"/>
          <w:sz w:val="24"/>
          <w:szCs w:val="24"/>
        </w:rPr>
        <w:t>本公司对上述承诺的内容事项真实性负责。如经查实上述承诺的内容事项存在虚假，我公司愿意接受以提供虚假材料谋取中标追究法律责任。</w:t>
      </w:r>
    </w:p>
    <w:p w14:paraId="397EC3AD">
      <w:pPr>
        <w:spacing w:line="480" w:lineRule="exact"/>
        <w:ind w:firstLine="480" w:firstLineChars="200"/>
        <w:rPr>
          <w:rFonts w:ascii="宋体" w:hAnsi="宋体"/>
          <w:sz w:val="24"/>
          <w:szCs w:val="24"/>
        </w:rPr>
      </w:pPr>
      <w:r>
        <w:rPr>
          <w:rFonts w:hint="eastAsia" w:ascii="宋体" w:hAnsi="宋体"/>
          <w:sz w:val="24"/>
          <w:szCs w:val="24"/>
        </w:rPr>
        <w:t>供应商名称：（盖章）</w:t>
      </w:r>
    </w:p>
    <w:p w14:paraId="179D84D7">
      <w:pPr>
        <w:spacing w:line="480" w:lineRule="exact"/>
        <w:ind w:firstLine="480" w:firstLineChars="200"/>
        <w:rPr>
          <w:rFonts w:ascii="宋体" w:hAnsi="宋体"/>
          <w:sz w:val="24"/>
          <w:szCs w:val="24"/>
        </w:rPr>
      </w:pPr>
      <w:r>
        <w:rPr>
          <w:rFonts w:hint="eastAsia" w:ascii="宋体" w:hAnsi="宋体"/>
          <w:sz w:val="24"/>
          <w:szCs w:val="24"/>
        </w:rPr>
        <w:t>法定代表人或其授权代表：（签字）</w:t>
      </w:r>
    </w:p>
    <w:p w14:paraId="1DFE6F3F">
      <w:pPr>
        <w:spacing w:line="480" w:lineRule="exact"/>
        <w:ind w:firstLine="480" w:firstLineChars="200"/>
        <w:rPr>
          <w:rFonts w:ascii="宋体" w:hAnsi="宋体"/>
          <w:sz w:val="24"/>
          <w:szCs w:val="24"/>
        </w:rPr>
      </w:pPr>
      <w:r>
        <w:rPr>
          <w:rFonts w:hint="eastAsia" w:ascii="宋体" w:hAnsi="宋体"/>
          <w:sz w:val="24"/>
          <w:szCs w:val="24"/>
        </w:rPr>
        <w:t>日期：年月日</w:t>
      </w:r>
    </w:p>
    <w:p w14:paraId="21C92BCC">
      <w:pPr>
        <w:spacing w:line="500" w:lineRule="exact"/>
        <w:ind w:firstLine="428" w:firstLineChars="200"/>
        <w:jc w:val="left"/>
        <w:rPr>
          <w:rFonts w:hint="eastAsia" w:ascii="宋体" w:hAnsi="宋体" w:cs="宋体"/>
          <w:b/>
          <w:bCs/>
          <w:spacing w:val="-13"/>
          <w:sz w:val="24"/>
          <w:szCs w:val="24"/>
        </w:rPr>
      </w:pPr>
    </w:p>
    <w:p w14:paraId="548271AC">
      <w:pPr>
        <w:spacing w:line="500" w:lineRule="exact"/>
        <w:ind w:firstLine="428" w:firstLineChars="200"/>
        <w:jc w:val="left"/>
        <w:rPr>
          <w:rFonts w:hint="eastAsia" w:ascii="宋体" w:hAnsi="宋体" w:cs="宋体"/>
          <w:b/>
          <w:bCs/>
          <w:spacing w:val="-13"/>
          <w:sz w:val="24"/>
          <w:szCs w:val="24"/>
        </w:rPr>
      </w:pPr>
    </w:p>
    <w:p w14:paraId="5FBA0F26">
      <w:pPr>
        <w:spacing w:line="500" w:lineRule="exact"/>
        <w:ind w:firstLine="428" w:firstLineChars="200"/>
        <w:jc w:val="left"/>
        <w:rPr>
          <w:rFonts w:hint="eastAsia" w:ascii="宋体" w:hAnsi="宋体" w:cs="宋体"/>
          <w:b/>
          <w:bCs/>
          <w:spacing w:val="-13"/>
          <w:sz w:val="24"/>
          <w:szCs w:val="24"/>
        </w:rPr>
      </w:pPr>
    </w:p>
    <w:p w14:paraId="496F50D8">
      <w:pPr>
        <w:spacing w:line="500" w:lineRule="exact"/>
        <w:ind w:firstLine="428" w:firstLineChars="200"/>
        <w:jc w:val="left"/>
        <w:rPr>
          <w:rFonts w:hint="eastAsia" w:ascii="宋体" w:hAnsi="宋体" w:cs="宋体"/>
          <w:b/>
          <w:bCs/>
          <w:spacing w:val="-13"/>
          <w:sz w:val="24"/>
          <w:szCs w:val="24"/>
        </w:rPr>
      </w:pPr>
    </w:p>
    <w:p w14:paraId="7FA4FBA1">
      <w:pPr>
        <w:spacing w:line="500" w:lineRule="exact"/>
        <w:ind w:firstLine="428" w:firstLineChars="200"/>
        <w:jc w:val="left"/>
        <w:rPr>
          <w:rFonts w:hint="eastAsia" w:ascii="宋体" w:hAnsi="宋体" w:cs="宋体"/>
          <w:b/>
          <w:bCs/>
          <w:spacing w:val="-13"/>
          <w:sz w:val="24"/>
          <w:szCs w:val="24"/>
        </w:rPr>
      </w:pPr>
    </w:p>
    <w:p w14:paraId="4736390E">
      <w:pPr>
        <w:spacing w:line="500" w:lineRule="exact"/>
        <w:ind w:firstLine="428" w:firstLineChars="200"/>
        <w:jc w:val="left"/>
        <w:rPr>
          <w:rFonts w:hint="eastAsia" w:ascii="宋体" w:hAnsi="宋体" w:cs="宋体"/>
          <w:b/>
          <w:bCs/>
          <w:spacing w:val="-13"/>
          <w:sz w:val="24"/>
          <w:szCs w:val="24"/>
        </w:rPr>
      </w:pPr>
    </w:p>
    <w:p w14:paraId="5BD2560B">
      <w:pPr>
        <w:spacing w:line="500" w:lineRule="exact"/>
        <w:ind w:firstLine="428" w:firstLineChars="200"/>
        <w:jc w:val="left"/>
        <w:rPr>
          <w:rFonts w:hint="eastAsia" w:ascii="宋体" w:hAnsi="宋体" w:cs="宋体"/>
          <w:b/>
          <w:bCs/>
          <w:spacing w:val="-13"/>
          <w:sz w:val="24"/>
          <w:szCs w:val="24"/>
        </w:rPr>
      </w:pPr>
    </w:p>
    <w:p w14:paraId="4D6E1AC8">
      <w:pPr>
        <w:spacing w:line="500" w:lineRule="exact"/>
        <w:jc w:val="left"/>
        <w:rPr>
          <w:rFonts w:hint="eastAsia" w:ascii="宋体" w:hAnsi="宋体" w:cs="宋体"/>
          <w:b/>
          <w:bCs/>
          <w:spacing w:val="-13"/>
          <w:sz w:val="24"/>
          <w:szCs w:val="24"/>
        </w:rPr>
      </w:pPr>
    </w:p>
    <w:p w14:paraId="6F2376D4">
      <w:pPr>
        <w:spacing w:line="500" w:lineRule="exact"/>
        <w:jc w:val="left"/>
        <w:rPr>
          <w:rFonts w:hint="eastAsia" w:ascii="宋体" w:hAnsi="宋体" w:cs="宋体"/>
          <w:b/>
          <w:bCs/>
          <w:spacing w:val="-13"/>
          <w:sz w:val="24"/>
          <w:szCs w:val="24"/>
        </w:rPr>
      </w:pPr>
    </w:p>
    <w:p w14:paraId="375144BB">
      <w:pPr>
        <w:spacing w:line="500" w:lineRule="exact"/>
        <w:jc w:val="left"/>
        <w:rPr>
          <w:rFonts w:hint="eastAsia" w:ascii="宋体" w:hAnsi="宋体" w:cs="宋体"/>
          <w:b/>
          <w:bCs/>
          <w:spacing w:val="-13"/>
          <w:sz w:val="24"/>
          <w:szCs w:val="24"/>
        </w:rPr>
      </w:pPr>
    </w:p>
    <w:p w14:paraId="231EF4C3">
      <w:pPr>
        <w:spacing w:line="500" w:lineRule="exact"/>
        <w:jc w:val="left"/>
        <w:rPr>
          <w:rFonts w:ascii="宋体" w:hAnsi="宋体" w:cs="宋体"/>
          <w:b/>
          <w:bCs/>
          <w:spacing w:val="-13"/>
          <w:sz w:val="24"/>
          <w:szCs w:val="24"/>
        </w:rPr>
      </w:pPr>
      <w:r>
        <w:rPr>
          <w:rFonts w:hint="eastAsia" w:ascii="宋体" w:hAnsi="宋体" w:cs="宋体"/>
          <w:b/>
          <w:bCs/>
          <w:spacing w:val="-13"/>
          <w:sz w:val="24"/>
          <w:szCs w:val="24"/>
        </w:rPr>
        <w:t>二、商务技术文件格式</w:t>
      </w:r>
    </w:p>
    <w:p w14:paraId="7C393695">
      <w:pPr>
        <w:spacing w:line="460" w:lineRule="exact"/>
        <w:jc w:val="left"/>
        <w:rPr>
          <w:rFonts w:ascii="宋体" w:hAnsi="宋体" w:cs="宋体"/>
          <w:b/>
          <w:bCs/>
          <w:sz w:val="24"/>
          <w:szCs w:val="24"/>
        </w:rPr>
      </w:pPr>
      <w:r>
        <w:rPr>
          <w:rFonts w:hint="eastAsia" w:ascii="宋体" w:hAnsi="宋体" w:cs="宋体"/>
          <w:b/>
          <w:bCs/>
          <w:sz w:val="24"/>
          <w:szCs w:val="24"/>
        </w:rPr>
        <w:t>1.投标书格式</w:t>
      </w:r>
    </w:p>
    <w:p w14:paraId="360D4ACD">
      <w:pPr>
        <w:spacing w:line="460" w:lineRule="exact"/>
        <w:jc w:val="center"/>
        <w:rPr>
          <w:rFonts w:hint="eastAsia" w:ascii="宋体" w:hAnsi="宋体" w:cs="宋体"/>
          <w:b/>
          <w:bCs/>
          <w:sz w:val="24"/>
          <w:szCs w:val="24"/>
        </w:rPr>
      </w:pPr>
    </w:p>
    <w:p w14:paraId="7E04C628">
      <w:pPr>
        <w:spacing w:line="460" w:lineRule="exact"/>
        <w:jc w:val="center"/>
        <w:rPr>
          <w:rFonts w:hint="eastAsia" w:ascii="宋体" w:hAnsi="宋体" w:cs="宋体"/>
          <w:b/>
          <w:bCs/>
          <w:sz w:val="32"/>
          <w:szCs w:val="24"/>
        </w:rPr>
      </w:pPr>
      <w:r>
        <w:rPr>
          <w:rFonts w:hint="eastAsia" w:ascii="宋体" w:hAnsi="宋体" w:cs="宋体"/>
          <w:b/>
          <w:bCs/>
          <w:sz w:val="32"/>
          <w:szCs w:val="24"/>
        </w:rPr>
        <w:t>投 标 书</w:t>
      </w:r>
    </w:p>
    <w:p w14:paraId="3C9F27B6">
      <w:pPr>
        <w:ind w:firstLine="420" w:firstLineChars="200"/>
        <w:rPr>
          <w:rFonts w:ascii="Times New Roman" w:hAnsi="Times New Roman"/>
          <w:szCs w:val="24"/>
        </w:rPr>
      </w:pPr>
    </w:p>
    <w:p w14:paraId="6F2C4483">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致：采购人或采购代理机构</w:t>
      </w:r>
    </w:p>
    <w:p w14:paraId="11D1D7D5">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根据贵方招标编号为（         ） 的公开招标公告，签字代表（全名、职务）经正式授权并代表投标人（投标人名称、地址）提交电子投标文件一份，并对之负法律责任。</w:t>
      </w:r>
    </w:p>
    <w:p w14:paraId="7CE85FEA">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投标文件组成资格证明文件第1至</w:t>
      </w:r>
      <w:r>
        <w:rPr>
          <w:rFonts w:hint="eastAsia" w:ascii="宋体" w:hAnsi="宋体" w:cs="宋体"/>
          <w:bCs/>
          <w:sz w:val="24"/>
          <w:szCs w:val="24"/>
          <w:u w:val="single"/>
        </w:rPr>
        <w:t xml:space="preserve">  </w:t>
      </w:r>
      <w:r>
        <w:rPr>
          <w:rFonts w:hint="eastAsia" w:ascii="宋体" w:hAnsi="宋体" w:cs="宋体"/>
          <w:bCs/>
          <w:sz w:val="24"/>
          <w:szCs w:val="24"/>
        </w:rPr>
        <w:t>项，商务技术文件第1至</w:t>
      </w:r>
      <w:r>
        <w:rPr>
          <w:rFonts w:hint="eastAsia" w:ascii="宋体" w:hAnsi="宋体" w:cs="宋体"/>
          <w:bCs/>
          <w:sz w:val="24"/>
          <w:szCs w:val="24"/>
          <w:u w:val="single"/>
        </w:rPr>
        <w:t xml:space="preserve">   </w:t>
      </w:r>
      <w:r>
        <w:rPr>
          <w:rFonts w:hint="eastAsia" w:ascii="宋体" w:hAnsi="宋体" w:cs="宋体"/>
          <w:bCs/>
          <w:sz w:val="24"/>
          <w:szCs w:val="24"/>
        </w:rPr>
        <w:t>项。</w:t>
      </w:r>
    </w:p>
    <w:p w14:paraId="2B5E358E">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据此函，签字代表宣布同意如下：</w:t>
      </w:r>
    </w:p>
    <w:p w14:paraId="01EEC22A">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1、所附服务报价为以开标一览表为准。</w:t>
      </w:r>
    </w:p>
    <w:p w14:paraId="272A2842">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2、如果我们的投标书被接受，我们将履行招标文件中规定的每一项要求，按期、按质、按量履行合同。</w:t>
      </w:r>
    </w:p>
    <w:p w14:paraId="54A2B669">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3、我方愿按《中华人民共和国政府采购法》和《中华人民共和国民法典》履行我方的全部责任。</w:t>
      </w:r>
    </w:p>
    <w:p w14:paraId="2F9E795A">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4、我方已详细审查全部招标文件，包括修改文件以及全部参考资料和有关附件。我们完全理解并同意放弃对这方面有不明白及误解的权力。</w:t>
      </w:r>
    </w:p>
    <w:p w14:paraId="2BDF2BD1">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5、本投标自开标之日起有效期为60天。</w:t>
      </w:r>
    </w:p>
    <w:p w14:paraId="1CE14558">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 xml:space="preserve">地址：                          </w:t>
      </w:r>
    </w:p>
    <w:p w14:paraId="3EAA310E">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 xml:space="preserve">电话（传真）：                             </w:t>
      </w:r>
    </w:p>
    <w:p w14:paraId="7EA44E5E">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法定代表人（负责人）或授权代表（签字）：</w:t>
      </w:r>
    </w:p>
    <w:p w14:paraId="077F8134">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投标人名称（公章）：</w:t>
      </w:r>
    </w:p>
    <w:p w14:paraId="4C4A3F47">
      <w:pPr>
        <w:spacing w:line="460" w:lineRule="exact"/>
        <w:ind w:firstLine="480" w:firstLineChars="200"/>
        <w:jc w:val="left"/>
        <w:rPr>
          <w:rFonts w:ascii="宋体" w:hAnsi="宋体" w:cs="宋体"/>
          <w:bCs/>
          <w:sz w:val="24"/>
          <w:szCs w:val="24"/>
        </w:rPr>
        <w:sectPr>
          <w:footerReference r:id="rId9" w:type="default"/>
          <w:pgSz w:w="11907" w:h="16840"/>
          <w:pgMar w:top="1117" w:right="1077" w:bottom="1060" w:left="1592" w:header="1134" w:footer="1020" w:gutter="0"/>
          <w:pgNumType w:fmt="decimal"/>
          <w:cols w:space="720" w:num="1"/>
        </w:sectPr>
      </w:pPr>
      <w:r>
        <w:rPr>
          <w:rFonts w:hint="eastAsia" w:ascii="宋体" w:hAnsi="宋体" w:cs="宋体"/>
          <w:bCs/>
          <w:sz w:val="24"/>
          <w:szCs w:val="24"/>
        </w:rPr>
        <w:t>日期：</w:t>
      </w:r>
      <w:r>
        <w:rPr>
          <w:rFonts w:hint="eastAsia" w:ascii="宋体" w:hAnsi="宋体" w:cs="宋体"/>
          <w:bCs/>
          <w:spacing w:val="-8"/>
          <w:sz w:val="24"/>
          <w:szCs w:val="24"/>
        </w:rPr>
        <w:t>年月日</w:t>
      </w:r>
    </w:p>
    <w:p w14:paraId="0AA49097">
      <w:pPr>
        <w:spacing w:line="360" w:lineRule="exact"/>
        <w:jc w:val="left"/>
        <w:rPr>
          <w:rFonts w:ascii="宋体" w:hAnsi="宋体" w:cs="宋体"/>
          <w:b/>
          <w:bCs/>
          <w:sz w:val="24"/>
          <w:szCs w:val="24"/>
        </w:rPr>
      </w:pPr>
      <w:r>
        <w:rPr>
          <w:rFonts w:hint="eastAsia" w:ascii="宋体" w:hAnsi="宋体" w:cs="宋体"/>
          <w:b/>
          <w:bCs/>
          <w:sz w:val="24"/>
          <w:szCs w:val="24"/>
        </w:rPr>
        <w:t>2、投标分项报价一览表</w:t>
      </w:r>
    </w:p>
    <w:p w14:paraId="3F74676E">
      <w:pPr>
        <w:spacing w:line="360" w:lineRule="exact"/>
        <w:jc w:val="center"/>
        <w:rPr>
          <w:rFonts w:ascii="宋体" w:hAnsi="宋体" w:cs="宋体"/>
          <w:b/>
          <w:bCs/>
          <w:sz w:val="32"/>
          <w:szCs w:val="24"/>
        </w:rPr>
      </w:pPr>
      <w:r>
        <w:rPr>
          <w:rFonts w:hint="eastAsia" w:ascii="宋体" w:hAnsi="宋体" w:cs="宋体"/>
          <w:b/>
          <w:bCs/>
          <w:sz w:val="32"/>
          <w:szCs w:val="24"/>
        </w:rPr>
        <w:t>投标分项报价一览表</w:t>
      </w:r>
    </w:p>
    <w:tbl>
      <w:tblPr>
        <w:tblStyle w:val="26"/>
        <w:tblpPr w:leftFromText="180" w:rightFromText="180" w:vertAnchor="text" w:horzAnchor="page" w:tblpXSpec="center" w:tblpY="348"/>
        <w:tblOverlap w:val="never"/>
        <w:tblW w:w="0" w:type="auto"/>
        <w:jc w:val="center"/>
        <w:tblLayout w:type="autofit"/>
        <w:tblCellMar>
          <w:top w:w="0" w:type="dxa"/>
          <w:left w:w="108" w:type="dxa"/>
          <w:bottom w:w="0" w:type="dxa"/>
          <w:right w:w="108" w:type="dxa"/>
        </w:tblCellMar>
      </w:tblPr>
      <w:tblGrid>
        <w:gridCol w:w="696"/>
        <w:gridCol w:w="1176"/>
        <w:gridCol w:w="1176"/>
        <w:gridCol w:w="696"/>
        <w:gridCol w:w="696"/>
        <w:gridCol w:w="1896"/>
        <w:gridCol w:w="1416"/>
        <w:gridCol w:w="1176"/>
        <w:gridCol w:w="1176"/>
        <w:gridCol w:w="1896"/>
      </w:tblGrid>
      <w:tr w14:paraId="5CE3014A">
        <w:tblPrEx>
          <w:tblCellMar>
            <w:top w:w="0" w:type="dxa"/>
            <w:left w:w="108" w:type="dxa"/>
            <w:bottom w:w="0" w:type="dxa"/>
            <w:right w:w="108" w:type="dxa"/>
          </w:tblCellMar>
        </w:tblPrEx>
        <w:trPr>
          <w:trHeight w:val="504" w:hRule="exact"/>
          <w:jc w:val="center"/>
        </w:trPr>
        <w:tc>
          <w:tcPr>
            <w:tcW w:w="0" w:type="auto"/>
            <w:gridSpan w:val="3"/>
            <w:tcBorders>
              <w:top w:val="nil"/>
              <w:left w:val="nil"/>
              <w:bottom w:val="single" w:color="auto" w:sz="4" w:space="0"/>
              <w:right w:val="nil"/>
            </w:tcBorders>
            <w:noWrap w:val="0"/>
            <w:vAlign w:val="center"/>
          </w:tcPr>
          <w:p w14:paraId="636939CE">
            <w:pPr>
              <w:spacing w:line="360" w:lineRule="exact"/>
              <w:jc w:val="left"/>
              <w:rPr>
                <w:rFonts w:ascii="宋体" w:hAnsi="宋体" w:cs="宋体"/>
                <w:bCs/>
                <w:sz w:val="24"/>
                <w:szCs w:val="24"/>
              </w:rPr>
            </w:pPr>
            <w:r>
              <w:rPr>
                <w:rFonts w:hint="eastAsia" w:ascii="宋体" w:hAnsi="宋体" w:cs="宋体"/>
                <w:bCs/>
                <w:sz w:val="24"/>
                <w:szCs w:val="24"/>
              </w:rPr>
              <w:t>投标人名称（公章）：</w:t>
            </w:r>
          </w:p>
        </w:tc>
        <w:tc>
          <w:tcPr>
            <w:tcW w:w="0" w:type="auto"/>
            <w:gridSpan w:val="2"/>
            <w:tcBorders>
              <w:top w:val="nil"/>
              <w:left w:val="nil"/>
              <w:bottom w:val="single" w:color="auto" w:sz="4" w:space="0"/>
              <w:right w:val="nil"/>
            </w:tcBorders>
            <w:noWrap w:val="0"/>
            <w:vAlign w:val="center"/>
          </w:tcPr>
          <w:p w14:paraId="179BB79B">
            <w:pPr>
              <w:spacing w:line="360" w:lineRule="exact"/>
              <w:jc w:val="left"/>
              <w:rPr>
                <w:rFonts w:ascii="宋体" w:hAnsi="宋体" w:cs="宋体"/>
                <w:bCs/>
                <w:sz w:val="24"/>
                <w:szCs w:val="24"/>
              </w:rPr>
            </w:pPr>
          </w:p>
        </w:tc>
        <w:tc>
          <w:tcPr>
            <w:tcW w:w="0" w:type="auto"/>
            <w:tcBorders>
              <w:top w:val="nil"/>
              <w:left w:val="nil"/>
              <w:bottom w:val="single" w:color="auto" w:sz="4" w:space="0"/>
              <w:right w:val="nil"/>
            </w:tcBorders>
            <w:noWrap w:val="0"/>
            <w:vAlign w:val="center"/>
          </w:tcPr>
          <w:p w14:paraId="26A2A7C7">
            <w:pPr>
              <w:spacing w:line="360" w:lineRule="exact"/>
              <w:jc w:val="left"/>
              <w:rPr>
                <w:rFonts w:ascii="宋体" w:hAnsi="宋体" w:cs="宋体"/>
                <w:bCs/>
                <w:sz w:val="24"/>
                <w:szCs w:val="24"/>
              </w:rPr>
            </w:pPr>
          </w:p>
        </w:tc>
        <w:tc>
          <w:tcPr>
            <w:tcW w:w="0" w:type="auto"/>
            <w:tcBorders>
              <w:top w:val="nil"/>
              <w:left w:val="nil"/>
              <w:bottom w:val="single" w:color="auto" w:sz="4" w:space="0"/>
              <w:right w:val="nil"/>
            </w:tcBorders>
            <w:noWrap w:val="0"/>
            <w:vAlign w:val="center"/>
          </w:tcPr>
          <w:p w14:paraId="07F75E0C">
            <w:pPr>
              <w:spacing w:line="360" w:lineRule="exact"/>
              <w:jc w:val="left"/>
              <w:rPr>
                <w:rFonts w:ascii="宋体" w:hAnsi="宋体" w:cs="宋体"/>
                <w:bCs/>
                <w:sz w:val="24"/>
                <w:szCs w:val="24"/>
              </w:rPr>
            </w:pPr>
          </w:p>
        </w:tc>
        <w:tc>
          <w:tcPr>
            <w:tcW w:w="0" w:type="auto"/>
            <w:gridSpan w:val="2"/>
            <w:tcBorders>
              <w:top w:val="nil"/>
              <w:left w:val="nil"/>
              <w:bottom w:val="single" w:color="auto" w:sz="4" w:space="0"/>
              <w:right w:val="nil"/>
            </w:tcBorders>
            <w:noWrap w:val="0"/>
            <w:vAlign w:val="center"/>
          </w:tcPr>
          <w:p w14:paraId="4F6D2DB8">
            <w:pPr>
              <w:spacing w:line="360" w:lineRule="exact"/>
              <w:jc w:val="left"/>
              <w:rPr>
                <w:rFonts w:ascii="宋体" w:hAnsi="宋体" w:cs="宋体"/>
                <w:bCs/>
                <w:sz w:val="24"/>
                <w:szCs w:val="24"/>
              </w:rPr>
            </w:pPr>
            <w:r>
              <w:rPr>
                <w:rFonts w:hint="eastAsia" w:ascii="宋体" w:hAnsi="宋体" w:cs="宋体"/>
                <w:bCs/>
                <w:sz w:val="24"/>
                <w:szCs w:val="24"/>
              </w:rPr>
              <w:t>项目编号：</w:t>
            </w:r>
          </w:p>
        </w:tc>
        <w:tc>
          <w:tcPr>
            <w:tcW w:w="0" w:type="auto"/>
            <w:tcBorders>
              <w:top w:val="nil"/>
              <w:left w:val="nil"/>
              <w:bottom w:val="single" w:color="auto" w:sz="4" w:space="0"/>
              <w:right w:val="nil"/>
            </w:tcBorders>
            <w:noWrap w:val="0"/>
            <w:vAlign w:val="center"/>
          </w:tcPr>
          <w:p w14:paraId="382D335C">
            <w:pPr>
              <w:spacing w:line="360" w:lineRule="exact"/>
              <w:jc w:val="left"/>
              <w:rPr>
                <w:rFonts w:ascii="宋体" w:hAnsi="宋体" w:cs="宋体"/>
                <w:bCs/>
                <w:sz w:val="24"/>
                <w:szCs w:val="24"/>
              </w:rPr>
            </w:pPr>
          </w:p>
        </w:tc>
      </w:tr>
      <w:tr w14:paraId="4AC77292">
        <w:tblPrEx>
          <w:tblCellMar>
            <w:top w:w="0" w:type="dxa"/>
            <w:left w:w="108" w:type="dxa"/>
            <w:bottom w:w="0" w:type="dxa"/>
            <w:right w:w="108" w:type="dxa"/>
          </w:tblCellMar>
        </w:tblPrEx>
        <w:trPr>
          <w:trHeight w:val="984"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6E32476">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53B9BE">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34E62C">
            <w:pPr>
              <w:spacing w:line="360" w:lineRule="exact"/>
              <w:jc w:val="center"/>
              <w:rPr>
                <w:rFonts w:ascii="宋体" w:hAnsi="宋体" w:cs="宋体"/>
                <w:bCs/>
                <w:sz w:val="24"/>
                <w:szCs w:val="24"/>
              </w:rPr>
            </w:pPr>
            <w:r>
              <w:rPr>
                <w:rFonts w:hint="eastAsia" w:ascii="宋体" w:hAnsi="宋体" w:cs="宋体"/>
                <w:bCs/>
                <w:sz w:val="24"/>
                <w:szCs w:val="24"/>
              </w:rPr>
              <w:t>品牌型号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14E334">
            <w:pPr>
              <w:spacing w:line="360" w:lineRule="exact"/>
              <w:jc w:val="center"/>
              <w:rPr>
                <w:rFonts w:ascii="宋体" w:hAnsi="宋体" w:cs="宋体"/>
                <w:bCs/>
                <w:sz w:val="24"/>
                <w:szCs w:val="24"/>
              </w:rPr>
            </w:pPr>
            <w:r>
              <w:rPr>
                <w:rFonts w:hint="eastAsia" w:ascii="宋体" w:hAnsi="宋体" w:cs="宋体"/>
                <w:bCs/>
                <w:sz w:val="24"/>
                <w:szCs w:val="24"/>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57AD582">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010D0F8">
            <w:pPr>
              <w:spacing w:line="360" w:lineRule="exact"/>
              <w:jc w:val="center"/>
              <w:rPr>
                <w:rFonts w:ascii="宋体" w:hAnsi="宋体" w:cs="宋体"/>
                <w:bCs/>
                <w:sz w:val="24"/>
                <w:szCs w:val="24"/>
              </w:rPr>
            </w:pPr>
            <w:r>
              <w:rPr>
                <w:rFonts w:hint="eastAsia" w:ascii="宋体" w:hAnsi="宋体" w:cs="宋体"/>
                <w:bCs/>
                <w:sz w:val="24"/>
                <w:szCs w:val="24"/>
              </w:rPr>
              <w:t>投标单价（元）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6CE9AA">
            <w:pPr>
              <w:spacing w:line="360" w:lineRule="exact"/>
              <w:jc w:val="center"/>
              <w:rPr>
                <w:rFonts w:ascii="宋体" w:hAnsi="宋体" w:cs="宋体"/>
                <w:bCs/>
                <w:sz w:val="24"/>
                <w:szCs w:val="24"/>
              </w:rPr>
            </w:pPr>
            <w:r>
              <w:rPr>
                <w:rFonts w:hint="eastAsia" w:ascii="宋体" w:hAnsi="宋体" w:cs="宋体"/>
                <w:bCs/>
                <w:sz w:val="24"/>
                <w:szCs w:val="24"/>
              </w:rPr>
              <w:t>小计（元）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07C0B6B">
            <w:pPr>
              <w:spacing w:line="360" w:lineRule="exact"/>
              <w:jc w:val="center"/>
              <w:rPr>
                <w:rFonts w:ascii="宋体" w:hAnsi="宋体" w:cs="宋体"/>
                <w:bCs/>
                <w:sz w:val="24"/>
                <w:szCs w:val="24"/>
              </w:rPr>
            </w:pPr>
            <w:r>
              <w:rPr>
                <w:rFonts w:hint="eastAsia" w:ascii="宋体" w:hAnsi="宋体" w:cs="宋体"/>
                <w:bCs/>
                <w:sz w:val="24"/>
                <w:szCs w:val="24"/>
              </w:rPr>
              <w:t>交货时间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295BDFA">
            <w:pPr>
              <w:spacing w:line="360" w:lineRule="exact"/>
              <w:jc w:val="center"/>
              <w:rPr>
                <w:rFonts w:ascii="宋体" w:hAnsi="宋体" w:cs="宋体"/>
                <w:bCs/>
                <w:sz w:val="24"/>
                <w:szCs w:val="24"/>
              </w:rPr>
            </w:pPr>
            <w:r>
              <w:rPr>
                <w:rFonts w:hint="eastAsia" w:ascii="宋体" w:hAnsi="宋体" w:cs="宋体"/>
                <w:bCs/>
                <w:sz w:val="24"/>
                <w:szCs w:val="24"/>
              </w:rPr>
              <w:t>生产厂家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77C9AA">
            <w:pPr>
              <w:spacing w:line="360" w:lineRule="exact"/>
              <w:jc w:val="center"/>
              <w:rPr>
                <w:rFonts w:ascii="宋体" w:hAnsi="宋体" w:cs="宋体"/>
                <w:bCs/>
                <w:sz w:val="24"/>
                <w:szCs w:val="24"/>
              </w:rPr>
            </w:pPr>
            <w:r>
              <w:rPr>
                <w:rFonts w:hint="eastAsia" w:ascii="宋体" w:hAnsi="宋体" w:cs="宋体"/>
                <w:bCs/>
                <w:sz w:val="24"/>
                <w:szCs w:val="24"/>
              </w:rPr>
              <w:t>规格、技术指标</w:t>
            </w:r>
          </w:p>
        </w:tc>
      </w:tr>
      <w:tr w14:paraId="0B16713E">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35A60AF">
            <w:pPr>
              <w:spacing w:line="360" w:lineRule="exact"/>
              <w:jc w:val="center"/>
              <w:rPr>
                <w:rFonts w:ascii="宋体" w:hAnsi="宋体" w:cs="宋体"/>
                <w:bCs/>
                <w:sz w:val="24"/>
                <w:szCs w:val="24"/>
              </w:rPr>
            </w:pPr>
            <w:r>
              <w:rPr>
                <w:rFonts w:hint="eastAsia" w:ascii="宋体" w:hAnsi="宋体" w:cs="宋体"/>
                <w:bCs/>
                <w:sz w:val="24"/>
                <w:szCs w:val="24"/>
              </w:rPr>
              <w:t>1</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0D9BF129">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920830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49B260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72F53A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100ACD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A79104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943757A">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1F983D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2BF75D2">
            <w:pPr>
              <w:spacing w:line="360" w:lineRule="exact"/>
              <w:jc w:val="left"/>
              <w:rPr>
                <w:rFonts w:ascii="宋体" w:hAnsi="宋体" w:cs="宋体"/>
                <w:bCs/>
                <w:sz w:val="24"/>
                <w:szCs w:val="24"/>
              </w:rPr>
            </w:pPr>
          </w:p>
          <w:p w14:paraId="6BA316AC">
            <w:pPr>
              <w:spacing w:line="360" w:lineRule="exact"/>
              <w:jc w:val="left"/>
              <w:rPr>
                <w:rFonts w:ascii="宋体" w:hAnsi="宋体" w:cs="宋体"/>
                <w:bCs/>
                <w:sz w:val="24"/>
                <w:szCs w:val="24"/>
              </w:rPr>
            </w:pPr>
          </w:p>
        </w:tc>
      </w:tr>
      <w:tr w14:paraId="725DC318">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62FC7EE">
            <w:pPr>
              <w:spacing w:line="360" w:lineRule="exact"/>
              <w:jc w:val="center"/>
              <w:rPr>
                <w:rFonts w:ascii="宋体" w:hAnsi="宋体" w:cs="宋体"/>
                <w:bCs/>
                <w:sz w:val="24"/>
                <w:szCs w:val="24"/>
              </w:rPr>
            </w:pPr>
            <w:r>
              <w:rPr>
                <w:rFonts w:hint="eastAsia" w:ascii="宋体" w:hAnsi="宋体" w:cs="宋体"/>
                <w:bCs/>
                <w:sz w:val="24"/>
                <w:szCs w:val="24"/>
              </w:rPr>
              <w:t>2</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D3267D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860532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98803B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E2DC50D">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4C6012F">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D76159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33C8B98">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90B0F6D">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D967C0D">
            <w:pPr>
              <w:spacing w:line="360" w:lineRule="exact"/>
              <w:jc w:val="left"/>
              <w:rPr>
                <w:rFonts w:ascii="宋体" w:hAnsi="宋体" w:cs="宋体"/>
                <w:bCs/>
                <w:sz w:val="24"/>
                <w:szCs w:val="24"/>
              </w:rPr>
            </w:pPr>
          </w:p>
          <w:p w14:paraId="5F0D5391">
            <w:pPr>
              <w:spacing w:line="360" w:lineRule="exact"/>
              <w:jc w:val="left"/>
              <w:rPr>
                <w:rFonts w:ascii="宋体" w:hAnsi="宋体" w:cs="宋体"/>
                <w:bCs/>
                <w:sz w:val="24"/>
                <w:szCs w:val="24"/>
              </w:rPr>
            </w:pPr>
          </w:p>
        </w:tc>
      </w:tr>
      <w:tr w14:paraId="31BBF0CE">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54A2464">
            <w:pPr>
              <w:spacing w:line="360" w:lineRule="exact"/>
              <w:jc w:val="center"/>
              <w:rPr>
                <w:rFonts w:ascii="宋体" w:hAnsi="宋体" w:cs="宋体"/>
                <w:bCs/>
                <w:sz w:val="24"/>
                <w:szCs w:val="24"/>
              </w:rPr>
            </w:pPr>
            <w:r>
              <w:rPr>
                <w:rFonts w:hint="eastAsia" w:ascii="宋体" w:hAnsi="宋体" w:cs="宋体"/>
                <w:bCs/>
                <w:sz w:val="24"/>
                <w:szCs w:val="24"/>
              </w:rPr>
              <w:t>3</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210729C">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E9ECCD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FDF3922">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144BE2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FE87A77">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1807000">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A595E1F">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4FA7F48">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3E97ED3">
            <w:pPr>
              <w:spacing w:line="360" w:lineRule="exact"/>
              <w:jc w:val="left"/>
              <w:rPr>
                <w:rFonts w:ascii="宋体" w:hAnsi="宋体" w:cs="宋体"/>
                <w:bCs/>
                <w:sz w:val="24"/>
                <w:szCs w:val="24"/>
              </w:rPr>
            </w:pPr>
            <w:r>
              <w:rPr>
                <w:rFonts w:hint="eastAsia" w:ascii="宋体" w:hAnsi="宋体" w:cs="宋体"/>
                <w:bCs/>
                <w:sz w:val="24"/>
                <w:szCs w:val="24"/>
              </w:rPr>
              <w:t>　</w:t>
            </w:r>
          </w:p>
          <w:p w14:paraId="4C00FDF6">
            <w:pPr>
              <w:spacing w:line="360" w:lineRule="exact"/>
              <w:jc w:val="left"/>
              <w:rPr>
                <w:rFonts w:ascii="宋体" w:hAnsi="宋体" w:cs="宋体"/>
                <w:bCs/>
                <w:sz w:val="24"/>
                <w:szCs w:val="24"/>
              </w:rPr>
            </w:pPr>
            <w:r>
              <w:rPr>
                <w:rFonts w:hint="eastAsia" w:ascii="宋体" w:hAnsi="宋体" w:cs="宋体"/>
                <w:bCs/>
                <w:sz w:val="24"/>
                <w:szCs w:val="24"/>
              </w:rPr>
              <w:t>　</w:t>
            </w:r>
          </w:p>
        </w:tc>
      </w:tr>
      <w:tr w14:paraId="316DCDD2">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85AB2EF">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4A5DC9C">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E50D9A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F298D6A">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7EA475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5F0A465">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BC3C98F">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BA45A3B">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1A498571">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4FAF4EB">
            <w:pPr>
              <w:spacing w:line="360" w:lineRule="exact"/>
              <w:jc w:val="left"/>
              <w:rPr>
                <w:rFonts w:ascii="宋体" w:hAnsi="宋体" w:cs="宋体"/>
                <w:bCs/>
                <w:sz w:val="24"/>
                <w:szCs w:val="24"/>
              </w:rPr>
            </w:pPr>
            <w:r>
              <w:rPr>
                <w:rFonts w:hint="eastAsia" w:ascii="宋体" w:hAnsi="宋体" w:cs="宋体"/>
                <w:bCs/>
                <w:sz w:val="24"/>
                <w:szCs w:val="24"/>
              </w:rPr>
              <w:t>　</w:t>
            </w:r>
          </w:p>
          <w:p w14:paraId="25118F62">
            <w:pPr>
              <w:spacing w:line="360" w:lineRule="exact"/>
              <w:jc w:val="left"/>
              <w:rPr>
                <w:rFonts w:ascii="宋体" w:hAnsi="宋体" w:cs="宋体"/>
                <w:bCs/>
                <w:sz w:val="24"/>
                <w:szCs w:val="24"/>
              </w:rPr>
            </w:pPr>
            <w:r>
              <w:rPr>
                <w:rFonts w:hint="eastAsia" w:ascii="宋体" w:hAnsi="宋体" w:cs="宋体"/>
                <w:bCs/>
                <w:sz w:val="24"/>
                <w:szCs w:val="24"/>
              </w:rPr>
              <w:t>　</w:t>
            </w:r>
          </w:p>
        </w:tc>
      </w:tr>
      <w:tr w14:paraId="0C105197">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6C66055">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227433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8F10B16">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AF5BDB6">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C4846BA">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B1E555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826EF2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236A4F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A1DB2A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DA1FEBF">
            <w:pPr>
              <w:spacing w:line="360" w:lineRule="exact"/>
              <w:jc w:val="left"/>
              <w:rPr>
                <w:rFonts w:ascii="宋体" w:hAnsi="宋体" w:cs="宋体"/>
                <w:bCs/>
                <w:sz w:val="24"/>
                <w:szCs w:val="24"/>
              </w:rPr>
            </w:pPr>
          </w:p>
        </w:tc>
      </w:tr>
      <w:tr w14:paraId="33F62598">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749E0AA">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50AC97D">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ACAD19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76BBED8">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81A2EA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9CBB029">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4FD95D3">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4B0D195">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427939F">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1914C3D5">
            <w:pPr>
              <w:spacing w:line="360" w:lineRule="exact"/>
              <w:jc w:val="left"/>
              <w:rPr>
                <w:rFonts w:ascii="宋体" w:hAnsi="宋体" w:cs="宋体"/>
                <w:bCs/>
                <w:sz w:val="24"/>
                <w:szCs w:val="24"/>
              </w:rPr>
            </w:pPr>
            <w:r>
              <w:rPr>
                <w:rFonts w:hint="eastAsia" w:ascii="宋体" w:hAnsi="宋体" w:cs="宋体"/>
                <w:bCs/>
                <w:sz w:val="24"/>
                <w:szCs w:val="24"/>
              </w:rPr>
              <w:t>　</w:t>
            </w:r>
          </w:p>
          <w:p w14:paraId="2F5049BE">
            <w:pPr>
              <w:spacing w:line="360" w:lineRule="exact"/>
              <w:jc w:val="left"/>
              <w:rPr>
                <w:rFonts w:ascii="宋体" w:hAnsi="宋体" w:cs="宋体"/>
                <w:bCs/>
                <w:sz w:val="24"/>
                <w:szCs w:val="24"/>
              </w:rPr>
            </w:pPr>
            <w:r>
              <w:rPr>
                <w:rFonts w:hint="eastAsia" w:ascii="宋体" w:hAnsi="宋体" w:cs="宋体"/>
                <w:bCs/>
                <w:sz w:val="24"/>
                <w:szCs w:val="24"/>
              </w:rPr>
              <w:t>　</w:t>
            </w:r>
          </w:p>
        </w:tc>
      </w:tr>
      <w:tr w14:paraId="0A51A9C8">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5F9E37E">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BECFEE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5CBA94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6CEBC4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547E7B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26D952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0081D6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D2D971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ACB8D6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B76C336">
            <w:pPr>
              <w:spacing w:line="360" w:lineRule="exact"/>
              <w:jc w:val="left"/>
              <w:rPr>
                <w:rFonts w:ascii="宋体" w:hAnsi="宋体" w:cs="宋体"/>
                <w:bCs/>
                <w:sz w:val="24"/>
                <w:szCs w:val="24"/>
              </w:rPr>
            </w:pPr>
          </w:p>
        </w:tc>
      </w:tr>
      <w:tr w14:paraId="7FD7AB5E">
        <w:tblPrEx>
          <w:tblCellMar>
            <w:top w:w="0" w:type="dxa"/>
            <w:left w:w="108" w:type="dxa"/>
            <w:bottom w:w="0" w:type="dxa"/>
            <w:right w:w="108" w:type="dxa"/>
          </w:tblCellMar>
        </w:tblPrEx>
        <w:trPr>
          <w:trHeight w:val="736" w:hRule="atLeast"/>
          <w:jc w:val="center"/>
        </w:trPr>
        <w:tc>
          <w:tcPr>
            <w:tcW w:w="0" w:type="auto"/>
            <w:gridSpan w:val="10"/>
            <w:tcBorders>
              <w:top w:val="single" w:color="auto" w:sz="4" w:space="0"/>
              <w:left w:val="single" w:color="auto" w:sz="4" w:space="0"/>
              <w:bottom w:val="single" w:color="auto" w:sz="4" w:space="0"/>
              <w:right w:val="single" w:color="auto" w:sz="4" w:space="0"/>
            </w:tcBorders>
            <w:noWrap w:val="0"/>
            <w:vAlign w:val="center"/>
          </w:tcPr>
          <w:p w14:paraId="5ED12D07">
            <w:pPr>
              <w:spacing w:line="360" w:lineRule="exact"/>
              <w:jc w:val="left"/>
              <w:rPr>
                <w:rFonts w:ascii="宋体" w:hAnsi="宋体" w:cs="宋体"/>
                <w:bCs/>
                <w:sz w:val="24"/>
                <w:szCs w:val="24"/>
              </w:rPr>
            </w:pPr>
            <w:r>
              <w:rPr>
                <w:rFonts w:hint="eastAsia" w:ascii="宋体" w:hAnsi="宋体" w:cs="宋体"/>
                <w:bCs/>
                <w:sz w:val="24"/>
                <w:szCs w:val="24"/>
              </w:rPr>
              <w:t xml:space="preserve">投标报价金额合计（大写）：                                      </w:t>
            </w:r>
            <w:r>
              <w:rPr>
                <w:rFonts w:ascii="宋体" w:hAnsi="宋体" w:cs="宋体"/>
                <w:bCs/>
                <w:sz w:val="24"/>
                <w:szCs w:val="24"/>
              </w:rPr>
              <w:t>人民币（小写）：</w:t>
            </w:r>
          </w:p>
        </w:tc>
      </w:tr>
    </w:tbl>
    <w:p w14:paraId="7F075D3B">
      <w:pPr>
        <w:spacing w:line="360" w:lineRule="exact"/>
        <w:jc w:val="left"/>
        <w:rPr>
          <w:rFonts w:hint="eastAsia" w:ascii="宋体" w:hAnsi="宋体" w:cs="宋体"/>
          <w:bCs/>
          <w:sz w:val="24"/>
          <w:szCs w:val="24"/>
        </w:rPr>
      </w:pPr>
    </w:p>
    <w:p w14:paraId="7497BC26">
      <w:pPr>
        <w:spacing w:line="360" w:lineRule="exact"/>
        <w:jc w:val="left"/>
        <w:rPr>
          <w:rFonts w:hint="eastAsia" w:ascii="宋体" w:hAnsi="宋体" w:cs="宋体"/>
          <w:bCs/>
          <w:sz w:val="24"/>
          <w:szCs w:val="24"/>
        </w:rPr>
      </w:pPr>
    </w:p>
    <w:p w14:paraId="7BBF82BE">
      <w:pPr>
        <w:spacing w:line="360" w:lineRule="exact"/>
        <w:jc w:val="left"/>
        <w:rPr>
          <w:rFonts w:hint="eastAsia" w:ascii="宋体" w:hAnsi="宋体" w:cs="宋体"/>
          <w:bCs/>
          <w:sz w:val="24"/>
          <w:szCs w:val="24"/>
        </w:rPr>
      </w:pPr>
    </w:p>
    <w:p w14:paraId="71509B1B">
      <w:pPr>
        <w:spacing w:line="360" w:lineRule="exact"/>
        <w:jc w:val="left"/>
        <w:rPr>
          <w:rFonts w:hint="eastAsia" w:ascii="宋体" w:hAnsi="宋体" w:cs="宋体"/>
          <w:bCs/>
          <w:sz w:val="24"/>
          <w:szCs w:val="24"/>
        </w:rPr>
      </w:pPr>
    </w:p>
    <w:p w14:paraId="7DBD8554">
      <w:pPr>
        <w:spacing w:line="360" w:lineRule="exact"/>
        <w:jc w:val="left"/>
        <w:rPr>
          <w:rFonts w:hint="eastAsia" w:ascii="宋体" w:hAnsi="宋体" w:cs="宋体"/>
          <w:bCs/>
          <w:sz w:val="24"/>
          <w:szCs w:val="24"/>
        </w:rPr>
      </w:pPr>
    </w:p>
    <w:p w14:paraId="18CC51E6">
      <w:pPr>
        <w:spacing w:line="360" w:lineRule="exact"/>
        <w:jc w:val="left"/>
        <w:rPr>
          <w:rFonts w:hint="eastAsia" w:ascii="宋体" w:hAnsi="宋体" w:cs="宋体"/>
          <w:bCs/>
          <w:sz w:val="24"/>
          <w:szCs w:val="24"/>
        </w:rPr>
      </w:pPr>
    </w:p>
    <w:p w14:paraId="386FB3C5">
      <w:pPr>
        <w:spacing w:line="360" w:lineRule="exact"/>
        <w:jc w:val="left"/>
        <w:rPr>
          <w:rFonts w:hint="eastAsia" w:ascii="宋体" w:hAnsi="宋体" w:cs="宋体"/>
          <w:bCs/>
          <w:sz w:val="24"/>
          <w:szCs w:val="24"/>
        </w:rPr>
      </w:pPr>
    </w:p>
    <w:p w14:paraId="2888D50D">
      <w:pPr>
        <w:spacing w:line="360" w:lineRule="exact"/>
        <w:jc w:val="left"/>
        <w:rPr>
          <w:rFonts w:hint="eastAsia" w:ascii="宋体" w:hAnsi="宋体" w:cs="宋体"/>
          <w:bCs/>
          <w:sz w:val="24"/>
          <w:szCs w:val="24"/>
        </w:rPr>
      </w:pPr>
    </w:p>
    <w:p w14:paraId="4842D7DD">
      <w:pPr>
        <w:spacing w:line="360" w:lineRule="exact"/>
        <w:jc w:val="left"/>
        <w:rPr>
          <w:rFonts w:hint="eastAsia" w:ascii="宋体" w:hAnsi="宋体" w:cs="宋体"/>
          <w:bCs/>
          <w:sz w:val="24"/>
          <w:szCs w:val="24"/>
        </w:rPr>
      </w:pPr>
    </w:p>
    <w:p w14:paraId="762C80A8">
      <w:pPr>
        <w:spacing w:line="360" w:lineRule="exact"/>
        <w:jc w:val="left"/>
        <w:rPr>
          <w:rFonts w:hint="eastAsia" w:ascii="宋体" w:hAnsi="宋体" w:cs="宋体"/>
          <w:bCs/>
          <w:sz w:val="24"/>
          <w:szCs w:val="24"/>
        </w:rPr>
      </w:pPr>
    </w:p>
    <w:p w14:paraId="5DBD4A3B">
      <w:pPr>
        <w:spacing w:line="360" w:lineRule="exact"/>
        <w:jc w:val="left"/>
        <w:rPr>
          <w:rFonts w:hint="eastAsia" w:ascii="宋体" w:hAnsi="宋体" w:cs="宋体"/>
          <w:bCs/>
          <w:sz w:val="24"/>
          <w:szCs w:val="24"/>
        </w:rPr>
      </w:pPr>
    </w:p>
    <w:p w14:paraId="51CE022E">
      <w:pPr>
        <w:spacing w:line="360" w:lineRule="exact"/>
        <w:jc w:val="left"/>
        <w:rPr>
          <w:rFonts w:hint="eastAsia" w:ascii="宋体" w:hAnsi="宋体" w:cs="宋体"/>
          <w:bCs/>
          <w:sz w:val="24"/>
          <w:szCs w:val="24"/>
        </w:rPr>
      </w:pPr>
    </w:p>
    <w:p w14:paraId="3FC745BF">
      <w:pPr>
        <w:spacing w:line="360" w:lineRule="exact"/>
        <w:jc w:val="left"/>
        <w:rPr>
          <w:rFonts w:hint="eastAsia" w:ascii="宋体" w:hAnsi="宋体" w:cs="宋体"/>
          <w:bCs/>
          <w:sz w:val="24"/>
          <w:szCs w:val="24"/>
        </w:rPr>
      </w:pPr>
    </w:p>
    <w:p w14:paraId="701C11CD">
      <w:pPr>
        <w:spacing w:line="360" w:lineRule="exact"/>
        <w:jc w:val="left"/>
        <w:rPr>
          <w:rFonts w:hint="eastAsia" w:ascii="宋体" w:hAnsi="宋体" w:cs="宋体"/>
          <w:bCs/>
          <w:sz w:val="24"/>
          <w:szCs w:val="24"/>
        </w:rPr>
      </w:pPr>
    </w:p>
    <w:p w14:paraId="0DDBB399">
      <w:pPr>
        <w:spacing w:line="360" w:lineRule="exact"/>
        <w:jc w:val="left"/>
        <w:rPr>
          <w:rFonts w:hint="eastAsia" w:ascii="宋体" w:hAnsi="宋体" w:cs="宋体"/>
          <w:bCs/>
          <w:sz w:val="24"/>
          <w:szCs w:val="24"/>
        </w:rPr>
      </w:pPr>
    </w:p>
    <w:p w14:paraId="08F90E3F">
      <w:pPr>
        <w:spacing w:line="360" w:lineRule="exact"/>
        <w:jc w:val="left"/>
        <w:rPr>
          <w:rFonts w:hint="eastAsia" w:ascii="宋体" w:hAnsi="宋体" w:cs="宋体"/>
          <w:bCs/>
          <w:sz w:val="24"/>
          <w:szCs w:val="24"/>
        </w:rPr>
      </w:pPr>
    </w:p>
    <w:p w14:paraId="317FDD5E">
      <w:pPr>
        <w:spacing w:line="360" w:lineRule="exact"/>
        <w:jc w:val="left"/>
        <w:rPr>
          <w:rFonts w:hint="eastAsia" w:ascii="宋体" w:hAnsi="宋体" w:cs="宋体"/>
          <w:bCs/>
          <w:sz w:val="24"/>
          <w:szCs w:val="24"/>
        </w:rPr>
      </w:pPr>
    </w:p>
    <w:p w14:paraId="35AF6E11">
      <w:pPr>
        <w:spacing w:line="360" w:lineRule="exact"/>
        <w:jc w:val="left"/>
        <w:rPr>
          <w:rFonts w:hint="eastAsia" w:ascii="宋体" w:hAnsi="宋体" w:cs="宋体"/>
          <w:bCs/>
          <w:sz w:val="24"/>
          <w:szCs w:val="24"/>
        </w:rPr>
      </w:pPr>
    </w:p>
    <w:p w14:paraId="7C79EB5D">
      <w:pPr>
        <w:spacing w:line="360" w:lineRule="exact"/>
        <w:jc w:val="left"/>
        <w:rPr>
          <w:rFonts w:hint="eastAsia" w:ascii="宋体" w:hAnsi="宋体" w:cs="宋体"/>
          <w:bCs/>
          <w:sz w:val="24"/>
          <w:szCs w:val="24"/>
        </w:rPr>
      </w:pPr>
    </w:p>
    <w:p w14:paraId="4444E53C">
      <w:pPr>
        <w:spacing w:line="360" w:lineRule="exact"/>
        <w:jc w:val="left"/>
        <w:rPr>
          <w:rFonts w:ascii="宋体" w:hAnsi="宋体" w:cs="宋体"/>
          <w:bCs/>
          <w:sz w:val="24"/>
          <w:szCs w:val="24"/>
        </w:rPr>
        <w:sectPr>
          <w:pgSz w:w="16840" w:h="11907" w:orient="landscape"/>
          <w:pgMar w:top="1803" w:right="1440" w:bottom="1803" w:left="1440" w:header="851" w:footer="992" w:gutter="0"/>
          <w:pgNumType w:fmt="decimal"/>
          <w:cols w:space="720" w:num="1"/>
          <w:docGrid w:linePitch="332" w:charSpace="0"/>
        </w:sectPr>
      </w:pPr>
      <w:r>
        <w:rPr>
          <w:rFonts w:hint="eastAsia" w:ascii="宋体" w:hAnsi="宋体" w:cs="宋体"/>
          <w:bCs/>
          <w:sz w:val="24"/>
          <w:szCs w:val="24"/>
        </w:rPr>
        <w:t>法定代表人（负责人）或授权代表（签字）：                                   日期：</w:t>
      </w:r>
      <w:r>
        <w:rPr>
          <w:rFonts w:hint="eastAsia" w:ascii="宋体" w:hAnsi="宋体" w:cs="宋体"/>
          <w:bCs/>
          <w:spacing w:val="-8"/>
          <w:sz w:val="24"/>
          <w:szCs w:val="24"/>
        </w:rPr>
        <w:t>年月日</w:t>
      </w:r>
    </w:p>
    <w:p w14:paraId="5B8F2651">
      <w:pPr>
        <w:spacing w:line="520" w:lineRule="exact"/>
        <w:jc w:val="left"/>
        <w:rPr>
          <w:rFonts w:ascii="宋体" w:hAnsi="宋体" w:cs="宋体"/>
          <w:b/>
          <w:bCs/>
          <w:sz w:val="24"/>
          <w:szCs w:val="24"/>
        </w:rPr>
      </w:pPr>
      <w:r>
        <w:rPr>
          <w:rFonts w:hint="eastAsia" w:ascii="宋体" w:hAnsi="宋体" w:cs="宋体"/>
          <w:b/>
          <w:bCs/>
          <w:sz w:val="24"/>
          <w:szCs w:val="24"/>
        </w:rPr>
        <w:t>3.主要设备技术指标及技术性能说明</w:t>
      </w:r>
    </w:p>
    <w:p w14:paraId="25CEB924">
      <w:pPr>
        <w:spacing w:line="520" w:lineRule="exact"/>
        <w:jc w:val="left"/>
        <w:rPr>
          <w:rFonts w:ascii="宋体" w:hAnsi="宋体" w:cs="宋体"/>
          <w:b/>
          <w:bCs/>
          <w:snapToGrid w:val="0"/>
          <w:kern w:val="0"/>
          <w:sz w:val="24"/>
          <w:szCs w:val="24"/>
        </w:rPr>
      </w:pPr>
      <w:r>
        <w:rPr>
          <w:rFonts w:hint="eastAsia" w:ascii="宋体" w:hAnsi="宋体" w:cs="宋体"/>
          <w:b/>
          <w:bCs/>
          <w:sz w:val="24"/>
          <w:szCs w:val="24"/>
        </w:rPr>
        <w:t>4.供应商提供的产品交货方案、技术服务的人员结构情况</w:t>
      </w:r>
      <w:r>
        <w:rPr>
          <w:rFonts w:hint="eastAsia" w:ascii="宋体" w:hAnsi="宋体" w:cs="宋体"/>
          <w:b/>
          <w:bCs/>
          <w:snapToGrid w:val="0"/>
          <w:kern w:val="0"/>
          <w:sz w:val="24"/>
          <w:szCs w:val="24"/>
        </w:rPr>
        <w:t>，产品交货进度安排、安装方案</w:t>
      </w:r>
      <w:r>
        <w:rPr>
          <w:rFonts w:hint="eastAsia" w:ascii="宋体" w:hAnsi="宋体" w:cs="宋体"/>
          <w:bCs/>
          <w:sz w:val="24"/>
          <w:szCs w:val="24"/>
        </w:rPr>
        <w:t>（格式自拟）</w:t>
      </w:r>
    </w:p>
    <w:p w14:paraId="3EEDD931">
      <w:pPr>
        <w:spacing w:line="520" w:lineRule="exact"/>
        <w:jc w:val="left"/>
        <w:rPr>
          <w:rFonts w:ascii="宋体" w:hAnsi="宋体" w:cs="宋体"/>
          <w:bCs/>
          <w:sz w:val="24"/>
          <w:szCs w:val="24"/>
        </w:rPr>
      </w:pPr>
      <w:r>
        <w:rPr>
          <w:rFonts w:hint="eastAsia" w:ascii="宋体" w:hAnsi="宋体" w:cs="宋体"/>
          <w:b/>
          <w:bCs/>
          <w:sz w:val="24"/>
          <w:szCs w:val="24"/>
        </w:rPr>
        <w:t>5.售后服务计划</w:t>
      </w:r>
      <w:r>
        <w:rPr>
          <w:rFonts w:hint="eastAsia" w:ascii="宋体" w:hAnsi="宋体" w:cs="宋体"/>
          <w:bCs/>
          <w:sz w:val="24"/>
          <w:szCs w:val="24"/>
        </w:rPr>
        <w:t>（格式自拟）</w:t>
      </w:r>
    </w:p>
    <w:p w14:paraId="52293FA8">
      <w:pPr>
        <w:spacing w:line="360" w:lineRule="exact"/>
        <w:jc w:val="left"/>
        <w:rPr>
          <w:rFonts w:ascii="宋体" w:hAnsi="宋体" w:cs="宋体"/>
          <w:bCs/>
          <w:sz w:val="24"/>
          <w:szCs w:val="24"/>
        </w:rPr>
      </w:pPr>
      <w:r>
        <w:rPr>
          <w:rFonts w:hint="eastAsia" w:ascii="宋体" w:hAnsi="宋体" w:eastAsia="宋体" w:cs="宋体"/>
          <w:b/>
          <w:bCs/>
          <w:sz w:val="24"/>
          <w:szCs w:val="24"/>
          <w:lang w:val="en-US" w:eastAsia="zh-CN"/>
        </w:rPr>
        <w:t>6</w:t>
      </w:r>
      <w:r>
        <w:rPr>
          <w:rFonts w:hint="eastAsia" w:ascii="宋体" w:hAnsi="宋体" w:cs="宋体"/>
          <w:b/>
          <w:bCs/>
          <w:sz w:val="24"/>
          <w:szCs w:val="24"/>
        </w:rPr>
        <w:t>.节能产品、环境标志产品明细表</w:t>
      </w:r>
    </w:p>
    <w:p w14:paraId="4B94B63A">
      <w:pPr>
        <w:spacing w:line="360" w:lineRule="exact"/>
        <w:jc w:val="center"/>
        <w:rPr>
          <w:rFonts w:ascii="宋体" w:hAnsi="宋体" w:cs="宋体"/>
          <w:b/>
          <w:bCs/>
          <w:sz w:val="24"/>
          <w:szCs w:val="24"/>
        </w:rPr>
      </w:pPr>
    </w:p>
    <w:p w14:paraId="076E8D9D">
      <w:pPr>
        <w:spacing w:line="360" w:lineRule="exact"/>
        <w:jc w:val="center"/>
        <w:rPr>
          <w:rFonts w:hint="eastAsia" w:ascii="宋体" w:hAnsi="宋体" w:cs="宋体"/>
          <w:b/>
          <w:bCs/>
          <w:sz w:val="32"/>
          <w:szCs w:val="24"/>
        </w:rPr>
      </w:pPr>
      <w:r>
        <w:rPr>
          <w:rFonts w:hint="eastAsia" w:ascii="宋体" w:hAnsi="宋体" w:cs="宋体"/>
          <w:b/>
          <w:bCs/>
          <w:sz w:val="32"/>
          <w:szCs w:val="24"/>
        </w:rPr>
        <w:t>节能产品明细表</w:t>
      </w:r>
    </w:p>
    <w:p w14:paraId="69356AD1">
      <w:pPr>
        <w:ind w:firstLine="420" w:firstLineChars="200"/>
        <w:rPr>
          <w:rFonts w:ascii="Times New Roman" w:hAnsi="Times New Roman"/>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51"/>
        <w:gridCol w:w="850"/>
        <w:gridCol w:w="993"/>
        <w:gridCol w:w="1134"/>
        <w:gridCol w:w="1843"/>
        <w:gridCol w:w="780"/>
        <w:gridCol w:w="720"/>
        <w:gridCol w:w="705"/>
      </w:tblGrid>
      <w:tr w14:paraId="5032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F558846">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523560">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5A9E96D">
            <w:pPr>
              <w:spacing w:line="360" w:lineRule="exact"/>
              <w:jc w:val="center"/>
              <w:rPr>
                <w:rFonts w:ascii="宋体" w:hAnsi="宋体" w:cs="宋体"/>
                <w:bCs/>
                <w:sz w:val="24"/>
                <w:szCs w:val="24"/>
              </w:rPr>
            </w:pPr>
            <w:r>
              <w:rPr>
                <w:rFonts w:hint="eastAsia" w:ascii="宋体" w:hAnsi="宋体" w:cs="宋体"/>
                <w:bCs/>
                <w:sz w:val="24"/>
                <w:szCs w:val="24"/>
              </w:rPr>
              <w:t>品牌</w:t>
            </w:r>
          </w:p>
          <w:p w14:paraId="223B55DC">
            <w:pPr>
              <w:spacing w:line="360" w:lineRule="exact"/>
              <w:jc w:val="center"/>
              <w:rPr>
                <w:rFonts w:ascii="宋体" w:hAnsi="宋体" w:cs="宋体"/>
                <w:bCs/>
                <w:sz w:val="24"/>
                <w:szCs w:val="24"/>
              </w:rPr>
            </w:pPr>
            <w:r>
              <w:rPr>
                <w:rFonts w:hint="eastAsia" w:ascii="宋体" w:hAnsi="宋体" w:cs="宋体"/>
                <w:bCs/>
                <w:sz w:val="24"/>
                <w:szCs w:val="24"/>
              </w:rPr>
              <w:t>型号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3450EC">
            <w:pPr>
              <w:spacing w:line="360" w:lineRule="exact"/>
              <w:jc w:val="center"/>
              <w:rPr>
                <w:rFonts w:ascii="宋体" w:hAnsi="宋体" w:cs="宋体"/>
                <w:bCs/>
                <w:sz w:val="24"/>
                <w:szCs w:val="24"/>
              </w:rPr>
            </w:pPr>
            <w:r>
              <w:rPr>
                <w:rFonts w:hint="eastAsia" w:ascii="宋体" w:hAnsi="宋体" w:cs="宋体"/>
                <w:bCs/>
                <w:sz w:val="24"/>
                <w:szCs w:val="24"/>
              </w:rPr>
              <w:t>制造商</w:t>
            </w:r>
          </w:p>
          <w:p w14:paraId="26418F6F">
            <w:pPr>
              <w:spacing w:line="360" w:lineRule="exact"/>
              <w:jc w:val="center"/>
              <w:rPr>
                <w:rFonts w:ascii="宋体" w:hAnsi="宋体" w:cs="宋体"/>
                <w:bCs/>
                <w:sz w:val="24"/>
                <w:szCs w:val="24"/>
              </w:rPr>
            </w:pPr>
            <w:r>
              <w:rPr>
                <w:rFonts w:hint="eastAsia" w:ascii="宋体" w:hAnsi="宋体" w:cs="宋体"/>
                <w:bCs/>
                <w:sz w:val="24"/>
                <w:szCs w:val="24"/>
              </w:rPr>
              <w:t>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FBD8E5">
            <w:pPr>
              <w:spacing w:line="360" w:lineRule="exact"/>
              <w:jc w:val="center"/>
              <w:rPr>
                <w:rFonts w:ascii="宋体" w:hAnsi="宋体" w:cs="宋体"/>
                <w:bCs/>
                <w:sz w:val="24"/>
                <w:szCs w:val="24"/>
              </w:rPr>
            </w:pPr>
            <w:r>
              <w:rPr>
                <w:rFonts w:hint="eastAsia" w:ascii="宋体" w:hAnsi="宋体" w:cs="宋体"/>
                <w:bCs/>
                <w:sz w:val="24"/>
                <w:szCs w:val="24"/>
              </w:rPr>
              <w:t>节字标</w:t>
            </w:r>
          </w:p>
          <w:p w14:paraId="1BB59F2A">
            <w:pPr>
              <w:spacing w:line="360" w:lineRule="exact"/>
              <w:jc w:val="center"/>
              <w:rPr>
                <w:rFonts w:ascii="宋体" w:hAnsi="宋体" w:cs="宋体"/>
                <w:bCs/>
                <w:sz w:val="24"/>
                <w:szCs w:val="24"/>
              </w:rPr>
            </w:pPr>
            <w:r>
              <w:rPr>
                <w:rFonts w:hint="eastAsia" w:ascii="宋体" w:hAnsi="宋体" w:cs="宋体"/>
                <w:bCs/>
                <w:sz w:val="24"/>
                <w:szCs w:val="24"/>
              </w:rPr>
              <w:t>志认证</w:t>
            </w:r>
          </w:p>
          <w:p w14:paraId="38734200">
            <w:pPr>
              <w:spacing w:line="360" w:lineRule="exact"/>
              <w:jc w:val="center"/>
              <w:rPr>
                <w:rFonts w:ascii="宋体" w:hAnsi="宋体" w:cs="宋体"/>
                <w:bCs/>
                <w:sz w:val="24"/>
                <w:szCs w:val="24"/>
              </w:rPr>
            </w:pPr>
            <w:r>
              <w:rPr>
                <w:rFonts w:hint="eastAsia" w:ascii="宋体" w:hAnsi="宋体" w:cs="宋体"/>
                <w:bCs/>
                <w:sz w:val="24"/>
                <w:szCs w:val="24"/>
              </w:rPr>
              <w:t>证书号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7DEE64">
            <w:pPr>
              <w:spacing w:line="360" w:lineRule="exact"/>
              <w:jc w:val="center"/>
              <w:rPr>
                <w:rFonts w:ascii="宋体" w:hAnsi="宋体" w:cs="宋体"/>
                <w:bCs/>
                <w:sz w:val="24"/>
                <w:szCs w:val="24"/>
              </w:rPr>
            </w:pPr>
            <w:r>
              <w:rPr>
                <w:rFonts w:hint="eastAsia" w:ascii="宋体" w:hAnsi="宋体" w:cs="宋体"/>
                <w:bCs/>
                <w:sz w:val="24"/>
                <w:szCs w:val="24"/>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7860868">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60FFED">
            <w:pPr>
              <w:spacing w:line="360" w:lineRule="exact"/>
              <w:jc w:val="center"/>
              <w:rPr>
                <w:rFonts w:ascii="宋体" w:hAnsi="宋体" w:cs="宋体"/>
                <w:bCs/>
                <w:sz w:val="24"/>
                <w:szCs w:val="24"/>
              </w:rPr>
            </w:pPr>
            <w:r>
              <w:rPr>
                <w:rFonts w:hint="eastAsia" w:ascii="宋体" w:hAnsi="宋体" w:cs="宋体"/>
                <w:bCs/>
                <w:sz w:val="24"/>
                <w:szCs w:val="24"/>
              </w:rPr>
              <w:t>单价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7632FC8">
            <w:pPr>
              <w:spacing w:line="360" w:lineRule="exact"/>
              <w:jc w:val="center"/>
              <w:rPr>
                <w:rFonts w:ascii="宋体" w:hAnsi="宋体" w:cs="宋体"/>
                <w:bCs/>
                <w:sz w:val="24"/>
                <w:szCs w:val="24"/>
              </w:rPr>
            </w:pPr>
            <w:r>
              <w:rPr>
                <w:rFonts w:hint="eastAsia" w:ascii="宋体" w:hAnsi="宋体" w:cs="宋体"/>
                <w:bCs/>
                <w:sz w:val="24"/>
                <w:szCs w:val="24"/>
              </w:rPr>
              <w:t>总价</w:t>
            </w:r>
          </w:p>
        </w:tc>
      </w:tr>
      <w:tr w14:paraId="3C03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42B60002">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2FF5DB9">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BAC91ED">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8967F3E">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534A4B6">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AEE954F">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E15C51F">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A86F643">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E68A1F2">
            <w:pPr>
              <w:spacing w:line="360" w:lineRule="exact"/>
              <w:jc w:val="left"/>
              <w:rPr>
                <w:rFonts w:ascii="宋体" w:hAnsi="宋体" w:cs="宋体"/>
                <w:bCs/>
                <w:sz w:val="24"/>
                <w:szCs w:val="24"/>
              </w:rPr>
            </w:pPr>
          </w:p>
        </w:tc>
      </w:tr>
      <w:tr w14:paraId="4552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4AA9EAF4">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630A22D">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B3291E2">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1707C96">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6F62A77">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CBF8CED">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C313C06">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AF3B623">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C292CBA">
            <w:pPr>
              <w:spacing w:line="360" w:lineRule="exact"/>
              <w:jc w:val="left"/>
              <w:rPr>
                <w:rFonts w:ascii="宋体" w:hAnsi="宋体" w:cs="宋体"/>
                <w:bCs/>
                <w:sz w:val="24"/>
                <w:szCs w:val="24"/>
              </w:rPr>
            </w:pPr>
          </w:p>
        </w:tc>
      </w:tr>
      <w:tr w14:paraId="7D45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137EF21E">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7C35D72">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04D9798">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13D51D0">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0171916">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C267A70">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DC3EFA4">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1CC5B08">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0D19EDB">
            <w:pPr>
              <w:spacing w:line="360" w:lineRule="exact"/>
              <w:jc w:val="left"/>
              <w:rPr>
                <w:rFonts w:ascii="宋体" w:hAnsi="宋体" w:cs="宋体"/>
                <w:bCs/>
                <w:sz w:val="24"/>
                <w:szCs w:val="24"/>
              </w:rPr>
            </w:pPr>
          </w:p>
        </w:tc>
      </w:tr>
    </w:tbl>
    <w:p w14:paraId="2AB57252">
      <w:pPr>
        <w:spacing w:line="360" w:lineRule="exact"/>
        <w:jc w:val="left"/>
        <w:rPr>
          <w:rFonts w:ascii="宋体" w:hAnsi="宋体" w:cs="宋体"/>
          <w:bCs/>
          <w:sz w:val="24"/>
          <w:szCs w:val="24"/>
        </w:rPr>
      </w:pPr>
      <w:r>
        <w:rPr>
          <w:rFonts w:hint="eastAsia" w:ascii="宋体" w:hAnsi="宋体" w:cs="宋体"/>
          <w:bCs/>
          <w:sz w:val="24"/>
          <w:szCs w:val="24"/>
        </w:rPr>
        <w:t xml:space="preserve">法定代表人（负责人）或被授权人（签字或盖章）： </w:t>
      </w:r>
    </w:p>
    <w:p w14:paraId="5A5A0EE9">
      <w:pPr>
        <w:spacing w:line="360" w:lineRule="exact"/>
        <w:jc w:val="left"/>
        <w:rPr>
          <w:rFonts w:ascii="宋体" w:hAnsi="宋体" w:cs="宋体"/>
          <w:bCs/>
          <w:sz w:val="24"/>
          <w:szCs w:val="24"/>
        </w:rPr>
      </w:pPr>
      <w:r>
        <w:rPr>
          <w:rFonts w:hint="eastAsia" w:ascii="宋体" w:hAnsi="宋体" w:cs="宋体"/>
          <w:bCs/>
          <w:sz w:val="24"/>
          <w:szCs w:val="24"/>
        </w:rPr>
        <w:t xml:space="preserve">投标人（盖章）： </w:t>
      </w:r>
    </w:p>
    <w:p w14:paraId="09693C56">
      <w:pPr>
        <w:spacing w:line="360" w:lineRule="exact"/>
        <w:jc w:val="left"/>
        <w:rPr>
          <w:rFonts w:ascii="宋体" w:hAnsi="宋体" w:cs="宋体"/>
          <w:b/>
          <w:bCs/>
          <w:sz w:val="24"/>
          <w:szCs w:val="24"/>
        </w:rPr>
      </w:pPr>
      <w:r>
        <w:rPr>
          <w:rFonts w:hint="eastAsia" w:ascii="宋体" w:hAnsi="宋体" w:cs="宋体"/>
          <w:bCs/>
          <w:sz w:val="24"/>
          <w:szCs w:val="24"/>
        </w:rPr>
        <w:t>日期：</w:t>
      </w:r>
      <w:r>
        <w:rPr>
          <w:rFonts w:hint="eastAsia" w:ascii="宋体" w:hAnsi="宋体" w:cs="宋体"/>
          <w:bCs/>
          <w:spacing w:val="-8"/>
          <w:sz w:val="24"/>
          <w:szCs w:val="24"/>
        </w:rPr>
        <w:t>年月日</w:t>
      </w:r>
    </w:p>
    <w:p w14:paraId="228F2585">
      <w:pPr>
        <w:spacing w:line="360" w:lineRule="exact"/>
        <w:jc w:val="center"/>
        <w:rPr>
          <w:rFonts w:hint="eastAsia" w:ascii="宋体" w:hAnsi="宋体" w:cs="宋体"/>
          <w:b/>
          <w:bCs/>
          <w:sz w:val="24"/>
          <w:szCs w:val="24"/>
        </w:rPr>
      </w:pPr>
    </w:p>
    <w:p w14:paraId="2BB986F4">
      <w:pPr>
        <w:spacing w:line="360" w:lineRule="exact"/>
        <w:jc w:val="center"/>
        <w:rPr>
          <w:rFonts w:ascii="宋体" w:hAnsi="宋体" w:cs="宋体"/>
          <w:b/>
          <w:bCs/>
          <w:sz w:val="32"/>
          <w:szCs w:val="24"/>
        </w:rPr>
      </w:pPr>
      <w:r>
        <w:rPr>
          <w:rFonts w:hint="eastAsia" w:ascii="宋体" w:hAnsi="宋体" w:cs="宋体"/>
          <w:b/>
          <w:bCs/>
          <w:sz w:val="32"/>
          <w:szCs w:val="24"/>
        </w:rPr>
        <w:t>环境标志产品明细表</w:t>
      </w:r>
    </w:p>
    <w:p w14:paraId="02FB4258">
      <w:pPr>
        <w:spacing w:line="360" w:lineRule="exact"/>
        <w:jc w:val="left"/>
        <w:rPr>
          <w:rFonts w:ascii="宋体" w:hAnsi="宋体" w:cs="宋体"/>
          <w:bCs/>
          <w:sz w:val="24"/>
          <w:szCs w:val="24"/>
        </w:rPr>
      </w:pPr>
    </w:p>
    <w:tbl>
      <w:tblPr>
        <w:tblStyle w:val="26"/>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709"/>
        <w:gridCol w:w="992"/>
        <w:gridCol w:w="1843"/>
        <w:gridCol w:w="1680"/>
        <w:gridCol w:w="855"/>
        <w:gridCol w:w="1065"/>
        <w:gridCol w:w="870"/>
      </w:tblGrid>
      <w:tr w14:paraId="1141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67DE5AD">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4D2B0D3">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48EC7A">
            <w:pPr>
              <w:spacing w:line="360" w:lineRule="exact"/>
              <w:jc w:val="center"/>
              <w:rPr>
                <w:rFonts w:ascii="宋体" w:hAnsi="宋体" w:cs="宋体"/>
                <w:bCs/>
                <w:sz w:val="24"/>
                <w:szCs w:val="24"/>
              </w:rPr>
            </w:pPr>
            <w:r>
              <w:rPr>
                <w:rFonts w:hint="eastAsia" w:ascii="宋体" w:hAnsi="宋体" w:cs="宋体"/>
                <w:bCs/>
                <w:sz w:val="24"/>
                <w:szCs w:val="24"/>
              </w:rPr>
              <w:t>品牌</w:t>
            </w:r>
          </w:p>
          <w:p w14:paraId="0C33F969">
            <w:pPr>
              <w:spacing w:line="360" w:lineRule="exact"/>
              <w:jc w:val="center"/>
              <w:rPr>
                <w:rFonts w:ascii="宋体" w:hAnsi="宋体" w:cs="宋体"/>
                <w:bCs/>
                <w:sz w:val="24"/>
                <w:szCs w:val="24"/>
              </w:rPr>
            </w:pPr>
            <w:r>
              <w:rPr>
                <w:rFonts w:hint="eastAsia" w:ascii="宋体" w:hAnsi="宋体" w:cs="宋体"/>
                <w:bCs/>
                <w:sz w:val="24"/>
                <w:szCs w:val="24"/>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17CF801">
            <w:pPr>
              <w:spacing w:line="360" w:lineRule="exact"/>
              <w:jc w:val="center"/>
              <w:rPr>
                <w:rFonts w:ascii="宋体" w:hAnsi="宋体" w:cs="宋体"/>
                <w:bCs/>
                <w:sz w:val="24"/>
                <w:szCs w:val="24"/>
              </w:rPr>
            </w:pPr>
            <w:r>
              <w:rPr>
                <w:rFonts w:hint="eastAsia" w:ascii="宋体" w:hAnsi="宋体" w:cs="宋体"/>
                <w:bCs/>
                <w:sz w:val="24"/>
                <w:szCs w:val="24"/>
              </w:rPr>
              <w:t>制造商</w:t>
            </w:r>
          </w:p>
          <w:p w14:paraId="5656E0E2">
            <w:pPr>
              <w:spacing w:line="360" w:lineRule="exact"/>
              <w:jc w:val="center"/>
              <w:rPr>
                <w:rFonts w:ascii="宋体" w:hAnsi="宋体" w:cs="宋体"/>
                <w:bCs/>
                <w:sz w:val="24"/>
                <w:szCs w:val="24"/>
              </w:rPr>
            </w:pPr>
            <w:r>
              <w:rPr>
                <w:rFonts w:hint="eastAsia" w:ascii="宋体" w:hAnsi="宋体" w:cs="宋体"/>
                <w:bCs/>
                <w:sz w:val="24"/>
                <w:szCs w:val="24"/>
              </w:rPr>
              <w:t>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6E43BD">
            <w:pPr>
              <w:spacing w:line="360" w:lineRule="exact"/>
              <w:jc w:val="center"/>
              <w:rPr>
                <w:rFonts w:ascii="宋体" w:hAnsi="宋体" w:cs="宋体"/>
                <w:bCs/>
                <w:sz w:val="24"/>
                <w:szCs w:val="24"/>
              </w:rPr>
            </w:pPr>
            <w:r>
              <w:rPr>
                <w:rFonts w:hint="eastAsia" w:ascii="宋体" w:hAnsi="宋体" w:cs="宋体"/>
                <w:bCs/>
                <w:sz w:val="24"/>
                <w:szCs w:val="24"/>
              </w:rPr>
              <w:t>中国环境标志认证证书编号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A65A36C">
            <w:pPr>
              <w:spacing w:line="360" w:lineRule="exact"/>
              <w:jc w:val="center"/>
              <w:rPr>
                <w:rFonts w:ascii="宋体" w:hAnsi="宋体" w:cs="宋体"/>
                <w:bCs/>
                <w:sz w:val="24"/>
                <w:szCs w:val="24"/>
              </w:rPr>
            </w:pPr>
            <w:r>
              <w:rPr>
                <w:rFonts w:hint="eastAsia" w:ascii="宋体" w:hAnsi="宋体" w:cs="宋体"/>
                <w:bCs/>
                <w:sz w:val="24"/>
                <w:szCs w:val="24"/>
              </w:rPr>
              <w:t>认证证书有效截止日期</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0EEECBB">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EF7DA09">
            <w:pPr>
              <w:spacing w:line="360" w:lineRule="exact"/>
              <w:jc w:val="center"/>
              <w:rPr>
                <w:rFonts w:ascii="宋体" w:hAnsi="宋体" w:cs="宋体"/>
                <w:bCs/>
                <w:sz w:val="24"/>
                <w:szCs w:val="24"/>
              </w:rPr>
            </w:pPr>
            <w:r>
              <w:rPr>
                <w:rFonts w:hint="eastAsia" w:ascii="宋体" w:hAnsi="宋体" w:cs="宋体"/>
                <w:bCs/>
                <w:sz w:val="24"/>
                <w:szCs w:val="24"/>
              </w:rPr>
              <w:t>单价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646F3A3">
            <w:pPr>
              <w:spacing w:line="360" w:lineRule="exact"/>
              <w:jc w:val="center"/>
              <w:rPr>
                <w:rFonts w:ascii="宋体" w:hAnsi="宋体" w:cs="宋体"/>
                <w:bCs/>
                <w:sz w:val="24"/>
                <w:szCs w:val="24"/>
              </w:rPr>
            </w:pPr>
            <w:r>
              <w:rPr>
                <w:rFonts w:hint="eastAsia" w:ascii="宋体" w:hAnsi="宋体" w:cs="宋体"/>
                <w:bCs/>
                <w:sz w:val="24"/>
                <w:szCs w:val="24"/>
              </w:rPr>
              <w:t>总价</w:t>
            </w:r>
          </w:p>
        </w:tc>
      </w:tr>
      <w:tr w14:paraId="4741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20167D2C">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74BB7D61">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2D3BE3FB">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6D97704">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4B3E584">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12D101ED">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2A10D3AB">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414E697">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61365F8">
            <w:pPr>
              <w:spacing w:line="360" w:lineRule="exact"/>
              <w:jc w:val="left"/>
              <w:rPr>
                <w:rFonts w:ascii="宋体" w:hAnsi="宋体" w:cs="宋体"/>
                <w:bCs/>
                <w:sz w:val="24"/>
                <w:szCs w:val="24"/>
              </w:rPr>
            </w:pPr>
          </w:p>
        </w:tc>
      </w:tr>
      <w:tr w14:paraId="4658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449C9ADC">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6DC539CE">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D935711">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7CB33B9">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FDF780C">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1395C3B6">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2072AF7D">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8862251">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95D68F1">
            <w:pPr>
              <w:spacing w:line="360" w:lineRule="exact"/>
              <w:jc w:val="left"/>
              <w:rPr>
                <w:rFonts w:ascii="宋体" w:hAnsi="宋体" w:cs="宋体"/>
                <w:bCs/>
                <w:sz w:val="24"/>
                <w:szCs w:val="24"/>
              </w:rPr>
            </w:pPr>
          </w:p>
        </w:tc>
      </w:tr>
      <w:tr w14:paraId="6AEF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4FCC3796">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C6CD50B">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2EFC2B5">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9869805">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6A4E65A">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027292FD">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5AD4EF43">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CBD292C">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FE634E6">
            <w:pPr>
              <w:spacing w:line="360" w:lineRule="exact"/>
              <w:jc w:val="left"/>
              <w:rPr>
                <w:rFonts w:ascii="宋体" w:hAnsi="宋体" w:cs="宋体"/>
                <w:bCs/>
                <w:sz w:val="24"/>
                <w:szCs w:val="24"/>
              </w:rPr>
            </w:pPr>
          </w:p>
        </w:tc>
      </w:tr>
    </w:tbl>
    <w:p w14:paraId="3788DB01">
      <w:pPr>
        <w:spacing w:line="360" w:lineRule="exact"/>
        <w:jc w:val="left"/>
        <w:rPr>
          <w:rFonts w:ascii="宋体" w:hAnsi="宋体" w:cs="宋体"/>
          <w:bCs/>
          <w:sz w:val="24"/>
          <w:szCs w:val="24"/>
        </w:rPr>
      </w:pPr>
      <w:r>
        <w:rPr>
          <w:rFonts w:hint="eastAsia" w:ascii="宋体" w:hAnsi="宋体" w:cs="宋体"/>
          <w:bCs/>
          <w:sz w:val="24"/>
          <w:szCs w:val="24"/>
        </w:rPr>
        <w:t xml:space="preserve">法定代表人（负责人）或被授权人（签字或盖章）： </w:t>
      </w:r>
    </w:p>
    <w:p w14:paraId="788E0774">
      <w:pPr>
        <w:spacing w:line="360" w:lineRule="exact"/>
        <w:jc w:val="left"/>
        <w:rPr>
          <w:rFonts w:ascii="宋体" w:hAnsi="宋体" w:cs="宋体"/>
          <w:bCs/>
          <w:sz w:val="24"/>
          <w:szCs w:val="24"/>
        </w:rPr>
      </w:pPr>
      <w:r>
        <w:rPr>
          <w:rFonts w:hint="eastAsia" w:ascii="宋体" w:hAnsi="宋体" w:cs="宋体"/>
          <w:bCs/>
          <w:sz w:val="24"/>
          <w:szCs w:val="24"/>
        </w:rPr>
        <w:t xml:space="preserve">投标人（盖章）： </w:t>
      </w:r>
    </w:p>
    <w:p w14:paraId="0160418F">
      <w:pPr>
        <w:spacing w:line="360" w:lineRule="exact"/>
        <w:jc w:val="left"/>
        <w:rPr>
          <w:rFonts w:ascii="宋体" w:hAnsi="宋体" w:cs="宋体"/>
          <w:b/>
          <w:bCs/>
          <w:sz w:val="24"/>
          <w:szCs w:val="24"/>
        </w:rPr>
      </w:pPr>
      <w:r>
        <w:rPr>
          <w:rFonts w:hint="eastAsia" w:ascii="宋体" w:hAnsi="宋体" w:cs="宋体"/>
          <w:bCs/>
          <w:sz w:val="24"/>
          <w:szCs w:val="24"/>
        </w:rPr>
        <w:t>日期：</w:t>
      </w:r>
      <w:r>
        <w:rPr>
          <w:rFonts w:hint="eastAsia" w:ascii="宋体" w:hAnsi="宋体" w:cs="宋体"/>
          <w:bCs/>
          <w:spacing w:val="-8"/>
          <w:sz w:val="24"/>
          <w:szCs w:val="24"/>
        </w:rPr>
        <w:t>年月日</w:t>
      </w:r>
    </w:p>
    <w:p w14:paraId="7FC53994">
      <w:pPr>
        <w:spacing w:line="360" w:lineRule="exact"/>
        <w:jc w:val="left"/>
        <w:rPr>
          <w:rFonts w:ascii="宋体" w:hAnsi="宋体" w:cs="宋体"/>
          <w:bCs/>
          <w:sz w:val="24"/>
          <w:szCs w:val="24"/>
        </w:rPr>
      </w:pPr>
    </w:p>
    <w:p w14:paraId="6E3F6F4C">
      <w:pPr>
        <w:spacing w:line="360" w:lineRule="exact"/>
        <w:rPr>
          <w:rFonts w:ascii="宋体" w:hAnsi="宋体" w:cs="宋体"/>
          <w:bCs/>
          <w:sz w:val="24"/>
          <w:szCs w:val="24"/>
        </w:rPr>
      </w:pPr>
      <w:r>
        <w:rPr>
          <w:rFonts w:hint="eastAsia" w:ascii="宋体" w:hAnsi="宋体" w:cs="宋体"/>
          <w:bCs/>
          <w:sz w:val="24"/>
          <w:szCs w:val="24"/>
        </w:rPr>
        <w:t xml:space="preserve">填报要求： </w:t>
      </w:r>
    </w:p>
    <w:p w14:paraId="6C6E553A">
      <w:pPr>
        <w:spacing w:line="360" w:lineRule="exact"/>
        <w:rPr>
          <w:rFonts w:ascii="宋体" w:hAnsi="宋体" w:cs="宋体"/>
          <w:bCs/>
          <w:sz w:val="24"/>
          <w:szCs w:val="24"/>
        </w:rPr>
      </w:pPr>
      <w:r>
        <w:rPr>
          <w:rFonts w:hint="eastAsia" w:ascii="宋体" w:hAnsi="宋体" w:cs="宋体"/>
          <w:bCs/>
          <w:sz w:val="24"/>
          <w:szCs w:val="24"/>
        </w:rPr>
        <w:t xml:space="preserve">1. 本表的设备名称、品牌型号、金额应与货物分项报价一览表一致。 </w:t>
      </w:r>
    </w:p>
    <w:p w14:paraId="438B15A0">
      <w:pPr>
        <w:spacing w:line="360" w:lineRule="exact"/>
        <w:rPr>
          <w:rFonts w:ascii="宋体" w:hAnsi="宋体" w:cs="宋体"/>
          <w:bCs/>
          <w:sz w:val="24"/>
          <w:szCs w:val="24"/>
        </w:rPr>
      </w:pPr>
      <w:r>
        <w:rPr>
          <w:rFonts w:hint="eastAsia" w:ascii="宋体" w:hAnsi="宋体" w:cs="宋体"/>
          <w:bCs/>
          <w:sz w:val="24"/>
          <w:szCs w:val="24"/>
        </w:rPr>
        <w:t xml:space="preserve">2. 节能产品是指财政部和国家发展和改革委员会公布的《节能产品政府采购品目清单》中的产品。投标人须在投标文件中附该产品节能证书，否则评标委员会有权不予认可。 </w:t>
      </w:r>
    </w:p>
    <w:p w14:paraId="7F15E449">
      <w:pPr>
        <w:spacing w:line="360" w:lineRule="exact"/>
        <w:rPr>
          <w:rFonts w:ascii="宋体" w:hAnsi="宋体" w:cs="宋体"/>
          <w:bCs/>
          <w:sz w:val="24"/>
          <w:szCs w:val="24"/>
        </w:rPr>
      </w:pPr>
      <w:r>
        <w:rPr>
          <w:rFonts w:hint="eastAsia" w:ascii="宋体" w:hAnsi="宋体" w:cs="宋体"/>
          <w:bCs/>
          <w:sz w:val="24"/>
          <w:szCs w:val="24"/>
        </w:rPr>
        <w:t xml:space="preserve">3. 环境标志产品是指财政部、生态环境部发布的《环境标志产品政府采购品目清单》中的产品。投标人须在投标文件中附该产品环保证书，否则评委委员会有权不予认可。 </w:t>
      </w:r>
    </w:p>
    <w:p w14:paraId="3875983B">
      <w:pPr>
        <w:spacing w:line="360" w:lineRule="exact"/>
        <w:rPr>
          <w:rFonts w:ascii="宋体" w:hAnsi="宋体" w:cs="宋体"/>
          <w:bCs/>
          <w:sz w:val="24"/>
          <w:szCs w:val="24"/>
        </w:rPr>
      </w:pPr>
      <w:r>
        <w:rPr>
          <w:rFonts w:hint="eastAsia" w:ascii="宋体" w:hAnsi="宋体" w:cs="宋体"/>
          <w:bCs/>
          <w:sz w:val="24"/>
          <w:szCs w:val="24"/>
        </w:rPr>
        <w:t xml:space="preserve">4. 请投标人正确填写本表，所填内容将作为评审的依据。其内容或数据应与对应的证明资料相符。 </w:t>
      </w:r>
    </w:p>
    <w:p w14:paraId="15E4FE9C">
      <w:pPr>
        <w:spacing w:line="360" w:lineRule="exact"/>
        <w:rPr>
          <w:rFonts w:ascii="宋体" w:hAnsi="宋体" w:cs="宋体"/>
          <w:bCs/>
          <w:spacing w:val="-3"/>
          <w:sz w:val="36"/>
          <w:szCs w:val="36"/>
        </w:rPr>
      </w:pPr>
      <w:r>
        <w:rPr>
          <w:rFonts w:hint="eastAsia" w:ascii="宋体" w:hAnsi="宋体" w:cs="宋体"/>
          <w:bCs/>
          <w:sz w:val="24"/>
          <w:szCs w:val="24"/>
        </w:rPr>
        <w:t>5. 没有相关产品可不提供本表。</w:t>
      </w:r>
    </w:p>
    <w:p w14:paraId="3DF833CB">
      <w:pPr>
        <w:spacing w:line="360" w:lineRule="exact"/>
        <w:jc w:val="left"/>
        <w:rPr>
          <w:rFonts w:ascii="宋体" w:hAnsi="宋体" w:cs="宋体"/>
          <w:bCs/>
          <w:sz w:val="24"/>
          <w:szCs w:val="24"/>
        </w:rPr>
      </w:pPr>
      <w:r>
        <w:rPr>
          <w:rFonts w:hint="eastAsia" w:ascii="宋体" w:hAnsi="宋体" w:cs="宋体"/>
          <w:bCs/>
          <w:sz w:val="24"/>
          <w:szCs w:val="24"/>
        </w:rPr>
        <w:br w:type="page"/>
      </w:r>
      <w:r>
        <w:rPr>
          <w:rFonts w:hint="eastAsia" w:ascii="宋体" w:hAnsi="宋体" w:eastAsia="宋体" w:cs="宋体"/>
          <w:b/>
          <w:bCs/>
          <w:sz w:val="24"/>
          <w:szCs w:val="24"/>
          <w:lang w:val="en-US" w:eastAsia="zh-CN"/>
        </w:rPr>
        <w:t>7</w:t>
      </w:r>
      <w:r>
        <w:rPr>
          <w:rFonts w:hint="eastAsia" w:ascii="宋体" w:hAnsi="宋体" w:cs="宋体"/>
          <w:b/>
          <w:bCs/>
          <w:sz w:val="24"/>
          <w:szCs w:val="24"/>
        </w:rPr>
        <w:t>.中小企业、监狱企业或残疾人福利性单位声明函</w:t>
      </w:r>
      <w:r>
        <w:rPr>
          <w:rFonts w:hint="eastAsia" w:ascii="宋体" w:hAnsi="宋体" w:cs="宋体"/>
          <w:bCs/>
          <w:sz w:val="24"/>
          <w:szCs w:val="24"/>
        </w:rPr>
        <w:t>（对于专门面向中小企业采购的项目必须提供，不专门面向的项目可选择提供）</w:t>
      </w:r>
    </w:p>
    <w:p w14:paraId="332B713A">
      <w:pPr>
        <w:spacing w:line="500" w:lineRule="exact"/>
        <w:ind w:firstLine="428" w:firstLineChars="200"/>
        <w:jc w:val="center"/>
        <w:rPr>
          <w:rFonts w:ascii="宋体" w:hAnsi="宋体" w:cs="宋体"/>
          <w:bCs/>
          <w:spacing w:val="-13"/>
          <w:sz w:val="24"/>
          <w:szCs w:val="24"/>
        </w:rPr>
      </w:pPr>
    </w:p>
    <w:p w14:paraId="6A1CD300">
      <w:pPr>
        <w:spacing w:line="500" w:lineRule="exact"/>
        <w:ind w:firstLine="588" w:firstLineChars="200"/>
        <w:jc w:val="center"/>
        <w:rPr>
          <w:rFonts w:ascii="宋体" w:hAnsi="宋体" w:cs="宋体"/>
          <w:b/>
          <w:bCs/>
          <w:spacing w:val="-13"/>
          <w:sz w:val="32"/>
          <w:szCs w:val="24"/>
        </w:rPr>
      </w:pPr>
      <w:r>
        <w:rPr>
          <w:rFonts w:hint="eastAsia" w:ascii="宋体" w:hAnsi="宋体" w:cs="宋体"/>
          <w:b/>
          <w:bCs/>
          <w:spacing w:val="-13"/>
          <w:sz w:val="32"/>
          <w:szCs w:val="24"/>
        </w:rPr>
        <w:t>中小企业声明函（货物）</w:t>
      </w:r>
      <w:r>
        <w:rPr>
          <w:rFonts w:hint="eastAsia" w:ascii="宋体" w:hAnsi="宋体" w:eastAsia="宋体" w:cs="宋体"/>
          <w:b/>
          <w:bCs/>
          <w:spacing w:val="-13"/>
          <w:sz w:val="32"/>
          <w:szCs w:val="24"/>
          <w:lang w:val="en-US" w:eastAsia="zh-CN"/>
        </w:rPr>
        <w:t xml:space="preserve">  </w:t>
      </w:r>
      <w:r>
        <w:rPr>
          <w:rFonts w:hint="eastAsia" w:ascii="宋体" w:hAnsi="宋体" w:cs="宋体"/>
          <w:b/>
          <w:bCs/>
          <w:spacing w:val="-13"/>
          <w:sz w:val="32"/>
          <w:szCs w:val="24"/>
        </w:rPr>
        <w:t>格式</w:t>
      </w:r>
    </w:p>
    <w:p w14:paraId="6AA6466B">
      <w:pPr>
        <w:spacing w:line="360" w:lineRule="exact"/>
        <w:jc w:val="left"/>
        <w:rPr>
          <w:rFonts w:ascii="宋体" w:hAnsi="宋体" w:cs="宋体"/>
          <w:bCs/>
          <w:sz w:val="24"/>
          <w:szCs w:val="24"/>
        </w:rPr>
      </w:pPr>
    </w:p>
    <w:p w14:paraId="2C1116DB">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本公司（联合体）郑重声明，根据《政府采购促进中小企业发展管理办法》（财库﹝</w:t>
      </w:r>
      <w:r>
        <w:rPr>
          <w:rFonts w:hint="eastAsia" w:ascii="宋体" w:hAnsi="宋体" w:eastAsia="Arial" w:cs="宋体"/>
          <w:snapToGrid w:val="0"/>
          <w:color w:val="000000"/>
          <w:kern w:val="0"/>
          <w:sz w:val="24"/>
          <w:szCs w:val="24"/>
        </w:rPr>
        <w:t>2020</w:t>
      </w:r>
      <w:r>
        <w:rPr>
          <w:rFonts w:hint="eastAsia" w:ascii="宋体" w:hAnsi="宋体" w:cs="宋体"/>
          <w:snapToGrid w:val="0"/>
          <w:color w:val="000000"/>
          <w:kern w:val="0"/>
          <w:sz w:val="24"/>
          <w:szCs w:val="24"/>
        </w:rPr>
        <w:t>﹞</w:t>
      </w:r>
      <w:r>
        <w:rPr>
          <w:rFonts w:hint="eastAsia" w:ascii="宋体" w:hAnsi="宋体" w:eastAsia="Arial" w:cs="宋体"/>
          <w:snapToGrid w:val="0"/>
          <w:color w:val="000000"/>
          <w:kern w:val="0"/>
          <w:sz w:val="24"/>
          <w:szCs w:val="24"/>
        </w:rPr>
        <w:t xml:space="preserve">46 </w:t>
      </w:r>
      <w:r>
        <w:rPr>
          <w:rFonts w:hint="eastAsia" w:ascii="宋体" w:hAnsi="宋体" w:cs="宋体"/>
          <w:snapToGrid w:val="0"/>
          <w:color w:val="000000"/>
          <w:kern w:val="0"/>
          <w:sz w:val="24"/>
          <w:szCs w:val="24"/>
        </w:rPr>
        <w:t>号）的规定，本公司（联合体）参加</w:t>
      </w:r>
      <w:r>
        <w:rPr>
          <w:rFonts w:hint="eastAsia" w:ascii="宋体" w:hAnsi="宋体" w:cs="宋体"/>
          <w:snapToGrid w:val="0"/>
          <w:color w:val="000000"/>
          <w:kern w:val="0"/>
          <w:sz w:val="24"/>
          <w:szCs w:val="24"/>
          <w:u w:val="single"/>
        </w:rPr>
        <w:t>（单位名称）</w:t>
      </w:r>
      <w:r>
        <w:rPr>
          <w:rFonts w:hint="eastAsia" w:ascii="宋体" w:hAnsi="宋体" w:cs="宋体"/>
          <w:snapToGrid w:val="0"/>
          <w:color w:val="000000"/>
          <w:kern w:val="0"/>
          <w:sz w:val="24"/>
          <w:szCs w:val="24"/>
        </w:rPr>
        <w:t>的</w:t>
      </w:r>
      <w:r>
        <w:rPr>
          <w:rFonts w:hint="eastAsia" w:ascii="宋体" w:hAnsi="宋体" w:cs="宋体"/>
          <w:snapToGrid w:val="0"/>
          <w:color w:val="000000"/>
          <w:kern w:val="0"/>
          <w:sz w:val="24"/>
          <w:szCs w:val="24"/>
          <w:u w:val="single"/>
        </w:rPr>
        <w:t>（项目名称）</w:t>
      </w:r>
      <w:r>
        <w:rPr>
          <w:rFonts w:hint="eastAsia" w:ascii="宋体" w:hAnsi="宋体" w:cs="宋体"/>
          <w:snapToGrid w:val="0"/>
          <w:color w:val="000000"/>
          <w:kern w:val="0"/>
          <w:sz w:val="24"/>
          <w:szCs w:val="24"/>
        </w:rPr>
        <w:t>采购活动，提供的货物全部由符合政策要求的中小企业制造。相关企业（含联合体中的中小企业，签订分包意向协议的中小企业）的具体情况如下：</w:t>
      </w:r>
    </w:p>
    <w:p w14:paraId="77626210">
      <w:pPr>
        <w:widowControl/>
        <w:numPr>
          <w:ilvl w:val="0"/>
          <w:numId w:val="2"/>
        </w:numPr>
        <w:kinsoku w:val="0"/>
        <w:topLinePunct/>
        <w:autoSpaceDE w:val="0"/>
        <w:autoSpaceDN w:val="0"/>
        <w:adjustRightInd w:val="0"/>
        <w:snapToGrid w:val="0"/>
        <w:spacing w:after="200"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u w:val="single"/>
        </w:rPr>
        <w:t>（标的名称）</w:t>
      </w:r>
      <w:r>
        <w:rPr>
          <w:rFonts w:hint="eastAsia" w:ascii="宋体" w:hAnsi="宋体" w:cs="宋体"/>
          <w:snapToGrid w:val="0"/>
          <w:color w:val="000000"/>
          <w:kern w:val="0"/>
          <w:sz w:val="24"/>
          <w:szCs w:val="24"/>
        </w:rPr>
        <w:t>，属于</w:t>
      </w:r>
      <w:r>
        <w:rPr>
          <w:rFonts w:hint="eastAsia" w:ascii="宋体" w:hAnsi="宋体" w:cs="宋体"/>
          <w:snapToGrid w:val="0"/>
          <w:color w:val="000000"/>
          <w:kern w:val="0"/>
          <w:sz w:val="24"/>
          <w:szCs w:val="24"/>
          <w:u w:val="single"/>
        </w:rPr>
        <w:t>（采购文件中明确的所属行业）行业；</w:t>
      </w:r>
      <w:r>
        <w:rPr>
          <w:rFonts w:hint="eastAsia" w:ascii="宋体" w:hAnsi="宋体" w:cs="宋体"/>
          <w:snapToGrid w:val="0"/>
          <w:color w:val="000000"/>
          <w:kern w:val="0"/>
          <w:sz w:val="24"/>
          <w:szCs w:val="24"/>
        </w:rPr>
        <w:t>制造商为</w:t>
      </w:r>
      <w:r>
        <w:rPr>
          <w:rFonts w:hint="eastAsia" w:ascii="宋体" w:hAnsi="宋体" w:cs="宋体"/>
          <w:snapToGrid w:val="0"/>
          <w:color w:val="000000"/>
          <w:kern w:val="0"/>
          <w:sz w:val="24"/>
          <w:szCs w:val="24"/>
          <w:u w:val="single"/>
        </w:rPr>
        <w:t>（企业名称），</w:t>
      </w:r>
      <w:r>
        <w:rPr>
          <w:rFonts w:hint="eastAsia" w:ascii="宋体" w:hAnsi="宋体" w:cs="宋体"/>
          <w:snapToGrid w:val="0"/>
          <w:color w:val="000000"/>
          <w:kern w:val="0"/>
          <w:sz w:val="24"/>
          <w:szCs w:val="24"/>
        </w:rPr>
        <w:t>从业人员</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人，营业收入为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万元，资产总额为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万元，属于（</w:t>
      </w:r>
      <w:r>
        <w:rPr>
          <w:rFonts w:hint="eastAsia" w:ascii="宋体" w:hAnsi="宋体" w:cs="宋体"/>
          <w:snapToGrid w:val="0"/>
          <w:color w:val="000000"/>
          <w:kern w:val="0"/>
          <w:sz w:val="24"/>
          <w:szCs w:val="24"/>
          <w:u w:val="single"/>
        </w:rPr>
        <w:t>中型企业、小型企业、微型企业</w:t>
      </w:r>
      <w:r>
        <w:rPr>
          <w:rFonts w:hint="eastAsia" w:ascii="宋体" w:hAnsi="宋体" w:cs="宋体"/>
          <w:snapToGrid w:val="0"/>
          <w:color w:val="000000"/>
          <w:kern w:val="0"/>
          <w:sz w:val="24"/>
          <w:szCs w:val="24"/>
        </w:rPr>
        <w:t>）；</w:t>
      </w:r>
    </w:p>
    <w:p w14:paraId="54A3E414">
      <w:pPr>
        <w:widowControl/>
        <w:numPr>
          <w:ilvl w:val="0"/>
          <w:numId w:val="2"/>
        </w:numPr>
        <w:kinsoku w:val="0"/>
        <w:topLinePunct/>
        <w:autoSpaceDE w:val="0"/>
        <w:autoSpaceDN w:val="0"/>
        <w:adjustRightInd w:val="0"/>
        <w:snapToGrid w:val="0"/>
        <w:spacing w:after="200"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u w:val="single"/>
        </w:rPr>
        <w:t>（标的名称）</w:t>
      </w:r>
      <w:r>
        <w:rPr>
          <w:rFonts w:hint="eastAsia" w:ascii="宋体" w:hAnsi="宋体" w:cs="宋体"/>
          <w:snapToGrid w:val="0"/>
          <w:color w:val="000000"/>
          <w:kern w:val="0"/>
          <w:sz w:val="24"/>
          <w:szCs w:val="24"/>
        </w:rPr>
        <w:t>，属于</w:t>
      </w:r>
      <w:r>
        <w:rPr>
          <w:rFonts w:hint="eastAsia" w:ascii="宋体" w:hAnsi="宋体" w:cs="宋体"/>
          <w:snapToGrid w:val="0"/>
          <w:color w:val="000000"/>
          <w:kern w:val="0"/>
          <w:sz w:val="24"/>
          <w:szCs w:val="24"/>
          <w:u w:val="single"/>
        </w:rPr>
        <w:t>（采购文件中明确的所属行业）行业；</w:t>
      </w:r>
      <w:r>
        <w:rPr>
          <w:rFonts w:hint="eastAsia" w:ascii="宋体" w:hAnsi="宋体" w:cs="宋体"/>
          <w:snapToGrid w:val="0"/>
          <w:color w:val="000000"/>
          <w:kern w:val="0"/>
          <w:sz w:val="24"/>
          <w:szCs w:val="24"/>
        </w:rPr>
        <w:t>制造商为</w:t>
      </w:r>
      <w:r>
        <w:rPr>
          <w:rFonts w:hint="eastAsia" w:ascii="宋体" w:hAnsi="宋体" w:cs="宋体"/>
          <w:snapToGrid w:val="0"/>
          <w:color w:val="000000"/>
          <w:kern w:val="0"/>
          <w:sz w:val="24"/>
          <w:szCs w:val="24"/>
          <w:u w:val="single"/>
        </w:rPr>
        <w:t>（企业名称），</w:t>
      </w:r>
      <w:r>
        <w:rPr>
          <w:rFonts w:hint="eastAsia" w:ascii="宋体" w:hAnsi="宋体" w:cs="宋体"/>
          <w:snapToGrid w:val="0"/>
          <w:color w:val="000000"/>
          <w:kern w:val="0"/>
          <w:sz w:val="24"/>
          <w:szCs w:val="24"/>
        </w:rPr>
        <w:t>从业人员</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人，营业收入为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万元，资产总额为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万元，属于（</w:t>
      </w:r>
      <w:r>
        <w:rPr>
          <w:rFonts w:hint="eastAsia" w:ascii="宋体" w:hAnsi="宋体" w:cs="宋体"/>
          <w:snapToGrid w:val="0"/>
          <w:color w:val="000000"/>
          <w:kern w:val="0"/>
          <w:sz w:val="24"/>
          <w:szCs w:val="24"/>
          <w:u w:val="single"/>
        </w:rPr>
        <w:t>中型企业、小型企业、微型企业</w:t>
      </w:r>
      <w:r>
        <w:rPr>
          <w:rFonts w:hint="eastAsia" w:ascii="宋体" w:hAnsi="宋体" w:cs="宋体"/>
          <w:snapToGrid w:val="0"/>
          <w:color w:val="000000"/>
          <w:kern w:val="0"/>
          <w:sz w:val="24"/>
          <w:szCs w:val="24"/>
        </w:rPr>
        <w:t>）；</w:t>
      </w:r>
    </w:p>
    <w:p w14:paraId="7DEE061D">
      <w:pPr>
        <w:widowControl/>
        <w:kinsoku w:val="0"/>
        <w:autoSpaceDE w:val="0"/>
        <w:autoSpaceDN w:val="0"/>
        <w:adjustRightInd w:val="0"/>
        <w:snapToGrid w:val="0"/>
        <w:spacing w:line="400" w:lineRule="exact"/>
        <w:ind w:firstLine="480" w:firstLineChars="200"/>
        <w:jc w:val="left"/>
        <w:textAlignment w:val="baseline"/>
        <w:rPr>
          <w:rFonts w:ascii="Arial" w:hAnsi="Arial" w:eastAsia="Arial" w:cs="Arial"/>
          <w:snapToGrid w:val="0"/>
          <w:color w:val="000000"/>
          <w:kern w:val="0"/>
          <w:sz w:val="24"/>
          <w:szCs w:val="24"/>
        </w:rPr>
      </w:pPr>
      <w:r>
        <w:rPr>
          <w:rFonts w:ascii="宋体" w:hAnsi="宋体" w:eastAsia="Arial" w:cs="宋体"/>
          <w:snapToGrid w:val="0"/>
          <w:color w:val="000000"/>
          <w:kern w:val="0"/>
          <w:sz w:val="24"/>
          <w:szCs w:val="24"/>
        </w:rPr>
        <w:t>……</w:t>
      </w:r>
    </w:p>
    <w:p w14:paraId="716E58EA">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以上企业，不属于大企业的分支机构，不存在控股股东为大企业的情形，也不存在与大企业的负责人为同一人的情形。</w:t>
      </w:r>
    </w:p>
    <w:p w14:paraId="1835E503">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本企业对上述声明内容的真实性负责。如有虚假，将依法承担相应责任。</w:t>
      </w:r>
    </w:p>
    <w:p w14:paraId="37CD385E">
      <w:pPr>
        <w:spacing w:line="500" w:lineRule="exact"/>
        <w:ind w:firstLine="480" w:firstLineChars="200"/>
        <w:rPr>
          <w:rFonts w:ascii="宋体" w:hAnsi="宋体" w:cs="宋体"/>
          <w:bCs/>
          <w:sz w:val="24"/>
          <w:szCs w:val="24"/>
        </w:rPr>
      </w:pPr>
    </w:p>
    <w:p w14:paraId="41A0F272">
      <w:pPr>
        <w:spacing w:line="360" w:lineRule="exact"/>
        <w:rPr>
          <w:rFonts w:ascii="宋体" w:hAnsi="宋体" w:cs="宋体"/>
          <w:bCs/>
          <w:sz w:val="24"/>
          <w:szCs w:val="24"/>
        </w:rPr>
      </w:pPr>
    </w:p>
    <w:p w14:paraId="5C6C116B">
      <w:pPr>
        <w:spacing w:line="500" w:lineRule="exact"/>
        <w:ind w:firstLine="4680" w:firstLineChars="1950"/>
        <w:rPr>
          <w:rFonts w:ascii="宋体" w:hAnsi="宋体" w:cs="宋体"/>
          <w:bCs/>
          <w:sz w:val="24"/>
          <w:szCs w:val="24"/>
        </w:rPr>
      </w:pPr>
      <w:r>
        <w:rPr>
          <w:rFonts w:hint="eastAsia" w:ascii="宋体" w:hAnsi="宋体" w:cs="宋体"/>
          <w:bCs/>
          <w:sz w:val="24"/>
          <w:szCs w:val="24"/>
        </w:rPr>
        <w:t>企业名称（盖章）：</w:t>
      </w:r>
    </w:p>
    <w:p w14:paraId="7DF93EB9">
      <w:pPr>
        <w:spacing w:line="360" w:lineRule="exact"/>
        <w:ind w:firstLine="4680" w:firstLineChars="1950"/>
        <w:rPr>
          <w:rFonts w:ascii="宋体" w:hAnsi="宋体" w:cs="宋体"/>
          <w:bCs/>
          <w:sz w:val="24"/>
          <w:szCs w:val="24"/>
        </w:rPr>
      </w:pPr>
      <w:r>
        <w:rPr>
          <w:rFonts w:hint="eastAsia" w:ascii="宋体" w:hAnsi="宋体" w:cs="宋体"/>
          <w:bCs/>
          <w:sz w:val="24"/>
          <w:szCs w:val="24"/>
        </w:rPr>
        <w:t>日期：</w:t>
      </w:r>
      <w:r>
        <w:rPr>
          <w:rFonts w:hint="eastAsia" w:ascii="宋体" w:hAnsi="宋体" w:cs="宋体"/>
          <w:bCs/>
          <w:snapToGrid w:val="0"/>
          <w:color w:val="000000"/>
          <w:kern w:val="0"/>
          <w:sz w:val="24"/>
          <w:szCs w:val="24"/>
        </w:rPr>
        <w:t>年月日</w:t>
      </w:r>
    </w:p>
    <w:p w14:paraId="4FEDCAF7">
      <w:pPr>
        <w:spacing w:line="500" w:lineRule="exact"/>
        <w:ind w:firstLine="428" w:firstLineChars="200"/>
        <w:jc w:val="left"/>
        <w:rPr>
          <w:rFonts w:ascii="宋体" w:hAnsi="宋体" w:cs="宋体"/>
          <w:bCs/>
          <w:spacing w:val="-13"/>
          <w:sz w:val="24"/>
          <w:szCs w:val="24"/>
        </w:rPr>
      </w:pPr>
    </w:p>
    <w:p w14:paraId="2AF38107">
      <w:pPr>
        <w:spacing w:line="360" w:lineRule="exact"/>
        <w:jc w:val="left"/>
        <w:rPr>
          <w:rFonts w:ascii="宋体" w:hAnsi="宋体" w:cs="宋体"/>
          <w:bCs/>
          <w:sz w:val="24"/>
          <w:szCs w:val="24"/>
        </w:rPr>
      </w:pPr>
    </w:p>
    <w:p w14:paraId="5F23ACB5">
      <w:pPr>
        <w:spacing w:line="500" w:lineRule="exact"/>
        <w:ind w:firstLine="480" w:firstLineChars="200"/>
        <w:rPr>
          <w:rFonts w:ascii="宋体" w:hAnsi="宋体" w:cs="宋体"/>
          <w:bCs/>
          <w:sz w:val="24"/>
          <w:szCs w:val="24"/>
        </w:rPr>
      </w:pPr>
      <w:r>
        <w:rPr>
          <w:rFonts w:hint="eastAsia" w:ascii="宋体" w:hAnsi="宋体" w:cs="宋体"/>
          <w:bCs/>
          <w:sz w:val="24"/>
          <w:szCs w:val="24"/>
        </w:rPr>
        <w:t>备注：从业人员、营业收入、资产总额填报上一年度数据，无上一年度数据的新成立企业可不填报。</w:t>
      </w:r>
    </w:p>
    <w:p w14:paraId="5CE11103">
      <w:pPr>
        <w:rPr>
          <w:rFonts w:ascii="宋体" w:hAnsi="宋体" w:cs="宋体"/>
          <w:b/>
          <w:bCs/>
          <w:spacing w:val="9"/>
          <w:sz w:val="24"/>
          <w:szCs w:val="24"/>
        </w:rPr>
        <w:sectPr>
          <w:pgSz w:w="11907" w:h="16840"/>
          <w:pgMar w:top="1440" w:right="1800" w:bottom="1440" w:left="1800" w:header="878" w:footer="886" w:gutter="0"/>
          <w:pgNumType w:fmt="decimal"/>
          <w:cols w:space="720" w:num="1"/>
        </w:sectPr>
      </w:pPr>
    </w:p>
    <w:p w14:paraId="1E15CDC4">
      <w:pPr>
        <w:spacing w:line="360" w:lineRule="auto"/>
        <w:jc w:val="left"/>
        <w:rPr>
          <w:rFonts w:hint="eastAsia" w:ascii="Times New Roman" w:hAnsi="Times New Roman"/>
          <w:sz w:val="28"/>
          <w:szCs w:val="28"/>
        </w:rPr>
      </w:pPr>
    </w:p>
    <w:p w14:paraId="3D07BAB7">
      <w:pPr>
        <w:spacing w:after="120" w:line="360" w:lineRule="auto"/>
        <w:jc w:val="center"/>
        <w:rPr>
          <w:rFonts w:ascii="宋体" w:hAnsi="宋体" w:cs="宋体"/>
          <w:b/>
          <w:sz w:val="20"/>
          <w:szCs w:val="24"/>
        </w:rPr>
      </w:pPr>
      <w:r>
        <w:rPr>
          <w:rFonts w:hint="eastAsia" w:ascii="宋体" w:hAnsi="宋体" w:cs="宋体"/>
          <w:b/>
          <w:sz w:val="32"/>
          <w:szCs w:val="36"/>
        </w:rPr>
        <w:t>残疾人福利性单位声明函  格式</w:t>
      </w:r>
    </w:p>
    <w:p w14:paraId="4E176C3D">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本单位郑重声明，根据《财政部民政部中国残疾人联合会关于促进残疾人就业政府采购政策的通知》（财库〔2017〕 141号）的规定，本单位（请进行选择）：</w:t>
      </w:r>
    </w:p>
    <w:p w14:paraId="241CD0C0">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□不属于符合条件的残疾人福利性单位。</w:t>
      </w:r>
    </w:p>
    <w:p w14:paraId="7CF7ADAF">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69F8ABC">
      <w:pPr>
        <w:spacing w:after="120" w:line="360" w:lineRule="auto"/>
        <w:ind w:firstLine="520" w:firstLineChars="200"/>
        <w:rPr>
          <w:rFonts w:ascii="宋体" w:hAnsi="宋体" w:cs="宋体"/>
          <w:sz w:val="24"/>
          <w:szCs w:val="28"/>
        </w:rPr>
      </w:pPr>
      <w:r>
        <w:rPr>
          <w:rFonts w:hint="eastAsia" w:ascii="宋体" w:hAnsi="宋体" w:cs="宋体"/>
          <w:spacing w:val="10"/>
          <w:sz w:val="24"/>
          <w:szCs w:val="28"/>
        </w:rPr>
        <w:t>本单位对上述声明的真实性负责。如有虚假，将依法承担相应责任。</w:t>
      </w:r>
    </w:p>
    <w:p w14:paraId="4BD25627">
      <w:pPr>
        <w:spacing w:line="360" w:lineRule="auto"/>
        <w:rPr>
          <w:rFonts w:ascii="宋体" w:hAnsi="宋体" w:cs="宋体"/>
          <w:sz w:val="24"/>
          <w:szCs w:val="28"/>
        </w:rPr>
      </w:pPr>
    </w:p>
    <w:p w14:paraId="4060B8E3">
      <w:pPr>
        <w:spacing w:line="360" w:lineRule="auto"/>
        <w:rPr>
          <w:rFonts w:ascii="宋体" w:hAnsi="宋体" w:cs="宋体"/>
          <w:sz w:val="24"/>
          <w:szCs w:val="28"/>
        </w:rPr>
      </w:pPr>
    </w:p>
    <w:p w14:paraId="0A50056F">
      <w:pPr>
        <w:snapToGrid w:val="0"/>
        <w:spacing w:line="460" w:lineRule="atLeast"/>
        <w:ind w:firstLine="4920" w:firstLineChars="2050"/>
        <w:jc w:val="left"/>
        <w:rPr>
          <w:rFonts w:hint="eastAsia" w:ascii="宋体" w:hAnsi="宋体"/>
          <w:sz w:val="24"/>
          <w:szCs w:val="28"/>
        </w:rPr>
      </w:pPr>
      <w:r>
        <w:rPr>
          <w:rFonts w:hint="eastAsia" w:ascii="宋体" w:hAnsi="宋体"/>
          <w:sz w:val="24"/>
          <w:szCs w:val="28"/>
        </w:rPr>
        <w:t>单位名称（</w:t>
      </w:r>
      <w:r>
        <w:rPr>
          <w:rFonts w:hint="eastAsia" w:ascii="宋体" w:hAnsi="宋体" w:cs="宋体"/>
          <w:sz w:val="24"/>
          <w:szCs w:val="28"/>
        </w:rPr>
        <w:t>盖章</w:t>
      </w:r>
      <w:r>
        <w:rPr>
          <w:rFonts w:hint="eastAsia" w:ascii="宋体" w:hAnsi="宋体"/>
          <w:sz w:val="24"/>
          <w:szCs w:val="28"/>
        </w:rPr>
        <w:t>）：</w:t>
      </w:r>
    </w:p>
    <w:p w14:paraId="7790CF7B">
      <w:pPr>
        <w:snapToGrid w:val="0"/>
        <w:spacing w:line="460" w:lineRule="atLeast"/>
        <w:ind w:firstLine="480" w:firstLineChars="200"/>
        <w:jc w:val="left"/>
        <w:rPr>
          <w:rFonts w:hint="eastAsia" w:ascii="宋体" w:hAnsi="宋体"/>
          <w:sz w:val="22"/>
          <w:szCs w:val="24"/>
        </w:rPr>
      </w:pPr>
      <w:r>
        <w:rPr>
          <w:rFonts w:hint="eastAsia" w:ascii="宋体" w:hAnsi="宋体"/>
          <w:sz w:val="24"/>
          <w:szCs w:val="28"/>
        </w:rPr>
        <w:t xml:space="preserve">                                     日  期：年月日</w:t>
      </w:r>
    </w:p>
    <w:p w14:paraId="42B34D08">
      <w:pPr>
        <w:ind w:firstLine="7420" w:firstLineChars="2650"/>
        <w:rPr>
          <w:rFonts w:hint="eastAsia" w:ascii="Times New Roman" w:hAnsi="Times New Roman"/>
          <w:sz w:val="28"/>
          <w:szCs w:val="28"/>
        </w:rPr>
      </w:pPr>
    </w:p>
    <w:p w14:paraId="5109F0EF">
      <w:pPr>
        <w:rPr>
          <w:rFonts w:hint="eastAsia" w:ascii="Times New Roman" w:hAnsi="Times New Roman"/>
          <w:sz w:val="28"/>
          <w:szCs w:val="28"/>
        </w:rPr>
      </w:pPr>
    </w:p>
    <w:p w14:paraId="1B0E20AD">
      <w:pPr>
        <w:spacing w:line="400" w:lineRule="exact"/>
        <w:rPr>
          <w:rFonts w:hint="eastAsia" w:ascii="Times New Roman" w:hAnsi="Times New Roman"/>
          <w:szCs w:val="24"/>
        </w:rPr>
      </w:pPr>
    </w:p>
    <w:p w14:paraId="7E2D344F">
      <w:pPr>
        <w:spacing w:line="400" w:lineRule="exact"/>
        <w:rPr>
          <w:rFonts w:hint="eastAsia" w:ascii="Times New Roman" w:hAnsi="Times New Roman"/>
          <w:szCs w:val="24"/>
        </w:rPr>
      </w:pPr>
    </w:p>
    <w:p w14:paraId="4389ECB5">
      <w:pPr>
        <w:spacing w:line="400" w:lineRule="exact"/>
        <w:rPr>
          <w:rFonts w:hint="eastAsia" w:ascii="Times New Roman" w:hAnsi="Times New Roman"/>
          <w:szCs w:val="24"/>
        </w:rPr>
      </w:pPr>
    </w:p>
    <w:p w14:paraId="3C2FCE2C">
      <w:pPr>
        <w:spacing w:line="360" w:lineRule="auto"/>
        <w:rPr>
          <w:rFonts w:ascii="宋体" w:hAnsi="宋体"/>
          <w:bCs/>
          <w:szCs w:val="21"/>
        </w:rPr>
      </w:pPr>
    </w:p>
    <w:p w14:paraId="249D0BE3">
      <w:pPr>
        <w:rPr>
          <w:rFonts w:hint="eastAsia" w:ascii="Times New Roman" w:hAnsi="Times New Roman"/>
          <w:sz w:val="28"/>
          <w:szCs w:val="28"/>
        </w:rPr>
      </w:pPr>
    </w:p>
    <w:p w14:paraId="69037328">
      <w:pPr>
        <w:rPr>
          <w:rFonts w:hint="eastAsia" w:ascii="Times New Roman" w:hAnsi="Times New Roman"/>
          <w:sz w:val="28"/>
          <w:szCs w:val="28"/>
        </w:rPr>
      </w:pPr>
    </w:p>
    <w:p w14:paraId="549B2998">
      <w:pPr>
        <w:rPr>
          <w:rFonts w:hint="eastAsia" w:ascii="Times New Roman" w:hAnsi="Times New Roman"/>
          <w:sz w:val="28"/>
          <w:szCs w:val="28"/>
        </w:rPr>
      </w:pPr>
    </w:p>
    <w:p w14:paraId="474787BD">
      <w:pPr>
        <w:spacing w:line="360" w:lineRule="auto"/>
        <w:ind w:firstLine="643"/>
        <w:jc w:val="center"/>
        <w:rPr>
          <w:rFonts w:hint="eastAsia" w:ascii="宋体" w:hAnsi="宋体" w:cs="宋体"/>
          <w:b/>
          <w:bCs/>
          <w:sz w:val="24"/>
          <w:szCs w:val="24"/>
        </w:rPr>
      </w:pPr>
    </w:p>
    <w:p w14:paraId="57D836C7">
      <w:pPr>
        <w:spacing w:line="360" w:lineRule="auto"/>
        <w:ind w:firstLine="420"/>
        <w:rPr>
          <w:rFonts w:ascii="宋体" w:hAnsi="宋体"/>
          <w:bCs/>
          <w:sz w:val="24"/>
          <w:szCs w:val="21"/>
        </w:rPr>
      </w:pPr>
      <w:r>
        <w:rPr>
          <w:rFonts w:hint="eastAsia" w:ascii="宋体" w:hAnsi="宋体"/>
          <w:bCs/>
          <w:sz w:val="24"/>
          <w:szCs w:val="21"/>
        </w:rPr>
        <w:t xml:space="preserve">                        </w:t>
      </w:r>
    </w:p>
    <w:p w14:paraId="5FCDFC3A">
      <w:pPr>
        <w:jc w:val="center"/>
        <w:rPr>
          <w:rFonts w:hint="eastAsia" w:ascii="Times New Roman" w:hAnsi="Times New Roman"/>
          <w:szCs w:val="24"/>
        </w:rPr>
      </w:pPr>
      <w:r>
        <w:rPr>
          <w:rFonts w:hint="eastAsia" w:ascii="宋体" w:hAnsi="宋体"/>
          <w:b/>
          <w:szCs w:val="21"/>
        </w:rPr>
        <w:t xml:space="preserve">  </w:t>
      </w:r>
    </w:p>
    <w:p w14:paraId="59EDB75B">
      <w:pPr>
        <w:spacing w:line="400" w:lineRule="exact"/>
        <w:rPr>
          <w:rFonts w:hint="eastAsia" w:ascii="Times New Roman" w:hAnsi="Times New Roman"/>
          <w:szCs w:val="24"/>
        </w:rPr>
      </w:pPr>
    </w:p>
    <w:p w14:paraId="519C06AA">
      <w:pPr>
        <w:spacing w:line="400" w:lineRule="exact"/>
        <w:rPr>
          <w:rFonts w:hint="eastAsia" w:ascii="Times New Roman" w:hAnsi="Times New Roman"/>
          <w:szCs w:val="24"/>
        </w:rPr>
      </w:pPr>
    </w:p>
    <w:p w14:paraId="39AB260A">
      <w:pPr>
        <w:spacing w:line="400" w:lineRule="exact"/>
        <w:rPr>
          <w:rFonts w:hint="eastAsia" w:ascii="Times New Roman" w:hAnsi="Times New Roman"/>
          <w:szCs w:val="24"/>
        </w:rPr>
      </w:pPr>
    </w:p>
    <w:p w14:paraId="23BC9253">
      <w:pPr>
        <w:spacing w:line="400" w:lineRule="exact"/>
        <w:rPr>
          <w:rFonts w:hint="eastAsia" w:ascii="Times New Roman" w:hAnsi="Times New Roman"/>
          <w:szCs w:val="24"/>
        </w:rPr>
      </w:pPr>
    </w:p>
    <w:p w14:paraId="0726F3D1">
      <w:pPr>
        <w:spacing w:line="400" w:lineRule="exact"/>
        <w:rPr>
          <w:rFonts w:hint="eastAsia" w:ascii="Times New Roman" w:hAnsi="Times New Roman"/>
          <w:szCs w:val="24"/>
        </w:rPr>
      </w:pPr>
    </w:p>
    <w:p w14:paraId="2AC67F53">
      <w:pPr>
        <w:spacing w:line="400" w:lineRule="exact"/>
        <w:rPr>
          <w:rFonts w:hint="eastAsia" w:ascii="Times New Roman" w:hAnsi="Times New Roman"/>
          <w:szCs w:val="24"/>
        </w:rPr>
      </w:pPr>
    </w:p>
    <w:p w14:paraId="46FB6CBC">
      <w:pPr>
        <w:spacing w:line="400" w:lineRule="exact"/>
        <w:rPr>
          <w:rFonts w:hint="eastAsia" w:ascii="Times New Roman" w:hAnsi="Times New Roman"/>
          <w:szCs w:val="24"/>
        </w:rPr>
      </w:pPr>
    </w:p>
    <w:p w14:paraId="082A85FC">
      <w:pPr>
        <w:spacing w:line="360" w:lineRule="auto"/>
        <w:jc w:val="center"/>
        <w:rPr>
          <w:rFonts w:ascii="宋体" w:hAnsi="宋体"/>
          <w:b/>
          <w:sz w:val="24"/>
          <w:szCs w:val="28"/>
        </w:rPr>
      </w:pPr>
      <w:r>
        <w:rPr>
          <w:rFonts w:hint="eastAsia" w:ascii="宋体" w:hAnsi="宋体" w:cs="宋体"/>
          <w:b/>
          <w:sz w:val="32"/>
          <w:szCs w:val="36"/>
        </w:rPr>
        <w:t>监狱企业声明函  格式</w:t>
      </w:r>
    </w:p>
    <w:p w14:paraId="4F0D5282">
      <w:pPr>
        <w:spacing w:line="360" w:lineRule="auto"/>
        <w:rPr>
          <w:rFonts w:ascii="宋体" w:hAnsi="宋体"/>
          <w:b/>
          <w:sz w:val="28"/>
          <w:szCs w:val="28"/>
        </w:rPr>
      </w:pPr>
    </w:p>
    <w:p w14:paraId="23D332FA">
      <w:pPr>
        <w:spacing w:line="360" w:lineRule="auto"/>
        <w:ind w:firstLine="480" w:firstLineChars="200"/>
        <w:rPr>
          <w:rFonts w:ascii="宋体" w:hAnsi="宋体" w:cs="宋体"/>
          <w:sz w:val="24"/>
          <w:szCs w:val="28"/>
        </w:rPr>
      </w:pPr>
      <w:r>
        <w:rPr>
          <w:rFonts w:hint="eastAsia" w:ascii="宋体" w:hAnsi="宋体" w:cs="宋体"/>
          <w:sz w:val="24"/>
          <w:szCs w:val="28"/>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D847DDD">
      <w:pPr>
        <w:spacing w:line="360" w:lineRule="auto"/>
        <w:ind w:firstLine="480" w:firstLineChars="200"/>
        <w:rPr>
          <w:rFonts w:ascii="宋体" w:hAnsi="宋体" w:cs="宋体"/>
          <w:sz w:val="24"/>
          <w:szCs w:val="28"/>
        </w:rPr>
      </w:pPr>
      <w:r>
        <w:rPr>
          <w:rFonts w:hint="eastAsia" w:ascii="宋体" w:hAnsi="宋体" w:cs="宋体"/>
          <w:sz w:val="24"/>
          <w:szCs w:val="28"/>
        </w:rPr>
        <w:t>本企业对上述声明的真实性负责。如有虚假，将依法承担相应责任。</w:t>
      </w:r>
    </w:p>
    <w:p w14:paraId="2CA66CD9">
      <w:pPr>
        <w:tabs>
          <w:tab w:val="left" w:pos="4860"/>
        </w:tabs>
        <w:spacing w:line="360" w:lineRule="auto"/>
        <w:ind w:firstLine="508" w:firstLineChars="200"/>
        <w:jc w:val="center"/>
        <w:rPr>
          <w:rFonts w:hint="eastAsia" w:ascii="宋体" w:hAnsi="宋体" w:cs="宋体"/>
          <w:spacing w:val="7"/>
          <w:sz w:val="24"/>
          <w:szCs w:val="28"/>
        </w:rPr>
      </w:pPr>
    </w:p>
    <w:p w14:paraId="2377B6C4">
      <w:pPr>
        <w:ind w:firstLine="420" w:firstLineChars="200"/>
        <w:rPr>
          <w:rFonts w:hint="eastAsia" w:ascii="Times New Roman" w:hAnsi="Times New Roman"/>
          <w:szCs w:val="24"/>
        </w:rPr>
      </w:pPr>
    </w:p>
    <w:p w14:paraId="58F653D9">
      <w:pPr>
        <w:ind w:firstLine="420" w:firstLineChars="200"/>
        <w:rPr>
          <w:rFonts w:hint="eastAsia" w:ascii="Times New Roman" w:hAnsi="Times New Roman"/>
          <w:szCs w:val="24"/>
        </w:rPr>
      </w:pPr>
    </w:p>
    <w:p w14:paraId="5DE494C3">
      <w:pPr>
        <w:ind w:firstLine="420" w:firstLineChars="200"/>
        <w:rPr>
          <w:rFonts w:hint="eastAsia" w:ascii="Times New Roman" w:hAnsi="Times New Roman"/>
          <w:szCs w:val="24"/>
        </w:rPr>
      </w:pPr>
    </w:p>
    <w:p w14:paraId="6A756210">
      <w:pPr>
        <w:ind w:firstLine="420" w:firstLineChars="200"/>
        <w:rPr>
          <w:rFonts w:ascii="Times New Roman" w:hAnsi="Times New Roman"/>
          <w:szCs w:val="24"/>
        </w:rPr>
      </w:pPr>
    </w:p>
    <w:p w14:paraId="032E2AF7">
      <w:pPr>
        <w:tabs>
          <w:tab w:val="left" w:pos="4860"/>
        </w:tabs>
        <w:spacing w:line="360" w:lineRule="auto"/>
        <w:ind w:firstLine="508" w:firstLineChars="200"/>
        <w:jc w:val="center"/>
        <w:rPr>
          <w:rFonts w:ascii="宋体" w:hAnsi="宋体" w:cs="宋体"/>
          <w:spacing w:val="7"/>
          <w:sz w:val="24"/>
          <w:szCs w:val="28"/>
        </w:rPr>
      </w:pPr>
      <w:r>
        <w:rPr>
          <w:rFonts w:hint="eastAsia" w:ascii="宋体" w:hAnsi="宋体" w:cs="宋体"/>
          <w:spacing w:val="7"/>
          <w:sz w:val="24"/>
          <w:szCs w:val="28"/>
        </w:rPr>
        <w:t xml:space="preserve">                             企业名称（盖章）： </w:t>
      </w:r>
    </w:p>
    <w:p w14:paraId="08D90D71">
      <w:pPr>
        <w:spacing w:line="400" w:lineRule="exact"/>
        <w:rPr>
          <w:rFonts w:hint="eastAsia" w:ascii="Times New Roman" w:hAnsi="Times New Roman"/>
          <w:sz w:val="20"/>
          <w:szCs w:val="24"/>
        </w:rPr>
      </w:pPr>
      <w:r>
        <w:rPr>
          <w:rFonts w:hint="eastAsia" w:ascii="宋体" w:hAnsi="宋体" w:cs="宋体"/>
          <w:spacing w:val="7"/>
          <w:sz w:val="24"/>
          <w:szCs w:val="28"/>
        </w:rPr>
        <w:t xml:space="preserve">                                      日  期：年月日</w:t>
      </w:r>
    </w:p>
    <w:p w14:paraId="7D5F12F1">
      <w:pPr>
        <w:spacing w:line="400" w:lineRule="exact"/>
        <w:rPr>
          <w:rFonts w:hint="eastAsia" w:ascii="Times New Roman" w:hAnsi="Times New Roman"/>
          <w:szCs w:val="24"/>
        </w:rPr>
      </w:pPr>
    </w:p>
    <w:p w14:paraId="41225AE6">
      <w:pPr>
        <w:spacing w:line="400" w:lineRule="exact"/>
        <w:rPr>
          <w:rFonts w:hint="eastAsia" w:ascii="Times New Roman" w:hAnsi="Times New Roman"/>
          <w:szCs w:val="24"/>
        </w:rPr>
      </w:pPr>
    </w:p>
    <w:p w14:paraId="49FCCB8D">
      <w:pPr>
        <w:spacing w:line="400" w:lineRule="exact"/>
        <w:rPr>
          <w:rFonts w:hint="eastAsia" w:ascii="Times New Roman" w:hAnsi="Times New Roman"/>
          <w:szCs w:val="24"/>
        </w:rPr>
      </w:pPr>
    </w:p>
    <w:p w14:paraId="29F81507">
      <w:pPr>
        <w:spacing w:line="400" w:lineRule="exact"/>
        <w:rPr>
          <w:rFonts w:hint="eastAsia" w:ascii="Times New Roman" w:hAnsi="Times New Roman"/>
          <w:szCs w:val="24"/>
        </w:rPr>
      </w:pPr>
    </w:p>
    <w:p w14:paraId="6BCD5F42">
      <w:pPr>
        <w:spacing w:line="400" w:lineRule="exact"/>
        <w:rPr>
          <w:rFonts w:hint="eastAsia" w:ascii="Times New Roman" w:hAnsi="Times New Roman"/>
          <w:szCs w:val="24"/>
        </w:rPr>
      </w:pPr>
    </w:p>
    <w:p w14:paraId="2C6C8711">
      <w:pPr>
        <w:spacing w:line="400" w:lineRule="exact"/>
        <w:rPr>
          <w:rFonts w:hint="eastAsia" w:ascii="Times New Roman" w:hAnsi="Times New Roman"/>
          <w:szCs w:val="24"/>
        </w:rPr>
      </w:pPr>
    </w:p>
    <w:p w14:paraId="6152C06A">
      <w:pPr>
        <w:spacing w:line="400" w:lineRule="exact"/>
        <w:rPr>
          <w:rFonts w:hint="eastAsia" w:ascii="Times New Roman" w:hAnsi="Times New Roman"/>
          <w:szCs w:val="24"/>
        </w:rPr>
      </w:pPr>
    </w:p>
    <w:p w14:paraId="2CD0A99D">
      <w:pPr>
        <w:spacing w:line="400" w:lineRule="exact"/>
        <w:rPr>
          <w:rFonts w:hint="eastAsia" w:ascii="Times New Roman" w:hAnsi="Times New Roman"/>
          <w:szCs w:val="24"/>
        </w:rPr>
      </w:pPr>
    </w:p>
    <w:p w14:paraId="7B71CCA1">
      <w:pPr>
        <w:spacing w:line="400" w:lineRule="exact"/>
        <w:rPr>
          <w:rFonts w:hint="eastAsia" w:ascii="Times New Roman" w:hAnsi="Times New Roman"/>
          <w:szCs w:val="24"/>
        </w:rPr>
      </w:pPr>
    </w:p>
    <w:p w14:paraId="4875856D">
      <w:pPr>
        <w:spacing w:line="400" w:lineRule="exact"/>
        <w:rPr>
          <w:rFonts w:hint="eastAsia" w:ascii="Times New Roman" w:hAnsi="Times New Roman"/>
          <w:szCs w:val="24"/>
        </w:rPr>
      </w:pPr>
    </w:p>
    <w:p w14:paraId="65BCA4AB">
      <w:pPr>
        <w:spacing w:line="400" w:lineRule="exact"/>
        <w:rPr>
          <w:rFonts w:hint="eastAsia" w:ascii="Times New Roman" w:hAnsi="Times New Roman"/>
          <w:szCs w:val="24"/>
        </w:rPr>
      </w:pPr>
    </w:p>
    <w:p w14:paraId="03115785">
      <w:pPr>
        <w:spacing w:line="400" w:lineRule="exact"/>
        <w:rPr>
          <w:rFonts w:hint="eastAsia" w:ascii="Times New Roman" w:hAnsi="Times New Roman"/>
          <w:szCs w:val="24"/>
        </w:rPr>
      </w:pPr>
    </w:p>
    <w:p w14:paraId="3CD234D7">
      <w:pPr>
        <w:spacing w:line="400" w:lineRule="exact"/>
        <w:rPr>
          <w:rFonts w:hint="eastAsia" w:ascii="Times New Roman" w:hAnsi="Times New Roman"/>
          <w:szCs w:val="24"/>
        </w:rPr>
      </w:pPr>
    </w:p>
    <w:p w14:paraId="4B3A0160">
      <w:pPr>
        <w:spacing w:line="400" w:lineRule="exact"/>
        <w:rPr>
          <w:rFonts w:hint="eastAsia" w:ascii="Times New Roman" w:hAnsi="Times New Roman"/>
          <w:szCs w:val="24"/>
        </w:rPr>
      </w:pPr>
    </w:p>
    <w:p w14:paraId="4F70FA5D">
      <w:pPr>
        <w:spacing w:line="560" w:lineRule="exact"/>
        <w:rPr>
          <w:rFonts w:ascii="宋体" w:hAnsi="宋体" w:cs="宋体"/>
          <w:b/>
          <w:bCs/>
          <w:snapToGrid w:val="0"/>
          <w:kern w:val="0"/>
          <w:sz w:val="24"/>
          <w:szCs w:val="24"/>
          <w:lang w:eastAsia="en-US"/>
        </w:rPr>
      </w:pPr>
      <w:r>
        <w:rPr>
          <w:rFonts w:hint="eastAsia" w:ascii="宋体" w:hAnsi="宋体" w:eastAsia="宋体" w:cs="宋体"/>
          <w:b/>
          <w:bCs/>
          <w:snapToGrid w:val="0"/>
          <w:kern w:val="0"/>
          <w:sz w:val="24"/>
          <w:szCs w:val="24"/>
          <w:lang w:val="en-US" w:eastAsia="zh-CN"/>
        </w:rPr>
        <w:t>8</w:t>
      </w:r>
      <w:r>
        <w:rPr>
          <w:rFonts w:hint="eastAsia" w:ascii="宋体" w:hAnsi="宋体" w:cs="宋体"/>
          <w:b/>
          <w:bCs/>
          <w:snapToGrid w:val="0"/>
          <w:kern w:val="0"/>
          <w:sz w:val="24"/>
          <w:szCs w:val="24"/>
        </w:rPr>
        <w:t>.招标文件要求的其它材料及投标人认为有必要提供的材料</w:t>
      </w:r>
    </w:p>
    <w:p w14:paraId="6E870B17">
      <w:pPr>
        <w:outlineLvl w:val="9"/>
        <w:rPr>
          <w:rFonts w:hint="eastAsia"/>
          <w:color w:val="000000"/>
          <w:lang w:eastAsia="zh-CN"/>
        </w:rPr>
      </w:pPr>
    </w:p>
    <w:sectPr>
      <w:headerReference r:id="rId10" w:type="default"/>
      <w:footerReference r:id="rId11" w:type="default"/>
      <w:pgSz w:w="11907" w:h="16839"/>
      <w:pgMar w:top="1476" w:right="980" w:bottom="1114" w:left="1051" w:header="1155" w:footer="84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Yu Gothic UI Light">
    <w:panose1 w:val="020B03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D1AE6">
    <w:pPr>
      <w:spacing w:line="186" w:lineRule="auto"/>
      <w:ind w:left="4596"/>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24D7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93280">
    <w:pPr>
      <w:pStyle w:val="16"/>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39C4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039C45">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唐河县唐兴工程造价咨询有限公司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1432">
    <w:pPr>
      <w:jc w:val="right"/>
      <w:rPr>
        <w:rFonts w:eastAsia="Arial"/>
        <w:szCs w:val="18"/>
      </w:rPr>
    </w:pPr>
    <w:r>
      <w:rPr>
        <w:rFonts w:hint="eastAsia"/>
        <w:lang w:val="en-US" w:eastAsia="zh-CN"/>
      </w:rPr>
      <w:t>唐河县唐兴工程造价咨询有限公司</w: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FCDC3">
                          <w:pPr>
                            <w:pStyle w:val="1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0FCDC3">
                    <w:pPr>
                      <w:pStyle w:val="1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3513">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2273F">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32273F">
                    <w:pPr>
                      <w:pStyle w:val="1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AF71E">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C859">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5B38">
    <w:pPr>
      <w:pStyle w:val="17"/>
    </w:pPr>
    <w:r>
      <w:rPr>
        <w:rFonts w:hint="eastAsia" w:asciiTheme="minorEastAsia" w:hAnsiTheme="minorEastAsia" w:eastAsiaTheme="minorEastAsia"/>
        <w:sz w:val="24"/>
        <w:szCs w:val="24"/>
        <w:lang w:val="en-US" w:eastAsia="zh-CN"/>
      </w:rPr>
      <w:t>唐河县教育装备与技术保障中心2025年唐河县思源学校、桐寨铺中心小学等学校教学设备采购(二)项目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0140">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0AF93"/>
    <w:multiLevelType w:val="singleLevel"/>
    <w:tmpl w:val="D020AF93"/>
    <w:lvl w:ilvl="0" w:tentative="0">
      <w:start w:val="3"/>
      <w:numFmt w:val="chineseCounting"/>
      <w:suff w:val="space"/>
      <w:lvlText w:val="第%1部分"/>
      <w:lvlJc w:val="left"/>
      <w:rPr>
        <w:rFonts w:hint="eastAsia"/>
      </w:rPr>
    </w:lvl>
  </w:abstractNum>
  <w:abstractNum w:abstractNumId="1">
    <w:nsid w:val="60E696DE"/>
    <w:multiLevelType w:val="singleLevel"/>
    <w:tmpl w:val="60E696D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7"/>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WM3YWZlM2QyY2Y0NWJlODg5YjgxMGQ0MzM5MWQifQ=="/>
  </w:docVars>
  <w:rsids>
    <w:rsidRoot w:val="00D338C7"/>
    <w:rsid w:val="00022BA0"/>
    <w:rsid w:val="0004448B"/>
    <w:rsid w:val="00050194"/>
    <w:rsid w:val="00053090"/>
    <w:rsid w:val="000730AF"/>
    <w:rsid w:val="00092E79"/>
    <w:rsid w:val="000A0550"/>
    <w:rsid w:val="000C1D84"/>
    <w:rsid w:val="00106B90"/>
    <w:rsid w:val="0014157B"/>
    <w:rsid w:val="001B5BD7"/>
    <w:rsid w:val="001D7F67"/>
    <w:rsid w:val="00224DCC"/>
    <w:rsid w:val="002869C7"/>
    <w:rsid w:val="00297E43"/>
    <w:rsid w:val="002E3803"/>
    <w:rsid w:val="00301DA3"/>
    <w:rsid w:val="00303F39"/>
    <w:rsid w:val="0035574D"/>
    <w:rsid w:val="003659BE"/>
    <w:rsid w:val="003D7E65"/>
    <w:rsid w:val="003F33A1"/>
    <w:rsid w:val="004026DC"/>
    <w:rsid w:val="00415731"/>
    <w:rsid w:val="004431E4"/>
    <w:rsid w:val="00452340"/>
    <w:rsid w:val="004B69A7"/>
    <w:rsid w:val="00515C5E"/>
    <w:rsid w:val="005655DE"/>
    <w:rsid w:val="005B4887"/>
    <w:rsid w:val="005C0441"/>
    <w:rsid w:val="005E4DA5"/>
    <w:rsid w:val="006232FE"/>
    <w:rsid w:val="006240E1"/>
    <w:rsid w:val="00656955"/>
    <w:rsid w:val="00663039"/>
    <w:rsid w:val="006F2546"/>
    <w:rsid w:val="007078DD"/>
    <w:rsid w:val="00733264"/>
    <w:rsid w:val="00804B7B"/>
    <w:rsid w:val="00852BA5"/>
    <w:rsid w:val="00862167"/>
    <w:rsid w:val="0086394B"/>
    <w:rsid w:val="00872711"/>
    <w:rsid w:val="00887C76"/>
    <w:rsid w:val="008D0156"/>
    <w:rsid w:val="0094465D"/>
    <w:rsid w:val="00952A4D"/>
    <w:rsid w:val="00963A15"/>
    <w:rsid w:val="00970099"/>
    <w:rsid w:val="0097673D"/>
    <w:rsid w:val="00A07604"/>
    <w:rsid w:val="00A42031"/>
    <w:rsid w:val="00AB05F6"/>
    <w:rsid w:val="00AB589F"/>
    <w:rsid w:val="00B35DE0"/>
    <w:rsid w:val="00B81B4E"/>
    <w:rsid w:val="00C656BD"/>
    <w:rsid w:val="00CC3828"/>
    <w:rsid w:val="00CC5788"/>
    <w:rsid w:val="00CE4BC2"/>
    <w:rsid w:val="00D10B55"/>
    <w:rsid w:val="00D12FA9"/>
    <w:rsid w:val="00D338C7"/>
    <w:rsid w:val="00D670F7"/>
    <w:rsid w:val="00D96AD7"/>
    <w:rsid w:val="00DA246D"/>
    <w:rsid w:val="00E476FC"/>
    <w:rsid w:val="00E64236"/>
    <w:rsid w:val="00E64B6E"/>
    <w:rsid w:val="00E72182"/>
    <w:rsid w:val="00F35AAE"/>
    <w:rsid w:val="00F878FF"/>
    <w:rsid w:val="00FF6ED5"/>
    <w:rsid w:val="013E60BA"/>
    <w:rsid w:val="01E74ACC"/>
    <w:rsid w:val="01EC24EE"/>
    <w:rsid w:val="02217FDE"/>
    <w:rsid w:val="02753E85"/>
    <w:rsid w:val="02BC1AB4"/>
    <w:rsid w:val="02D0730E"/>
    <w:rsid w:val="02EE3C38"/>
    <w:rsid w:val="03391357"/>
    <w:rsid w:val="03B556F1"/>
    <w:rsid w:val="03C447E8"/>
    <w:rsid w:val="03D90444"/>
    <w:rsid w:val="040D66DE"/>
    <w:rsid w:val="049B2465"/>
    <w:rsid w:val="04E9617C"/>
    <w:rsid w:val="051A08DE"/>
    <w:rsid w:val="054F4D36"/>
    <w:rsid w:val="057F6DC9"/>
    <w:rsid w:val="05926AFC"/>
    <w:rsid w:val="05B113E5"/>
    <w:rsid w:val="05B66197"/>
    <w:rsid w:val="05B94CC6"/>
    <w:rsid w:val="05CA273A"/>
    <w:rsid w:val="060E6ACB"/>
    <w:rsid w:val="06297813"/>
    <w:rsid w:val="064E6EC7"/>
    <w:rsid w:val="06653FBD"/>
    <w:rsid w:val="06ED0690"/>
    <w:rsid w:val="071F62A0"/>
    <w:rsid w:val="07B264E2"/>
    <w:rsid w:val="07B62F76"/>
    <w:rsid w:val="081E4FBF"/>
    <w:rsid w:val="083456D1"/>
    <w:rsid w:val="08411306"/>
    <w:rsid w:val="08536A17"/>
    <w:rsid w:val="085B3B1D"/>
    <w:rsid w:val="08A13C26"/>
    <w:rsid w:val="08B24B37"/>
    <w:rsid w:val="08D86767"/>
    <w:rsid w:val="08FD2989"/>
    <w:rsid w:val="09931095"/>
    <w:rsid w:val="099611F2"/>
    <w:rsid w:val="09C95A46"/>
    <w:rsid w:val="09DA45B5"/>
    <w:rsid w:val="09FF7D5E"/>
    <w:rsid w:val="0A177DA3"/>
    <w:rsid w:val="0A7D6C81"/>
    <w:rsid w:val="0A9F63AB"/>
    <w:rsid w:val="0AAB25E3"/>
    <w:rsid w:val="0AE2753F"/>
    <w:rsid w:val="0AF15385"/>
    <w:rsid w:val="0B4329E8"/>
    <w:rsid w:val="0BA25F56"/>
    <w:rsid w:val="0BA80E28"/>
    <w:rsid w:val="0BB168B1"/>
    <w:rsid w:val="0BE81B6C"/>
    <w:rsid w:val="0BEE4152"/>
    <w:rsid w:val="0C1C35C4"/>
    <w:rsid w:val="0C3D1245"/>
    <w:rsid w:val="0C403756"/>
    <w:rsid w:val="0C6F5DE9"/>
    <w:rsid w:val="0C8D626F"/>
    <w:rsid w:val="0CD12600"/>
    <w:rsid w:val="0D101EA1"/>
    <w:rsid w:val="0D1B3540"/>
    <w:rsid w:val="0D416904"/>
    <w:rsid w:val="0E09014F"/>
    <w:rsid w:val="0E465D89"/>
    <w:rsid w:val="0E534525"/>
    <w:rsid w:val="0E851528"/>
    <w:rsid w:val="0EB55CAD"/>
    <w:rsid w:val="0ED91C40"/>
    <w:rsid w:val="0F502CB9"/>
    <w:rsid w:val="0F5341AC"/>
    <w:rsid w:val="0F81030D"/>
    <w:rsid w:val="0F820EF8"/>
    <w:rsid w:val="0F9847C0"/>
    <w:rsid w:val="0FEB733B"/>
    <w:rsid w:val="1053332C"/>
    <w:rsid w:val="105570A4"/>
    <w:rsid w:val="105B2B57"/>
    <w:rsid w:val="1082402E"/>
    <w:rsid w:val="10A65B52"/>
    <w:rsid w:val="10AD7059"/>
    <w:rsid w:val="10BD35C7"/>
    <w:rsid w:val="10DB00FA"/>
    <w:rsid w:val="10DE5F2D"/>
    <w:rsid w:val="11226326"/>
    <w:rsid w:val="11401CD0"/>
    <w:rsid w:val="114D7DA7"/>
    <w:rsid w:val="11943BFC"/>
    <w:rsid w:val="11AA26F8"/>
    <w:rsid w:val="11D42564"/>
    <w:rsid w:val="11EB4A57"/>
    <w:rsid w:val="124A2743"/>
    <w:rsid w:val="129C6B7B"/>
    <w:rsid w:val="12A263C0"/>
    <w:rsid w:val="12B27DE5"/>
    <w:rsid w:val="12D15108"/>
    <w:rsid w:val="12EA4EB3"/>
    <w:rsid w:val="12FA3BCB"/>
    <w:rsid w:val="12FB6B0F"/>
    <w:rsid w:val="139454AD"/>
    <w:rsid w:val="139461F2"/>
    <w:rsid w:val="13B77BD4"/>
    <w:rsid w:val="13C9209F"/>
    <w:rsid w:val="13D419F1"/>
    <w:rsid w:val="13D555E0"/>
    <w:rsid w:val="13D749A0"/>
    <w:rsid w:val="13F15AF0"/>
    <w:rsid w:val="143D057B"/>
    <w:rsid w:val="14597A10"/>
    <w:rsid w:val="147300B2"/>
    <w:rsid w:val="147974B3"/>
    <w:rsid w:val="148D56A6"/>
    <w:rsid w:val="14B7032D"/>
    <w:rsid w:val="15035D08"/>
    <w:rsid w:val="15527DE0"/>
    <w:rsid w:val="156906A4"/>
    <w:rsid w:val="157136E6"/>
    <w:rsid w:val="15D078F9"/>
    <w:rsid w:val="16166C9E"/>
    <w:rsid w:val="161E5E0E"/>
    <w:rsid w:val="16333219"/>
    <w:rsid w:val="164F240A"/>
    <w:rsid w:val="16A41F61"/>
    <w:rsid w:val="175C2FFC"/>
    <w:rsid w:val="17777A03"/>
    <w:rsid w:val="17E05CBA"/>
    <w:rsid w:val="18391B2C"/>
    <w:rsid w:val="18422604"/>
    <w:rsid w:val="18450719"/>
    <w:rsid w:val="185D2F9A"/>
    <w:rsid w:val="18603BAC"/>
    <w:rsid w:val="18610CDC"/>
    <w:rsid w:val="1880365D"/>
    <w:rsid w:val="189015C1"/>
    <w:rsid w:val="189270E7"/>
    <w:rsid w:val="18A51579"/>
    <w:rsid w:val="18AC4C18"/>
    <w:rsid w:val="18BF3C55"/>
    <w:rsid w:val="18C80D5B"/>
    <w:rsid w:val="19241D0A"/>
    <w:rsid w:val="19422A47"/>
    <w:rsid w:val="19606E0E"/>
    <w:rsid w:val="19AE2A71"/>
    <w:rsid w:val="1A5F57B3"/>
    <w:rsid w:val="1A6E148E"/>
    <w:rsid w:val="1A9058A9"/>
    <w:rsid w:val="1B0244A0"/>
    <w:rsid w:val="1B51192B"/>
    <w:rsid w:val="1B613533"/>
    <w:rsid w:val="1B740D26"/>
    <w:rsid w:val="1BC74CD4"/>
    <w:rsid w:val="1BF400B9"/>
    <w:rsid w:val="1C161DDD"/>
    <w:rsid w:val="1CA4563B"/>
    <w:rsid w:val="1CC21F65"/>
    <w:rsid w:val="1D9220A3"/>
    <w:rsid w:val="1DAC0C4B"/>
    <w:rsid w:val="1E2C58E8"/>
    <w:rsid w:val="1E343E2C"/>
    <w:rsid w:val="1E3F47A1"/>
    <w:rsid w:val="1E465280"/>
    <w:rsid w:val="1E551145"/>
    <w:rsid w:val="1E5E03A2"/>
    <w:rsid w:val="1E935967"/>
    <w:rsid w:val="1EB853CE"/>
    <w:rsid w:val="1EC00414"/>
    <w:rsid w:val="1ED57D2E"/>
    <w:rsid w:val="1F844BF7"/>
    <w:rsid w:val="1F903C55"/>
    <w:rsid w:val="1FB931AC"/>
    <w:rsid w:val="1FBB131D"/>
    <w:rsid w:val="1FC703C4"/>
    <w:rsid w:val="1FCB7383"/>
    <w:rsid w:val="20102AB4"/>
    <w:rsid w:val="202A0302"/>
    <w:rsid w:val="205E6558"/>
    <w:rsid w:val="20E92118"/>
    <w:rsid w:val="211D59BC"/>
    <w:rsid w:val="218B53BC"/>
    <w:rsid w:val="21D01390"/>
    <w:rsid w:val="2224589A"/>
    <w:rsid w:val="22791BEC"/>
    <w:rsid w:val="22A06F82"/>
    <w:rsid w:val="22BD1205"/>
    <w:rsid w:val="23722594"/>
    <w:rsid w:val="238166D6"/>
    <w:rsid w:val="23E40A13"/>
    <w:rsid w:val="23E6338E"/>
    <w:rsid w:val="23EE6948"/>
    <w:rsid w:val="23FE3883"/>
    <w:rsid w:val="244871F4"/>
    <w:rsid w:val="25034EC9"/>
    <w:rsid w:val="250E58CE"/>
    <w:rsid w:val="2572620D"/>
    <w:rsid w:val="25BF16E7"/>
    <w:rsid w:val="25FF16E3"/>
    <w:rsid w:val="262B46D7"/>
    <w:rsid w:val="262D66A1"/>
    <w:rsid w:val="262E4690"/>
    <w:rsid w:val="262F59FD"/>
    <w:rsid w:val="264F6618"/>
    <w:rsid w:val="268C3628"/>
    <w:rsid w:val="26B7449F"/>
    <w:rsid w:val="271138CD"/>
    <w:rsid w:val="277C4CD3"/>
    <w:rsid w:val="278C6174"/>
    <w:rsid w:val="281E2746"/>
    <w:rsid w:val="284657F9"/>
    <w:rsid w:val="28596E8D"/>
    <w:rsid w:val="286E462A"/>
    <w:rsid w:val="287A7C91"/>
    <w:rsid w:val="289C7B0E"/>
    <w:rsid w:val="292F2E7A"/>
    <w:rsid w:val="297D16EE"/>
    <w:rsid w:val="298E38FB"/>
    <w:rsid w:val="29994F05"/>
    <w:rsid w:val="29A55926"/>
    <w:rsid w:val="29CC61D1"/>
    <w:rsid w:val="29ED3679"/>
    <w:rsid w:val="29F210CD"/>
    <w:rsid w:val="29FC6AB7"/>
    <w:rsid w:val="2A347895"/>
    <w:rsid w:val="2A864AC8"/>
    <w:rsid w:val="2AF13FF8"/>
    <w:rsid w:val="2AFC7D87"/>
    <w:rsid w:val="2B541D59"/>
    <w:rsid w:val="2B640F19"/>
    <w:rsid w:val="2BB26D03"/>
    <w:rsid w:val="2BC301B3"/>
    <w:rsid w:val="2BE27F2E"/>
    <w:rsid w:val="2BF47AC9"/>
    <w:rsid w:val="2C5A3F68"/>
    <w:rsid w:val="2C6B3A80"/>
    <w:rsid w:val="2C6F76C7"/>
    <w:rsid w:val="2C8E7CC3"/>
    <w:rsid w:val="2C976847"/>
    <w:rsid w:val="2DD83397"/>
    <w:rsid w:val="2E277E7A"/>
    <w:rsid w:val="2E3F3416"/>
    <w:rsid w:val="2E5D1D7F"/>
    <w:rsid w:val="2E625356"/>
    <w:rsid w:val="2ED81174"/>
    <w:rsid w:val="2F5A7DDB"/>
    <w:rsid w:val="2F642A08"/>
    <w:rsid w:val="2F857B57"/>
    <w:rsid w:val="2FBC45F2"/>
    <w:rsid w:val="2FC647F3"/>
    <w:rsid w:val="2FCE6659"/>
    <w:rsid w:val="2FEC443F"/>
    <w:rsid w:val="302F442C"/>
    <w:rsid w:val="304C5976"/>
    <w:rsid w:val="30627EB2"/>
    <w:rsid w:val="306727B0"/>
    <w:rsid w:val="30D77936"/>
    <w:rsid w:val="312F769E"/>
    <w:rsid w:val="313E0EC8"/>
    <w:rsid w:val="31B71515"/>
    <w:rsid w:val="32630FC4"/>
    <w:rsid w:val="329734D4"/>
    <w:rsid w:val="32BC7515"/>
    <w:rsid w:val="32D6600F"/>
    <w:rsid w:val="32FA5FAE"/>
    <w:rsid w:val="33092244"/>
    <w:rsid w:val="331A7FAD"/>
    <w:rsid w:val="331C1F78"/>
    <w:rsid w:val="33884F17"/>
    <w:rsid w:val="33EF4F96"/>
    <w:rsid w:val="341B2AA7"/>
    <w:rsid w:val="341D4E49"/>
    <w:rsid w:val="34401C96"/>
    <w:rsid w:val="34587221"/>
    <w:rsid w:val="346D235F"/>
    <w:rsid w:val="34C04B85"/>
    <w:rsid w:val="34C12802"/>
    <w:rsid w:val="34EC597A"/>
    <w:rsid w:val="351153E0"/>
    <w:rsid w:val="352D68EF"/>
    <w:rsid w:val="353D711A"/>
    <w:rsid w:val="358B0CEF"/>
    <w:rsid w:val="35A66F4F"/>
    <w:rsid w:val="35F165B8"/>
    <w:rsid w:val="361726E3"/>
    <w:rsid w:val="364332E7"/>
    <w:rsid w:val="36C070BE"/>
    <w:rsid w:val="36D44054"/>
    <w:rsid w:val="371B2546"/>
    <w:rsid w:val="3728631E"/>
    <w:rsid w:val="374B4BD9"/>
    <w:rsid w:val="38543F62"/>
    <w:rsid w:val="38983E4E"/>
    <w:rsid w:val="38C8225A"/>
    <w:rsid w:val="398512D2"/>
    <w:rsid w:val="399B7293"/>
    <w:rsid w:val="39B21C33"/>
    <w:rsid w:val="39E6508D"/>
    <w:rsid w:val="39E92488"/>
    <w:rsid w:val="39F91D9D"/>
    <w:rsid w:val="3A1A4D37"/>
    <w:rsid w:val="3A7B1C42"/>
    <w:rsid w:val="3AAD56C8"/>
    <w:rsid w:val="3B082DE1"/>
    <w:rsid w:val="3B0D711A"/>
    <w:rsid w:val="3B8A37F6"/>
    <w:rsid w:val="3BDF1D94"/>
    <w:rsid w:val="3C541977"/>
    <w:rsid w:val="3C5F6A31"/>
    <w:rsid w:val="3C8D52F9"/>
    <w:rsid w:val="3C8E1FD4"/>
    <w:rsid w:val="3CAD1639"/>
    <w:rsid w:val="3D09675B"/>
    <w:rsid w:val="3D877FA8"/>
    <w:rsid w:val="3DB52E38"/>
    <w:rsid w:val="3DE12581"/>
    <w:rsid w:val="3E004607"/>
    <w:rsid w:val="3E7D3A24"/>
    <w:rsid w:val="3E8F7AA2"/>
    <w:rsid w:val="3EBE0387"/>
    <w:rsid w:val="3EDB4A95"/>
    <w:rsid w:val="3F740A45"/>
    <w:rsid w:val="3FA1732D"/>
    <w:rsid w:val="3FD724E6"/>
    <w:rsid w:val="3FDF7BBB"/>
    <w:rsid w:val="40583DB1"/>
    <w:rsid w:val="40953369"/>
    <w:rsid w:val="40BE641C"/>
    <w:rsid w:val="40D043A1"/>
    <w:rsid w:val="41072EE9"/>
    <w:rsid w:val="4134048C"/>
    <w:rsid w:val="41686388"/>
    <w:rsid w:val="41BB0BAE"/>
    <w:rsid w:val="41BD2B78"/>
    <w:rsid w:val="41EE0F83"/>
    <w:rsid w:val="41F071EA"/>
    <w:rsid w:val="41FE3669"/>
    <w:rsid w:val="42100A2E"/>
    <w:rsid w:val="424D048E"/>
    <w:rsid w:val="425132C0"/>
    <w:rsid w:val="42764AD5"/>
    <w:rsid w:val="42C40215"/>
    <w:rsid w:val="42DD01B9"/>
    <w:rsid w:val="432151A6"/>
    <w:rsid w:val="43244531"/>
    <w:rsid w:val="43331C01"/>
    <w:rsid w:val="436A4639"/>
    <w:rsid w:val="43CB18B4"/>
    <w:rsid w:val="43D917BF"/>
    <w:rsid w:val="44087827"/>
    <w:rsid w:val="44165EB2"/>
    <w:rsid w:val="449974E9"/>
    <w:rsid w:val="44A1408B"/>
    <w:rsid w:val="44A27E03"/>
    <w:rsid w:val="44B31C25"/>
    <w:rsid w:val="45146224"/>
    <w:rsid w:val="45356EC9"/>
    <w:rsid w:val="45835E86"/>
    <w:rsid w:val="459040FF"/>
    <w:rsid w:val="45E713DD"/>
    <w:rsid w:val="46051D29"/>
    <w:rsid w:val="465A6BE7"/>
    <w:rsid w:val="46607AB3"/>
    <w:rsid w:val="46D46C6F"/>
    <w:rsid w:val="473A7753"/>
    <w:rsid w:val="473C009B"/>
    <w:rsid w:val="478210C3"/>
    <w:rsid w:val="47920A7F"/>
    <w:rsid w:val="480449EC"/>
    <w:rsid w:val="482E5B2A"/>
    <w:rsid w:val="488717E9"/>
    <w:rsid w:val="491C4628"/>
    <w:rsid w:val="49663C26"/>
    <w:rsid w:val="49CB6F36"/>
    <w:rsid w:val="4A0A4F6C"/>
    <w:rsid w:val="4A3414FD"/>
    <w:rsid w:val="4A3B4613"/>
    <w:rsid w:val="4A5E47CC"/>
    <w:rsid w:val="4A9662D5"/>
    <w:rsid w:val="4AE56CE5"/>
    <w:rsid w:val="4B430C4B"/>
    <w:rsid w:val="4B7818BD"/>
    <w:rsid w:val="4BCB5B62"/>
    <w:rsid w:val="4C212D79"/>
    <w:rsid w:val="4C502C78"/>
    <w:rsid w:val="4C971E6C"/>
    <w:rsid w:val="4CA961D2"/>
    <w:rsid w:val="4E1753BE"/>
    <w:rsid w:val="4EB513C3"/>
    <w:rsid w:val="4ECF2AAF"/>
    <w:rsid w:val="4F6F6DF3"/>
    <w:rsid w:val="50373AF5"/>
    <w:rsid w:val="50904805"/>
    <w:rsid w:val="51025EB1"/>
    <w:rsid w:val="51620BA4"/>
    <w:rsid w:val="51790966"/>
    <w:rsid w:val="51D3264B"/>
    <w:rsid w:val="527B23BF"/>
    <w:rsid w:val="527C6137"/>
    <w:rsid w:val="52A55715"/>
    <w:rsid w:val="52BB5860"/>
    <w:rsid w:val="52D71D07"/>
    <w:rsid w:val="52F15371"/>
    <w:rsid w:val="530C74BB"/>
    <w:rsid w:val="530E3233"/>
    <w:rsid w:val="53135EC7"/>
    <w:rsid w:val="53312A7E"/>
    <w:rsid w:val="53473D49"/>
    <w:rsid w:val="53C03E02"/>
    <w:rsid w:val="53DF072C"/>
    <w:rsid w:val="53E65947"/>
    <w:rsid w:val="542A128E"/>
    <w:rsid w:val="544113E6"/>
    <w:rsid w:val="54954EE5"/>
    <w:rsid w:val="54C6369A"/>
    <w:rsid w:val="54D04518"/>
    <w:rsid w:val="552C79A0"/>
    <w:rsid w:val="55317208"/>
    <w:rsid w:val="55376425"/>
    <w:rsid w:val="558D768C"/>
    <w:rsid w:val="562260D0"/>
    <w:rsid w:val="56463E1B"/>
    <w:rsid w:val="566E5D97"/>
    <w:rsid w:val="567477CB"/>
    <w:rsid w:val="567C3952"/>
    <w:rsid w:val="568D3B12"/>
    <w:rsid w:val="56921A85"/>
    <w:rsid w:val="56DA6CB5"/>
    <w:rsid w:val="574D67C4"/>
    <w:rsid w:val="575024A4"/>
    <w:rsid w:val="57786E78"/>
    <w:rsid w:val="57A4443B"/>
    <w:rsid w:val="57DD31D4"/>
    <w:rsid w:val="57F32908"/>
    <w:rsid w:val="580544D9"/>
    <w:rsid w:val="58AC2BA6"/>
    <w:rsid w:val="58C03626"/>
    <w:rsid w:val="591470C9"/>
    <w:rsid w:val="593E5EF4"/>
    <w:rsid w:val="594D7513"/>
    <w:rsid w:val="595839FA"/>
    <w:rsid w:val="5972081E"/>
    <w:rsid w:val="59C3464B"/>
    <w:rsid w:val="5A6F1F67"/>
    <w:rsid w:val="5A845B89"/>
    <w:rsid w:val="5A912F10"/>
    <w:rsid w:val="5AD1124F"/>
    <w:rsid w:val="5B0920E0"/>
    <w:rsid w:val="5B501F0F"/>
    <w:rsid w:val="5B8A71CF"/>
    <w:rsid w:val="5CA97F1F"/>
    <w:rsid w:val="5CB169DD"/>
    <w:rsid w:val="5D083198"/>
    <w:rsid w:val="5D1D22C5"/>
    <w:rsid w:val="5D38322E"/>
    <w:rsid w:val="5D3B014C"/>
    <w:rsid w:val="5D5E6B65"/>
    <w:rsid w:val="5D635E8F"/>
    <w:rsid w:val="5D817997"/>
    <w:rsid w:val="5DC67F05"/>
    <w:rsid w:val="5E3D1179"/>
    <w:rsid w:val="5E877A95"/>
    <w:rsid w:val="5E8819C0"/>
    <w:rsid w:val="5EE510C5"/>
    <w:rsid w:val="5F0F007C"/>
    <w:rsid w:val="5F1C0A86"/>
    <w:rsid w:val="5F750196"/>
    <w:rsid w:val="5FB54A36"/>
    <w:rsid w:val="5FC64D0E"/>
    <w:rsid w:val="5FD56505"/>
    <w:rsid w:val="5FD62FDB"/>
    <w:rsid w:val="5FE87890"/>
    <w:rsid w:val="5FEC14E0"/>
    <w:rsid w:val="603262EF"/>
    <w:rsid w:val="604007A4"/>
    <w:rsid w:val="605C4EB2"/>
    <w:rsid w:val="606D5311"/>
    <w:rsid w:val="60820DBC"/>
    <w:rsid w:val="60FA5571"/>
    <w:rsid w:val="611E4D98"/>
    <w:rsid w:val="611E5260"/>
    <w:rsid w:val="61412A26"/>
    <w:rsid w:val="615009B4"/>
    <w:rsid w:val="61E74A13"/>
    <w:rsid w:val="61E76E94"/>
    <w:rsid w:val="621D68D5"/>
    <w:rsid w:val="622D4D58"/>
    <w:rsid w:val="624F1172"/>
    <w:rsid w:val="628D3A49"/>
    <w:rsid w:val="62C07865"/>
    <w:rsid w:val="62E9687D"/>
    <w:rsid w:val="63497970"/>
    <w:rsid w:val="63A1155A"/>
    <w:rsid w:val="64041AE8"/>
    <w:rsid w:val="64616F3B"/>
    <w:rsid w:val="64850E7B"/>
    <w:rsid w:val="648F5856"/>
    <w:rsid w:val="654A5C21"/>
    <w:rsid w:val="65705687"/>
    <w:rsid w:val="657F58CB"/>
    <w:rsid w:val="65911904"/>
    <w:rsid w:val="659A5C5A"/>
    <w:rsid w:val="65AC6993"/>
    <w:rsid w:val="65B776B8"/>
    <w:rsid w:val="65F77B57"/>
    <w:rsid w:val="66652D12"/>
    <w:rsid w:val="66742345"/>
    <w:rsid w:val="66CA0BF5"/>
    <w:rsid w:val="672B53C1"/>
    <w:rsid w:val="67E11B40"/>
    <w:rsid w:val="68647EF3"/>
    <w:rsid w:val="68E5638C"/>
    <w:rsid w:val="68EA39A3"/>
    <w:rsid w:val="68F94E1B"/>
    <w:rsid w:val="69085BD7"/>
    <w:rsid w:val="69731BE6"/>
    <w:rsid w:val="69801C11"/>
    <w:rsid w:val="69B442F1"/>
    <w:rsid w:val="69ED127A"/>
    <w:rsid w:val="69F018F5"/>
    <w:rsid w:val="6A01794D"/>
    <w:rsid w:val="6A1F1065"/>
    <w:rsid w:val="6A330664"/>
    <w:rsid w:val="6A492CA3"/>
    <w:rsid w:val="6A6600BF"/>
    <w:rsid w:val="6AD77142"/>
    <w:rsid w:val="6AF04B38"/>
    <w:rsid w:val="6AFF7221"/>
    <w:rsid w:val="6B3E625B"/>
    <w:rsid w:val="6B403D4E"/>
    <w:rsid w:val="6B453112"/>
    <w:rsid w:val="6B480E55"/>
    <w:rsid w:val="6B7E4876"/>
    <w:rsid w:val="6B8359E9"/>
    <w:rsid w:val="6BD247D5"/>
    <w:rsid w:val="6C051B17"/>
    <w:rsid w:val="6C101972"/>
    <w:rsid w:val="6C950E61"/>
    <w:rsid w:val="6C9C6D62"/>
    <w:rsid w:val="6D915A4F"/>
    <w:rsid w:val="6DB76095"/>
    <w:rsid w:val="6DFF3A4C"/>
    <w:rsid w:val="6E8159A5"/>
    <w:rsid w:val="6E8E3022"/>
    <w:rsid w:val="6EA463A2"/>
    <w:rsid w:val="6EAC565D"/>
    <w:rsid w:val="6EB0168B"/>
    <w:rsid w:val="6EFE1F56"/>
    <w:rsid w:val="6F0B2A24"/>
    <w:rsid w:val="6F250E1D"/>
    <w:rsid w:val="6F2E3EBD"/>
    <w:rsid w:val="701027E0"/>
    <w:rsid w:val="701557A9"/>
    <w:rsid w:val="701B3393"/>
    <w:rsid w:val="70912956"/>
    <w:rsid w:val="70FF1FB5"/>
    <w:rsid w:val="71225C0C"/>
    <w:rsid w:val="7128150C"/>
    <w:rsid w:val="71297D55"/>
    <w:rsid w:val="714B51FB"/>
    <w:rsid w:val="71BC3A02"/>
    <w:rsid w:val="71F03DA9"/>
    <w:rsid w:val="72FC7376"/>
    <w:rsid w:val="73246F4A"/>
    <w:rsid w:val="73396F22"/>
    <w:rsid w:val="739E2F69"/>
    <w:rsid w:val="73B221D9"/>
    <w:rsid w:val="73B25680"/>
    <w:rsid w:val="74365CEE"/>
    <w:rsid w:val="74772D35"/>
    <w:rsid w:val="749A44CF"/>
    <w:rsid w:val="74D760B1"/>
    <w:rsid w:val="74EF031B"/>
    <w:rsid w:val="74EF57AE"/>
    <w:rsid w:val="7561323F"/>
    <w:rsid w:val="7581743D"/>
    <w:rsid w:val="75C85EFF"/>
    <w:rsid w:val="75DA6B4D"/>
    <w:rsid w:val="760F4A49"/>
    <w:rsid w:val="76380237"/>
    <w:rsid w:val="764E3D8F"/>
    <w:rsid w:val="766449C3"/>
    <w:rsid w:val="76B33F67"/>
    <w:rsid w:val="76B84D6D"/>
    <w:rsid w:val="76C91911"/>
    <w:rsid w:val="771244D7"/>
    <w:rsid w:val="771E3F3F"/>
    <w:rsid w:val="776203DB"/>
    <w:rsid w:val="77980A6E"/>
    <w:rsid w:val="77B00E21"/>
    <w:rsid w:val="78120744"/>
    <w:rsid w:val="78955EC2"/>
    <w:rsid w:val="78E308D4"/>
    <w:rsid w:val="79134850"/>
    <w:rsid w:val="792A094A"/>
    <w:rsid w:val="79415437"/>
    <w:rsid w:val="79435553"/>
    <w:rsid w:val="797942B0"/>
    <w:rsid w:val="797A1E18"/>
    <w:rsid w:val="799B77D5"/>
    <w:rsid w:val="79A951B4"/>
    <w:rsid w:val="79BC0A44"/>
    <w:rsid w:val="79D264B9"/>
    <w:rsid w:val="79EF706B"/>
    <w:rsid w:val="7A050ADC"/>
    <w:rsid w:val="7A163D77"/>
    <w:rsid w:val="7A330376"/>
    <w:rsid w:val="7A635363"/>
    <w:rsid w:val="7A974B72"/>
    <w:rsid w:val="7A9F42A7"/>
    <w:rsid w:val="7ABC4A73"/>
    <w:rsid w:val="7B07561D"/>
    <w:rsid w:val="7B6B0973"/>
    <w:rsid w:val="7BB5015A"/>
    <w:rsid w:val="7BCD746B"/>
    <w:rsid w:val="7BCE5364"/>
    <w:rsid w:val="7BD04C7A"/>
    <w:rsid w:val="7C2154D6"/>
    <w:rsid w:val="7C6A0C2B"/>
    <w:rsid w:val="7CA61109"/>
    <w:rsid w:val="7CC86220"/>
    <w:rsid w:val="7CFE1010"/>
    <w:rsid w:val="7D5A0C9F"/>
    <w:rsid w:val="7D602734"/>
    <w:rsid w:val="7D65637E"/>
    <w:rsid w:val="7D933BA1"/>
    <w:rsid w:val="7DBB0938"/>
    <w:rsid w:val="7DF51F7E"/>
    <w:rsid w:val="7E051A7C"/>
    <w:rsid w:val="7E173C3D"/>
    <w:rsid w:val="7EC468CC"/>
    <w:rsid w:val="7EDC55FB"/>
    <w:rsid w:val="7EE66E5D"/>
    <w:rsid w:val="7F0C421B"/>
    <w:rsid w:val="7F4D7BB8"/>
    <w:rsid w:val="7F511C2E"/>
    <w:rsid w:val="7F6556D9"/>
    <w:rsid w:val="7F857B2A"/>
    <w:rsid w:val="B7FA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spacing w:before="55"/>
      <w:jc w:val="center"/>
      <w:outlineLvl w:val="1"/>
    </w:pPr>
    <w:rPr>
      <w:rFonts w:ascii="宋体" w:hAnsi="宋体" w:eastAsia="宋体" w:cs="宋体"/>
      <w:b/>
      <w:bCs/>
      <w:sz w:val="32"/>
      <w:szCs w:val="32"/>
    </w:rPr>
  </w:style>
  <w:style w:type="paragraph" w:styleId="4">
    <w:name w:val="heading 3"/>
    <w:basedOn w:val="1"/>
    <w:next w:val="1"/>
    <w:autoRedefine/>
    <w:unhideWhenUsed/>
    <w:qFormat/>
    <w:uiPriority w:val="9"/>
    <w:pPr>
      <w:keepNext/>
      <w:keepLines/>
      <w:jc w:val="center"/>
      <w:outlineLvl w:val="2"/>
    </w:pPr>
    <w:rPr>
      <w:b/>
      <w:bCs/>
      <w:szCs w:val="32"/>
    </w:rPr>
  </w:style>
  <w:style w:type="paragraph" w:styleId="5">
    <w:name w:val="heading 4"/>
    <w:basedOn w:val="1"/>
    <w:next w:val="1"/>
    <w:autoRedefine/>
    <w:qFormat/>
    <w:uiPriority w:val="0"/>
    <w:pPr>
      <w:keepNext/>
      <w:keepLines/>
      <w:outlineLvl w:val="3"/>
    </w:pPr>
    <w:rPr>
      <w:rFonts w:ascii="Arial" w:hAnsi="Arial" w:eastAsia="黑体"/>
      <w:bCs/>
      <w:kern w:val="0"/>
      <w:sz w:val="24"/>
      <w:szCs w:val="28"/>
    </w:rPr>
  </w:style>
  <w:style w:type="paragraph" w:styleId="6">
    <w:name w:val="heading 5"/>
    <w:basedOn w:val="1"/>
    <w:next w:val="1"/>
    <w:autoRedefine/>
    <w:qFormat/>
    <w:uiPriority w:val="0"/>
    <w:pPr>
      <w:keepNext/>
      <w:keepLines/>
      <w:spacing w:before="280" w:beforeLines="0" w:after="290" w:afterLines="0" w:line="376" w:lineRule="auto"/>
      <w:outlineLvl w:val="4"/>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7">
    <w:name w:val="table of authorities"/>
    <w:basedOn w:val="1"/>
    <w:next w:val="1"/>
    <w:autoRedefine/>
    <w:qFormat/>
    <w:uiPriority w:val="99"/>
    <w:pPr>
      <w:ind w:left="420" w:leftChars="200"/>
    </w:pPr>
  </w:style>
  <w:style w:type="paragraph" w:styleId="8">
    <w:name w:val="Normal Indent"/>
    <w:basedOn w:val="1"/>
    <w:next w:val="1"/>
    <w:autoRedefine/>
    <w:qFormat/>
    <w:uiPriority w:val="0"/>
    <w:pPr>
      <w:spacing w:line="425" w:lineRule="atLeast"/>
      <w:ind w:firstLine="420" w:firstLineChars="200"/>
    </w:pPr>
    <w:rPr>
      <w:rFonts w:ascii="Times New Roman" w:hAnsi="Times New Roman" w:eastAsia="宋体" w:cs="Times New Roman"/>
      <w:szCs w:val="20"/>
      <w:u w:color="000000"/>
    </w:rPr>
  </w:style>
  <w:style w:type="paragraph" w:styleId="9">
    <w:name w:val="annotation text"/>
    <w:basedOn w:val="1"/>
    <w:autoRedefine/>
    <w:qFormat/>
    <w:uiPriority w:val="0"/>
    <w:pPr>
      <w:jc w:val="left"/>
    </w:pPr>
  </w:style>
  <w:style w:type="paragraph" w:styleId="10">
    <w:name w:val="Body Text"/>
    <w:basedOn w:val="1"/>
    <w:autoRedefine/>
    <w:qFormat/>
    <w:uiPriority w:val="1"/>
    <w:rPr>
      <w:rFonts w:ascii="宋体" w:hAnsi="宋体" w:eastAsia="宋体" w:cs="宋体"/>
    </w:rPr>
  </w:style>
  <w:style w:type="paragraph" w:styleId="11">
    <w:name w:val="Body Text Indent"/>
    <w:basedOn w:val="1"/>
    <w:next w:val="12"/>
    <w:link w:val="61"/>
    <w:autoRedefine/>
    <w:qFormat/>
    <w:uiPriority w:val="0"/>
    <w:pPr>
      <w:spacing w:after="120"/>
      <w:ind w:left="420" w:leftChars="200"/>
    </w:pPr>
  </w:style>
  <w:style w:type="paragraph" w:styleId="12">
    <w:name w:val="envelope return"/>
    <w:basedOn w:val="1"/>
    <w:autoRedefine/>
    <w:qFormat/>
    <w:uiPriority w:val="0"/>
    <w:pPr>
      <w:snapToGrid w:val="0"/>
    </w:pPr>
    <w:rPr>
      <w:rFonts w:ascii="Arial" w:hAnsi="Arial"/>
    </w:rPr>
  </w:style>
  <w:style w:type="paragraph" w:styleId="13">
    <w:name w:val="index 4"/>
    <w:basedOn w:val="1"/>
    <w:next w:val="1"/>
    <w:autoRedefine/>
    <w:qFormat/>
    <w:uiPriority w:val="0"/>
    <w:pPr>
      <w:spacing w:beforeLines="40" w:afterLines="40" w:line="300" w:lineRule="auto"/>
      <w:ind w:left="600" w:leftChars="600"/>
    </w:pPr>
    <w:rPr>
      <w:rFonts w:ascii="Times New Roman" w:hAnsi="Times New Roman"/>
      <w:sz w:val="24"/>
      <w:szCs w:val="24"/>
    </w:rPr>
  </w:style>
  <w:style w:type="paragraph" w:styleId="14">
    <w:name w:val="toc 3"/>
    <w:basedOn w:val="1"/>
    <w:next w:val="1"/>
    <w:autoRedefine/>
    <w:qFormat/>
    <w:uiPriority w:val="0"/>
    <w:pPr>
      <w:ind w:left="840" w:leftChars="400"/>
    </w:pPr>
  </w:style>
  <w:style w:type="paragraph" w:styleId="15">
    <w:name w:val="Plain Text"/>
    <w:basedOn w:val="1"/>
    <w:next w:val="1"/>
    <w:autoRedefine/>
    <w:qFormat/>
    <w:uiPriority w:val="99"/>
    <w:pPr>
      <w:autoSpaceDE w:val="0"/>
      <w:autoSpaceDN w:val="0"/>
      <w:adjustRightInd w:val="0"/>
    </w:pPr>
    <w:rPr>
      <w:rFonts w:ascii="宋体" w:hAnsi="Tms Rmn"/>
      <w:kern w:val="0"/>
      <w:szCs w:val="20"/>
    </w:rPr>
  </w:style>
  <w:style w:type="paragraph" w:styleId="16">
    <w:name w:val="footer"/>
    <w:basedOn w:val="1"/>
    <w:autoRedefine/>
    <w:qFormat/>
    <w:uiPriority w:val="0"/>
    <w:pPr>
      <w:tabs>
        <w:tab w:val="center" w:pos="4153"/>
        <w:tab w:val="right" w:pos="8306"/>
      </w:tabs>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8">
    <w:name w:val="toc 1"/>
    <w:basedOn w:val="1"/>
    <w:next w:val="1"/>
    <w:autoRedefine/>
    <w:qFormat/>
    <w:uiPriority w:val="0"/>
  </w:style>
  <w:style w:type="paragraph" w:styleId="19">
    <w:name w:val="Subtitle"/>
    <w:basedOn w:val="1"/>
    <w:next w:val="1"/>
    <w:link w:val="63"/>
    <w:autoRedefine/>
    <w:qFormat/>
    <w:uiPriority w:val="0"/>
    <w:pPr>
      <w:widowControl w:val="0"/>
      <w:kinsoku/>
      <w:autoSpaceDE/>
      <w:autoSpaceDN/>
      <w:adjustRightInd/>
      <w:snapToGrid/>
      <w:spacing w:before="240" w:after="60" w:line="312" w:lineRule="auto"/>
      <w:jc w:val="center"/>
      <w:textAlignment w:val="auto"/>
      <w:outlineLvl w:val="1"/>
    </w:pPr>
    <w:rPr>
      <w:rFonts w:ascii="Cambria" w:hAnsi="Cambria" w:eastAsia="宋体" w:cs="Times New Roman"/>
      <w:b/>
      <w:bCs/>
      <w:snapToGrid/>
      <w:color w:val="auto"/>
      <w:kern w:val="28"/>
      <w:sz w:val="32"/>
      <w:szCs w:val="32"/>
    </w:rPr>
  </w:style>
  <w:style w:type="paragraph" w:styleId="20">
    <w:name w:val="footnote text"/>
    <w:basedOn w:val="1"/>
    <w:autoRedefine/>
    <w:unhideWhenUsed/>
    <w:qFormat/>
    <w:uiPriority w:val="99"/>
    <w:pPr>
      <w:tabs>
        <w:tab w:val="left" w:pos="420"/>
      </w:tabs>
      <w:snapToGrid w:val="0"/>
    </w:pPr>
    <w:rPr>
      <w:sz w:val="18"/>
      <w:szCs w:val="18"/>
    </w:rPr>
  </w:style>
  <w:style w:type="paragraph" w:styleId="21">
    <w:name w:val="toc 2"/>
    <w:basedOn w:val="1"/>
    <w:next w:val="1"/>
    <w:autoRedefine/>
    <w:qFormat/>
    <w:uiPriority w:val="0"/>
    <w:pPr>
      <w:ind w:left="420" w:leftChars="200"/>
    </w:pPr>
  </w:style>
  <w:style w:type="paragraph" w:styleId="22">
    <w:name w:val="Body Text 2"/>
    <w:basedOn w:val="1"/>
    <w:next w:val="10"/>
    <w:autoRedefine/>
    <w:qFormat/>
    <w:uiPriority w:val="0"/>
    <w:pPr>
      <w:suppressAutoHyphens/>
    </w:pPr>
    <w:rPr>
      <w:rFonts w:ascii="Calibri" w:hAnsi="Calibri" w:eastAsia="宋体" w:cs="Times New Roman"/>
      <w:sz w:val="28"/>
      <w:szCs w:val="28"/>
    </w:rPr>
  </w:style>
  <w:style w:type="paragraph" w:styleId="23">
    <w:name w:val="Normal (Web)"/>
    <w:basedOn w:val="1"/>
    <w:autoRedefine/>
    <w:qFormat/>
    <w:uiPriority w:val="0"/>
    <w:pPr>
      <w:spacing w:before="100" w:beforeAutospacing="1" w:after="100" w:afterAutospacing="1"/>
    </w:pPr>
    <w:rPr>
      <w:rFonts w:cs="Times New Roman"/>
      <w:sz w:val="24"/>
    </w:rPr>
  </w:style>
  <w:style w:type="paragraph" w:styleId="24">
    <w:name w:val="Body Text First Indent"/>
    <w:basedOn w:val="10"/>
    <w:autoRedefine/>
    <w:qFormat/>
    <w:uiPriority w:val="0"/>
    <w:pPr>
      <w:ind w:firstLine="420" w:firstLineChars="100"/>
    </w:pPr>
  </w:style>
  <w:style w:type="paragraph" w:styleId="25">
    <w:name w:val="Body Text First Indent 2"/>
    <w:basedOn w:val="11"/>
    <w:next w:val="1"/>
    <w:autoRedefine/>
    <w:unhideWhenUsed/>
    <w:qFormat/>
    <w:uiPriority w:val="99"/>
    <w:pPr>
      <w:ind w:firstLine="420" w:firstLineChars="2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style>
  <w:style w:type="character" w:styleId="30">
    <w:name w:val="FollowedHyperlink"/>
    <w:basedOn w:val="28"/>
    <w:autoRedefine/>
    <w:qFormat/>
    <w:uiPriority w:val="0"/>
    <w:rPr>
      <w:color w:val="333333"/>
      <w:u w:val="none"/>
    </w:rPr>
  </w:style>
  <w:style w:type="character" w:styleId="31">
    <w:name w:val="Emphasis"/>
    <w:basedOn w:val="28"/>
    <w:autoRedefine/>
    <w:qFormat/>
    <w:uiPriority w:val="0"/>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0"/>
    <w:rPr>
      <w:color w:val="333333"/>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hint="default" w:ascii="monospace" w:hAnsi="monospace" w:eastAsia="monospace" w:cs="monospace"/>
      <w:sz w:val="20"/>
    </w:rPr>
  </w:style>
  <w:style w:type="character" w:styleId="40">
    <w:name w:val="HTML Sample"/>
    <w:basedOn w:val="28"/>
    <w:autoRedefine/>
    <w:qFormat/>
    <w:uiPriority w:val="0"/>
    <w:rPr>
      <w:rFonts w:ascii="monospace" w:hAnsi="monospace" w:eastAsia="monospace" w:cs="monospace"/>
    </w:rPr>
  </w:style>
  <w:style w:type="paragraph" w:customStyle="1" w:styleId="41">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style4"/>
    <w:basedOn w:val="1"/>
    <w:next w:val="43"/>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4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44">
    <w:name w:val="无间隔1"/>
    <w:basedOn w:val="1"/>
    <w:autoRedefine/>
    <w:qFormat/>
    <w:uiPriority w:val="99"/>
    <w:pPr>
      <w:spacing w:line="400" w:lineRule="exact"/>
    </w:p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customStyle="1" w:styleId="46">
    <w:name w:val="Table Paragraph"/>
    <w:basedOn w:val="1"/>
    <w:autoRedefine/>
    <w:qFormat/>
    <w:uiPriority w:val="1"/>
    <w:rPr>
      <w:rFonts w:ascii="宋体" w:hAnsi="宋体" w:eastAsia="宋体" w:cs="宋体"/>
    </w:rPr>
  </w:style>
  <w:style w:type="character" w:customStyle="1" w:styleId="47">
    <w:name w:val="fontstyle01"/>
    <w:basedOn w:val="28"/>
    <w:autoRedefine/>
    <w:qFormat/>
    <w:uiPriority w:val="0"/>
    <w:rPr>
      <w:rFonts w:hint="eastAsia" w:ascii="宋体" w:hAnsi="宋体" w:eastAsia="宋体"/>
      <w:color w:val="000000"/>
      <w:sz w:val="30"/>
      <w:szCs w:val="30"/>
    </w:rPr>
  </w:style>
  <w:style w:type="paragraph" w:customStyle="1" w:styleId="48">
    <w:name w:val="Pa0"/>
    <w:basedOn w:val="1"/>
    <w:next w:val="1"/>
    <w:autoRedefine/>
    <w:qFormat/>
    <w:uiPriority w:val="99"/>
    <w:pPr>
      <w:spacing w:line="241" w:lineRule="atLeast"/>
    </w:pPr>
    <w:rPr>
      <w:rFonts w:ascii="Yu Gothic UI Light" w:hAnsi="Calibri" w:eastAsia="Yu Gothic UI Light" w:cs="Times New Roman"/>
      <w:szCs w:val="24"/>
    </w:rPr>
  </w:style>
  <w:style w:type="paragraph" w:customStyle="1" w:styleId="49">
    <w:name w:val="列出段落1"/>
    <w:basedOn w:val="1"/>
    <w:autoRedefine/>
    <w:qFormat/>
    <w:uiPriority w:val="34"/>
    <w:pPr>
      <w:ind w:firstLine="420" w:firstLineChars="200"/>
    </w:pPr>
  </w:style>
  <w:style w:type="paragraph" w:customStyle="1" w:styleId="50">
    <w:name w:val="列出段落11"/>
    <w:basedOn w:val="1"/>
    <w:autoRedefine/>
    <w:qFormat/>
    <w:uiPriority w:val="0"/>
    <w:pPr>
      <w:ind w:firstLine="420" w:firstLineChars="200"/>
    </w:pPr>
    <w:rPr>
      <w:rFonts w:ascii="Calibri" w:hAnsi="Calibri" w:eastAsia="宋体" w:cs="Times New Roman"/>
    </w:rPr>
  </w:style>
  <w:style w:type="character" w:customStyle="1" w:styleId="51">
    <w:name w:val="font31"/>
    <w:basedOn w:val="28"/>
    <w:autoRedefine/>
    <w:qFormat/>
    <w:uiPriority w:val="0"/>
    <w:rPr>
      <w:rFonts w:hint="eastAsia" w:ascii="微软雅黑" w:hAnsi="微软雅黑" w:eastAsia="微软雅黑" w:cs="微软雅黑"/>
      <w:color w:val="000000"/>
      <w:sz w:val="16"/>
      <w:szCs w:val="16"/>
      <w:u w:val="none"/>
    </w:rPr>
  </w:style>
  <w:style w:type="character" w:customStyle="1" w:styleId="52">
    <w:name w:val="font41"/>
    <w:basedOn w:val="28"/>
    <w:autoRedefine/>
    <w:qFormat/>
    <w:uiPriority w:val="0"/>
    <w:rPr>
      <w:rFonts w:ascii="Arial" w:hAnsi="Arial" w:cs="Arial"/>
      <w:color w:val="000000"/>
      <w:sz w:val="16"/>
      <w:szCs w:val="16"/>
      <w:u w:val="none"/>
    </w:rPr>
  </w:style>
  <w:style w:type="character" w:customStyle="1" w:styleId="53">
    <w:name w:val="font21"/>
    <w:basedOn w:val="28"/>
    <w:autoRedefine/>
    <w:qFormat/>
    <w:uiPriority w:val="0"/>
    <w:rPr>
      <w:rFonts w:hint="eastAsia" w:ascii="宋体" w:hAnsi="宋体" w:eastAsia="宋体" w:cs="宋体"/>
      <w:color w:val="000000"/>
      <w:sz w:val="21"/>
      <w:szCs w:val="21"/>
      <w:u w:val="none"/>
    </w:rPr>
  </w:style>
  <w:style w:type="character" w:customStyle="1" w:styleId="54">
    <w:name w:val="font11"/>
    <w:basedOn w:val="28"/>
    <w:autoRedefine/>
    <w:qFormat/>
    <w:uiPriority w:val="0"/>
    <w:rPr>
      <w:rFonts w:hint="eastAsia" w:ascii="宋体" w:hAnsi="宋体" w:eastAsia="宋体" w:cs="宋体"/>
      <w:color w:val="000000"/>
      <w:sz w:val="24"/>
      <w:szCs w:val="24"/>
      <w:u w:val="none"/>
    </w:rPr>
  </w:style>
  <w:style w:type="character" w:customStyle="1" w:styleId="55">
    <w:name w:val="font61"/>
    <w:basedOn w:val="28"/>
    <w:autoRedefine/>
    <w:qFormat/>
    <w:uiPriority w:val="0"/>
    <w:rPr>
      <w:rFonts w:hint="eastAsia" w:ascii="宋体" w:hAnsi="宋体" w:eastAsia="宋体" w:cs="宋体"/>
      <w:color w:val="000000"/>
      <w:sz w:val="22"/>
      <w:szCs w:val="22"/>
      <w:u w:val="none"/>
    </w:rPr>
  </w:style>
  <w:style w:type="character" w:customStyle="1" w:styleId="56">
    <w:name w:val="font81"/>
    <w:basedOn w:val="28"/>
    <w:autoRedefine/>
    <w:qFormat/>
    <w:uiPriority w:val="0"/>
    <w:rPr>
      <w:rFonts w:ascii="Arial" w:hAnsi="Arial" w:cs="Arial"/>
      <w:color w:val="000000"/>
      <w:sz w:val="22"/>
      <w:szCs w:val="22"/>
      <w:u w:val="none"/>
    </w:rPr>
  </w:style>
  <w:style w:type="character" w:customStyle="1" w:styleId="57">
    <w:name w:val="font91"/>
    <w:basedOn w:val="28"/>
    <w:autoRedefine/>
    <w:qFormat/>
    <w:uiPriority w:val="0"/>
    <w:rPr>
      <w:rFonts w:ascii="宋体" w:hAnsi="宋体" w:eastAsia="宋体" w:cs="宋体"/>
      <w:color w:val="000000"/>
      <w:sz w:val="22"/>
      <w:szCs w:val="22"/>
      <w:u w:val="none"/>
    </w:rPr>
  </w:style>
  <w:style w:type="character" w:customStyle="1" w:styleId="58">
    <w:name w:val="font101"/>
    <w:basedOn w:val="28"/>
    <w:autoRedefine/>
    <w:qFormat/>
    <w:uiPriority w:val="0"/>
    <w:rPr>
      <w:rFonts w:hint="default" w:ascii="Times New Roman" w:hAnsi="Times New Roman" w:cs="Times New Roman"/>
      <w:color w:val="000000"/>
      <w:sz w:val="22"/>
      <w:szCs w:val="22"/>
      <w:u w:val="none"/>
    </w:rPr>
  </w:style>
  <w:style w:type="character" w:customStyle="1" w:styleId="59">
    <w:name w:val="font51"/>
    <w:basedOn w:val="28"/>
    <w:autoRedefine/>
    <w:qFormat/>
    <w:uiPriority w:val="0"/>
    <w:rPr>
      <w:rFonts w:hint="default" w:ascii="Times New Roman" w:hAnsi="Times New Roman" w:cs="Times New Roman"/>
      <w:color w:val="000000"/>
      <w:sz w:val="22"/>
      <w:szCs w:val="22"/>
      <w:u w:val="none"/>
    </w:rPr>
  </w:style>
  <w:style w:type="paragraph" w:customStyle="1" w:styleId="60">
    <w:name w:val="样式"/>
    <w:basedOn w:val="1"/>
    <w:autoRedefine/>
    <w:qFormat/>
    <w:uiPriority w:val="0"/>
    <w:pPr>
      <w:widowControl w:val="0"/>
      <w:kinsoku/>
      <w:snapToGrid/>
      <w:textAlignment w:val="auto"/>
    </w:pPr>
    <w:rPr>
      <w:rFonts w:ascii="宋体" w:hAnsi="宋体" w:eastAsia="宋体" w:cs="宋体"/>
      <w:snapToGrid/>
      <w:color w:val="auto"/>
      <w:sz w:val="24"/>
      <w:szCs w:val="24"/>
    </w:rPr>
  </w:style>
  <w:style w:type="character" w:customStyle="1" w:styleId="61">
    <w:name w:val="正文文本缩进 Char"/>
    <w:basedOn w:val="28"/>
    <w:link w:val="11"/>
    <w:autoRedefine/>
    <w:qFormat/>
    <w:uiPriority w:val="0"/>
    <w:rPr>
      <w:rFonts w:ascii="Arial" w:hAnsi="Arial" w:eastAsia="Arial" w:cs="Arial"/>
      <w:snapToGrid w:val="0"/>
      <w:color w:val="000000"/>
      <w:sz w:val="21"/>
      <w:szCs w:val="21"/>
    </w:rPr>
  </w:style>
  <w:style w:type="paragraph" w:customStyle="1" w:styleId="62">
    <w:name w:val="Body text|2"/>
    <w:basedOn w:val="1"/>
    <w:autoRedefine/>
    <w:qFormat/>
    <w:uiPriority w:val="0"/>
    <w:pPr>
      <w:widowControl w:val="0"/>
      <w:kinsoku/>
      <w:autoSpaceDE/>
      <w:autoSpaceDN/>
      <w:adjustRightInd/>
      <w:snapToGrid/>
      <w:spacing w:after="420" w:line="393" w:lineRule="exact"/>
      <w:jc w:val="center"/>
      <w:textAlignment w:val="auto"/>
    </w:pPr>
    <w:rPr>
      <w:rFonts w:ascii="MingLiU-ExtB" w:hAnsi="MingLiU-ExtB" w:eastAsia="MingLiU-ExtB" w:cs="MingLiU-ExtB"/>
      <w:snapToGrid/>
      <w:color w:val="auto"/>
      <w:kern w:val="2"/>
      <w:lang w:val="zh-TW" w:eastAsia="zh-TW" w:bidi="zh-TW"/>
    </w:rPr>
  </w:style>
  <w:style w:type="character" w:customStyle="1" w:styleId="63">
    <w:name w:val="副标题 Char"/>
    <w:basedOn w:val="28"/>
    <w:link w:val="19"/>
    <w:autoRedefine/>
    <w:qFormat/>
    <w:uiPriority w:val="0"/>
    <w:rPr>
      <w:rFonts w:ascii="Cambria" w:hAnsi="Cambria"/>
      <w:b/>
      <w:bCs/>
      <w:kern w:val="28"/>
      <w:sz w:val="32"/>
      <w:szCs w:val="32"/>
    </w:rPr>
  </w:style>
  <w:style w:type="paragraph" w:customStyle="1" w:styleId="64">
    <w:name w:val="BodyText"/>
    <w:basedOn w:val="1"/>
    <w:autoRedefine/>
    <w:qFormat/>
    <w:uiPriority w:val="0"/>
    <w:pPr>
      <w:widowControl w:val="0"/>
      <w:kinsoku/>
      <w:autoSpaceDE/>
      <w:autoSpaceDN/>
      <w:adjustRightInd/>
      <w:snapToGrid/>
      <w:spacing w:after="120" w:line="360" w:lineRule="auto"/>
      <w:jc w:val="both"/>
    </w:pPr>
    <w:rPr>
      <w:rFonts w:ascii="Times New Roman" w:hAnsi="Times New Roman" w:eastAsia="宋体" w:cs="Times New Roman"/>
      <w:snapToGrid/>
      <w:color w:val="auto"/>
      <w:kern w:val="2"/>
      <w:szCs w:val="22"/>
    </w:rPr>
  </w:style>
  <w:style w:type="paragraph" w:customStyle="1" w:styleId="65">
    <w:name w:val="Body text|1"/>
    <w:basedOn w:val="1"/>
    <w:autoRedefine/>
    <w:qFormat/>
    <w:uiPriority w:val="99"/>
    <w:pPr>
      <w:spacing w:line="466" w:lineRule="exact"/>
      <w:ind w:firstLine="480"/>
      <w:jc w:val="left"/>
    </w:pPr>
    <w:rPr>
      <w:rFonts w:ascii="宋体" w:hAnsi="宋体" w:eastAsia="宋体" w:cs="宋体"/>
      <w:kern w:val="0"/>
      <w:sz w:val="26"/>
      <w:szCs w:val="26"/>
      <w:lang w:val="zh-TW" w:eastAsia="zh-TW"/>
    </w:rPr>
  </w:style>
  <w:style w:type="character" w:customStyle="1" w:styleId="66">
    <w:name w:val="font71"/>
    <w:basedOn w:val="28"/>
    <w:autoRedefine/>
    <w:qFormat/>
    <w:uiPriority w:val="0"/>
    <w:rPr>
      <w:rFonts w:hint="default" w:ascii="Times New Roman" w:hAnsi="Times New Roman" w:cs="Times New Roman"/>
      <w:b/>
      <w:bCs/>
      <w:color w:val="000000"/>
      <w:sz w:val="20"/>
      <w:szCs w:val="20"/>
      <w:u w:val="none"/>
    </w:rPr>
  </w:style>
  <w:style w:type="paragraph" w:customStyle="1" w:styleId="67">
    <w:name w:val="_Style 45"/>
    <w:basedOn w:val="1"/>
    <w:next w:val="1"/>
    <w:autoRedefine/>
    <w:qFormat/>
    <w:uiPriority w:val="0"/>
    <w:pPr>
      <w:pBdr>
        <w:bottom w:val="single" w:color="auto" w:sz="6" w:space="1"/>
      </w:pBdr>
      <w:jc w:val="center"/>
    </w:pPr>
    <w:rPr>
      <w:rFonts w:ascii="Arial" w:eastAsia="宋体"/>
      <w:vanish/>
      <w:sz w:val="16"/>
    </w:rPr>
  </w:style>
  <w:style w:type="paragraph" w:customStyle="1" w:styleId="68">
    <w:name w:val="_Style 46"/>
    <w:basedOn w:val="1"/>
    <w:next w:val="1"/>
    <w:autoRedefine/>
    <w:qFormat/>
    <w:uiPriority w:val="0"/>
    <w:pPr>
      <w:pBdr>
        <w:top w:val="single" w:color="auto" w:sz="6" w:space="1"/>
      </w:pBdr>
      <w:jc w:val="center"/>
    </w:pPr>
    <w:rPr>
      <w:rFonts w:ascii="Arial" w:eastAsia="宋体"/>
      <w:vanish/>
      <w:sz w:val="16"/>
    </w:rPr>
  </w:style>
  <w:style w:type="character" w:customStyle="1" w:styleId="69">
    <w:name w:val="font01"/>
    <w:basedOn w:val="28"/>
    <w:autoRedefine/>
    <w:qFormat/>
    <w:uiPriority w:val="0"/>
    <w:rPr>
      <w:rFonts w:hint="eastAsia" w:ascii="宋体" w:hAnsi="宋体" w:eastAsia="宋体" w:cs="宋体"/>
      <w:color w:val="000000"/>
      <w:sz w:val="24"/>
      <w:szCs w:val="24"/>
      <w:u w:val="none"/>
    </w:rPr>
  </w:style>
  <w:style w:type="character" w:customStyle="1" w:styleId="70">
    <w:name w:val="font111"/>
    <w:basedOn w:val="28"/>
    <w:autoRedefine/>
    <w:qFormat/>
    <w:uiPriority w:val="0"/>
    <w:rPr>
      <w:rFonts w:hint="eastAsia" w:ascii="等线" w:hAnsi="等线" w:eastAsia="等线" w:cs="等线"/>
      <w:b/>
      <w:bCs/>
      <w:color w:val="000000"/>
      <w:sz w:val="21"/>
      <w:szCs w:val="21"/>
      <w:u w:val="none"/>
    </w:rPr>
  </w:style>
  <w:style w:type="character" w:customStyle="1" w:styleId="71">
    <w:name w:val="font171"/>
    <w:basedOn w:val="28"/>
    <w:autoRedefine/>
    <w:qFormat/>
    <w:uiPriority w:val="0"/>
    <w:rPr>
      <w:rFonts w:hint="eastAsia" w:ascii="宋体" w:hAnsi="宋体" w:eastAsia="宋体" w:cs="宋体"/>
      <w:b/>
      <w:bCs/>
      <w:color w:val="000000"/>
      <w:sz w:val="18"/>
      <w:szCs w:val="18"/>
      <w:u w:val="none"/>
    </w:rPr>
  </w:style>
  <w:style w:type="character" w:customStyle="1" w:styleId="72">
    <w:name w:val="font181"/>
    <w:basedOn w:val="28"/>
    <w:autoRedefine/>
    <w:qFormat/>
    <w:uiPriority w:val="0"/>
    <w:rPr>
      <w:rFonts w:hint="eastAsia" w:ascii="宋体" w:hAnsi="宋体" w:eastAsia="宋体" w:cs="宋体"/>
      <w:b/>
      <w:bCs/>
      <w:color w:val="000000"/>
      <w:sz w:val="20"/>
      <w:szCs w:val="20"/>
      <w:u w:val="none"/>
    </w:rPr>
  </w:style>
  <w:style w:type="paragraph" w:customStyle="1" w:styleId="7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74">
    <w:name w:val="首行缩进"/>
    <w:basedOn w:val="1"/>
    <w:autoRedefine/>
    <w:qFormat/>
    <w:uiPriority w:val="0"/>
    <w:pPr>
      <w:ind w:firstLine="480" w:firstLineChars="200"/>
    </w:pPr>
    <w:rPr>
      <w:szCs w:val="20"/>
      <w:lang w:val="zh-CN"/>
    </w:rPr>
  </w:style>
  <w:style w:type="paragraph" w:styleId="75">
    <w:name w:val="List Paragraph"/>
    <w:basedOn w:val="1"/>
    <w:autoRedefine/>
    <w:qFormat/>
    <w:uiPriority w:val="34"/>
    <w:pPr>
      <w:ind w:firstLine="420" w:firstLineChars="200"/>
    </w:pPr>
  </w:style>
  <w:style w:type="character" w:customStyle="1" w:styleId="76">
    <w:name w:val="font122"/>
    <w:basedOn w:val="28"/>
    <w:autoRedefine/>
    <w:qFormat/>
    <w:uiPriority w:val="0"/>
    <w:rPr>
      <w:rFonts w:hint="default" w:ascii="Times New Roman" w:hAnsi="Times New Roman" w:cs="Times New Roman"/>
      <w:color w:val="000000"/>
      <w:sz w:val="18"/>
      <w:szCs w:val="18"/>
      <w:u w:val="none"/>
    </w:rPr>
  </w:style>
  <w:style w:type="paragraph" w:customStyle="1" w:styleId="77">
    <w:name w:val="Body Text First Indent 21"/>
    <w:basedOn w:val="78"/>
    <w:autoRedefine/>
    <w:qFormat/>
    <w:uiPriority w:val="0"/>
    <w:pPr>
      <w:ind w:firstLine="420" w:firstLineChars="200"/>
    </w:pPr>
  </w:style>
  <w:style w:type="paragraph" w:customStyle="1" w:styleId="78">
    <w:name w:val="Body Text Indent1"/>
    <w:basedOn w:val="1"/>
    <w:autoRedefine/>
    <w:qFormat/>
    <w:uiPriority w:val="0"/>
    <w:pPr>
      <w:spacing w:after="120"/>
      <w:ind w:left="420" w:leftChars="200"/>
    </w:pPr>
  </w:style>
  <w:style w:type="character" w:customStyle="1" w:styleId="79">
    <w:name w:val="first-child"/>
    <w:basedOn w:val="28"/>
    <w:qFormat/>
    <w:uiPriority w:val="0"/>
  </w:style>
  <w:style w:type="character" w:customStyle="1" w:styleId="80">
    <w:name w:val="first-child1"/>
    <w:basedOn w:val="28"/>
    <w:qFormat/>
    <w:uiPriority w:val="0"/>
  </w:style>
  <w:style w:type="character" w:customStyle="1" w:styleId="81">
    <w:name w:val="nth-child(n+2)"/>
    <w:basedOn w:val="28"/>
    <w:qFormat/>
    <w:uiPriority w:val="0"/>
  </w:style>
  <w:style w:type="character" w:customStyle="1" w:styleId="82">
    <w:name w:val="layui-layer-tabnow"/>
    <w:basedOn w:val="2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header" Target="header2.xml"/><Relationship Id="rId49" Type="http://schemas.openxmlformats.org/officeDocument/2006/relationships/image" Target="media/image37.png"/><Relationship Id="rId48" Type="http://schemas.openxmlformats.org/officeDocument/2006/relationships/image" Target="media/image36.png"/><Relationship Id="rId47" Type="http://schemas.openxmlformats.org/officeDocument/2006/relationships/image" Target="media/image35.png"/><Relationship Id="rId46" Type="http://schemas.openxmlformats.org/officeDocument/2006/relationships/image" Target="media/image34.png"/><Relationship Id="rId45" Type="http://schemas.openxmlformats.org/officeDocument/2006/relationships/image" Target="media/image33.png"/><Relationship Id="rId44" Type="http://schemas.openxmlformats.org/officeDocument/2006/relationships/image" Target="media/image32.png"/><Relationship Id="rId43" Type="http://schemas.openxmlformats.org/officeDocument/2006/relationships/image" Target="media/image31.png"/><Relationship Id="rId42" Type="http://schemas.openxmlformats.org/officeDocument/2006/relationships/image" Target="media/image30.png"/><Relationship Id="rId41" Type="http://schemas.openxmlformats.org/officeDocument/2006/relationships/image" Target="media/image29.png"/><Relationship Id="rId40" Type="http://schemas.openxmlformats.org/officeDocument/2006/relationships/image" Target="media/image28.png"/><Relationship Id="rId4" Type="http://schemas.openxmlformats.org/officeDocument/2006/relationships/footer" Target="footer1.xml"/><Relationship Id="rId39" Type="http://schemas.openxmlformats.org/officeDocument/2006/relationships/image" Target="media/image27.png"/><Relationship Id="rId38" Type="http://schemas.openxmlformats.org/officeDocument/2006/relationships/image" Target="media/image26.png"/><Relationship Id="rId37" Type="http://schemas.openxmlformats.org/officeDocument/2006/relationships/image" Target="media/image25.png"/><Relationship Id="rId36" Type="http://schemas.openxmlformats.org/officeDocument/2006/relationships/image" Target="media/image24.png"/><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375</Words>
  <Characters>426</Characters>
  <Lines>1711</Lines>
  <Paragraphs>481</Paragraphs>
  <TotalTime>25</TotalTime>
  <ScaleCrop>false</ScaleCrop>
  <LinksUpToDate>false</LinksUpToDate>
  <CharactersWithSpaces>466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2022-02-15T02:48:00Z</dcterms:created>
  <dc:creator>User</dc:creator>
  <cp:lastModifiedBy>陈旸</cp:lastModifiedBy>
  <cp:lastPrinted>2022-09-13T09:34:00Z</cp:lastPrinted>
  <dcterms:modified xsi:type="dcterms:W3CDTF">2025-05-30T07:58:50Z</dcterms:modified>
  <dc:title>第二章  投标人须知</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2022-05-09T10:11:19Z</vt:filetime>
  </property>
  <property fmtid="{D5CDD505-2E9C-101B-9397-08002B2CF9AE}" pid="4" name="KSOProductBuildVer">
    <vt:lpwstr>2052-12.1.0.21171</vt:lpwstr>
  </property>
  <property fmtid="{D5CDD505-2E9C-101B-9397-08002B2CF9AE}" pid="5" name="ICV">
    <vt:lpwstr>AEA5A34ADC6A4EECB087D1ED37E56402_13</vt:lpwstr>
  </property>
  <property fmtid="{D5CDD505-2E9C-101B-9397-08002B2CF9AE}" pid="6" name="KSOTemplateDocerSaveRecord">
    <vt:lpwstr>eyJoZGlkIjoiMGY3OGIxZDEyMDE0OTc1ODU5NzEwMmQ0YTdiOTMxZDEiLCJ1c2VySWQiOiIxNDE0MTQxMjY4In0=</vt:lpwstr>
  </property>
</Properties>
</file>