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233E6">
      <w:pPr>
        <w:pStyle w:val="3"/>
        <w:numPr>
          <w:ilvl w:val="1"/>
          <w:numId w:val="0"/>
        </w:numPr>
        <w:tabs>
          <w:tab w:val="left" w:pos="2100"/>
          <w:tab w:val="left" w:pos="4536"/>
          <w:tab w:val="clear" w:pos="4417"/>
          <w:tab w:val="clear" w:pos="5410"/>
        </w:tabs>
        <w:jc w:val="center"/>
        <w:rPr>
          <w:rFonts w:hint="eastAsia" w:ascii="宋体" w:hAnsi="宋体" w:eastAsia="宋体" w:cs="宋体"/>
          <w:color w:val="auto"/>
          <w:sz w:val="36"/>
          <w:szCs w:val="36"/>
        </w:rPr>
      </w:pPr>
      <w:bookmarkStart w:id="0" w:name="_Toc18691"/>
      <w:r>
        <w:rPr>
          <w:rFonts w:hint="eastAsia" w:ascii="宋体" w:hAnsi="宋体" w:eastAsia="宋体" w:cs="宋体"/>
          <w:color w:val="auto"/>
          <w:sz w:val="36"/>
          <w:szCs w:val="36"/>
        </w:rPr>
        <w:t>南阳师范学院智慧综合安防项目</w:t>
      </w:r>
    </w:p>
    <w:p w14:paraId="52D4644B">
      <w:pPr>
        <w:pStyle w:val="3"/>
        <w:numPr>
          <w:ilvl w:val="1"/>
          <w:numId w:val="0"/>
        </w:numPr>
        <w:tabs>
          <w:tab w:val="left" w:pos="2100"/>
          <w:tab w:val="left" w:pos="4536"/>
          <w:tab w:val="clear" w:pos="4417"/>
          <w:tab w:val="clear" w:pos="5410"/>
        </w:tabs>
        <w:jc w:val="center"/>
        <w:rPr>
          <w:rFonts w:hint="eastAsia" w:ascii="宋体" w:hAnsi="宋体" w:eastAsia="宋体" w:cs="宋体"/>
          <w:color w:val="auto"/>
          <w:sz w:val="36"/>
          <w:szCs w:val="36"/>
        </w:rPr>
      </w:pPr>
      <w:r>
        <w:rPr>
          <w:rFonts w:hint="eastAsia" w:ascii="宋体" w:hAnsi="宋体" w:eastAsia="宋体" w:cs="宋体"/>
          <w:color w:val="auto"/>
          <w:sz w:val="36"/>
          <w:szCs w:val="36"/>
        </w:rPr>
        <w:t>竞争性磋商采购公告</w:t>
      </w:r>
      <w:bookmarkEnd w:id="0"/>
    </w:p>
    <w:p w14:paraId="33B690AF">
      <w:pPr>
        <w:spacing w:line="360" w:lineRule="auto"/>
        <w:ind w:firstLine="200"/>
        <w:rPr>
          <w:rFonts w:hint="eastAsia" w:ascii="宋体" w:hAnsi="宋体" w:cs="宋体"/>
          <w:color w:val="auto"/>
        </w:rPr>
      </w:pPr>
    </w:p>
    <w:p w14:paraId="19706C32">
      <w:pPr>
        <w:pBdr>
          <w:top w:val="single" w:color="auto" w:sz="4" w:space="1"/>
          <w:left w:val="single" w:color="auto" w:sz="4" w:space="4"/>
          <w:bottom w:val="single" w:color="auto" w:sz="4" w:space="1"/>
          <w:right w:val="single" w:color="auto" w:sz="4" w:space="4"/>
        </w:pBdr>
        <w:spacing w:after="120" w:line="276" w:lineRule="auto"/>
        <w:ind w:firstLine="480" w:firstLineChars="200"/>
        <w:rPr>
          <w:rFonts w:ascii="宋体" w:hAnsi="宋体"/>
          <w:color w:val="auto"/>
          <w:sz w:val="24"/>
        </w:rPr>
      </w:pPr>
      <w:bookmarkStart w:id="1" w:name="_Toc497920477"/>
      <w:bookmarkStart w:id="2" w:name="_Toc500170639"/>
      <w:r>
        <w:rPr>
          <w:rFonts w:hint="eastAsia" w:ascii="宋体" w:hAnsi="宋体"/>
          <w:color w:val="auto"/>
          <w:sz w:val="24"/>
        </w:rPr>
        <w:t>项目概况</w:t>
      </w:r>
    </w:p>
    <w:p w14:paraId="09FB4AB1">
      <w:pPr>
        <w:pBdr>
          <w:top w:val="single" w:color="auto" w:sz="4" w:space="1"/>
          <w:left w:val="single" w:color="auto" w:sz="4" w:space="4"/>
          <w:bottom w:val="single" w:color="auto" w:sz="4" w:space="1"/>
          <w:right w:val="single" w:color="auto" w:sz="4" w:space="4"/>
        </w:pBdr>
        <w:spacing w:after="120" w:line="276" w:lineRule="auto"/>
        <w:ind w:firstLine="424" w:firstLineChars="177"/>
        <w:rPr>
          <w:rFonts w:ascii="宋体" w:hAnsi="宋体"/>
          <w:color w:val="auto"/>
          <w:sz w:val="24"/>
        </w:rPr>
      </w:pPr>
      <w:r>
        <w:rPr>
          <w:rFonts w:hint="eastAsia" w:ascii="宋体" w:hAnsi="宋体"/>
          <w:color w:val="auto"/>
          <w:sz w:val="24"/>
          <w:u w:val="single"/>
        </w:rPr>
        <w:t>南阳师范学院智慧综合安防项目</w:t>
      </w:r>
      <w:r>
        <w:rPr>
          <w:rFonts w:hint="eastAsia" w:ascii="宋体" w:hAnsi="宋体"/>
          <w:color w:val="auto"/>
          <w:sz w:val="24"/>
        </w:rPr>
        <w:t>招标项目的潜在投标人应在</w:t>
      </w:r>
      <w:r>
        <w:rPr>
          <w:rFonts w:hint="eastAsia" w:ascii="宋体" w:hAnsi="宋体"/>
          <w:i/>
          <w:color w:val="auto"/>
          <w:sz w:val="24"/>
          <w:u w:val="single"/>
        </w:rPr>
        <w:t>河南省公共资源交易中心网站（网址：https://hnsggzyjy.henan.gov.cn/）</w:t>
      </w:r>
      <w:r>
        <w:rPr>
          <w:rFonts w:hint="eastAsia" w:ascii="宋体" w:hAnsi="宋体"/>
          <w:color w:val="auto"/>
          <w:sz w:val="24"/>
        </w:rPr>
        <w:t>获取招标文件，并于</w:t>
      </w:r>
      <w:r>
        <w:rPr>
          <w:rFonts w:ascii="宋体" w:hAnsi="宋体"/>
          <w:color w:val="auto"/>
          <w:sz w:val="24"/>
          <w:u w:val="single"/>
        </w:rPr>
        <w:t xml:space="preserve"> 2024</w:t>
      </w:r>
      <w:r>
        <w:rPr>
          <w:rFonts w:hint="eastAsia" w:ascii="宋体" w:hAnsi="宋体"/>
          <w:bCs/>
          <w:color w:val="auto"/>
          <w:sz w:val="24"/>
          <w:u w:val="single"/>
        </w:rPr>
        <w:t>年12月</w:t>
      </w:r>
      <w:r>
        <w:rPr>
          <w:rFonts w:hint="eastAsia" w:ascii="宋体" w:hAnsi="宋体"/>
          <w:bCs/>
          <w:color w:val="auto"/>
          <w:sz w:val="24"/>
          <w:u w:val="single"/>
          <w:lang w:val="en-US" w:eastAsia="zh-CN"/>
        </w:rPr>
        <w:t>9</w:t>
      </w:r>
      <w:r>
        <w:rPr>
          <w:rFonts w:hint="eastAsia" w:ascii="宋体" w:hAnsi="宋体"/>
          <w:bCs/>
          <w:color w:val="auto"/>
          <w:sz w:val="24"/>
          <w:u w:val="single"/>
        </w:rPr>
        <w:t>日</w:t>
      </w:r>
      <w:r>
        <w:rPr>
          <w:rFonts w:ascii="宋体" w:hAnsi="宋体"/>
          <w:bCs/>
          <w:color w:val="auto"/>
          <w:sz w:val="24"/>
          <w:u w:val="single"/>
        </w:rPr>
        <w:t>9</w:t>
      </w:r>
      <w:r>
        <w:rPr>
          <w:rFonts w:hint="eastAsia" w:ascii="宋体" w:hAnsi="宋体"/>
          <w:bCs/>
          <w:color w:val="auto"/>
          <w:sz w:val="24"/>
          <w:u w:val="single"/>
        </w:rPr>
        <w:t>点</w:t>
      </w:r>
      <w:r>
        <w:rPr>
          <w:rFonts w:ascii="宋体" w:hAnsi="宋体"/>
          <w:bCs/>
          <w:color w:val="auto"/>
          <w:sz w:val="24"/>
          <w:u w:val="single"/>
        </w:rPr>
        <w:t>00</w:t>
      </w:r>
      <w:r>
        <w:rPr>
          <w:rFonts w:hint="eastAsia" w:ascii="宋体" w:hAnsi="宋体"/>
          <w:bCs/>
          <w:color w:val="auto"/>
          <w:sz w:val="24"/>
          <w:u w:val="single"/>
        </w:rPr>
        <w:t>分（</w:t>
      </w:r>
      <w:r>
        <w:rPr>
          <w:rFonts w:hint="eastAsia" w:ascii="宋体" w:hAnsi="宋体"/>
          <w:bCs/>
          <w:color w:val="auto"/>
          <w:sz w:val="24"/>
        </w:rPr>
        <w:t>北京时间）前递交响应</w:t>
      </w:r>
      <w:r>
        <w:rPr>
          <w:rFonts w:ascii="宋体" w:hAnsi="宋体"/>
          <w:bCs/>
          <w:color w:val="auto"/>
          <w:sz w:val="24"/>
        </w:rPr>
        <w:t>文件</w:t>
      </w:r>
      <w:r>
        <w:rPr>
          <w:rFonts w:hint="eastAsia" w:ascii="宋体" w:hAnsi="宋体"/>
          <w:color w:val="auto"/>
          <w:sz w:val="24"/>
        </w:rPr>
        <w:t>。</w:t>
      </w:r>
    </w:p>
    <w:p w14:paraId="613B7BA3">
      <w:pPr>
        <w:keepNext/>
        <w:keepLines/>
        <w:tabs>
          <w:tab w:val="left" w:pos="840"/>
        </w:tabs>
        <w:spacing w:line="360" w:lineRule="auto"/>
        <w:jc w:val="left"/>
        <w:outlineLvl w:val="1"/>
        <w:rPr>
          <w:rFonts w:ascii="宋体" w:hAnsi="宋体" w:cs="宋体"/>
          <w:b/>
          <w:bCs/>
          <w:color w:val="auto"/>
          <w:sz w:val="24"/>
        </w:rPr>
      </w:pPr>
      <w:bookmarkStart w:id="3" w:name="_Toc28359079"/>
      <w:bookmarkStart w:id="4" w:name="_Toc28359002"/>
      <w:bookmarkStart w:id="5" w:name="_Toc83899267"/>
      <w:bookmarkStart w:id="6" w:name="_Toc30979"/>
      <w:bookmarkStart w:id="7" w:name="_Toc35393790"/>
      <w:bookmarkStart w:id="8" w:name="_Toc35393621"/>
      <w:bookmarkStart w:id="9" w:name="_Hlk24379207"/>
      <w:r>
        <w:rPr>
          <w:rFonts w:hint="eastAsia" w:ascii="宋体" w:hAnsi="宋体" w:cs="宋体"/>
          <w:b/>
          <w:bCs/>
          <w:color w:val="auto"/>
          <w:sz w:val="24"/>
        </w:rPr>
        <w:t>一、项目基本情况</w:t>
      </w:r>
      <w:bookmarkEnd w:id="3"/>
      <w:bookmarkEnd w:id="4"/>
      <w:bookmarkEnd w:id="5"/>
      <w:bookmarkEnd w:id="6"/>
      <w:bookmarkEnd w:id="7"/>
      <w:bookmarkEnd w:id="8"/>
    </w:p>
    <w:p w14:paraId="189ED4C2">
      <w:pPr>
        <w:spacing w:line="360" w:lineRule="auto"/>
        <w:ind w:firstLine="424" w:firstLineChars="177"/>
        <w:jc w:val="left"/>
        <w:rPr>
          <w:rFonts w:hint="default" w:ascii="宋体" w:hAnsi="宋体"/>
          <w:color w:val="auto"/>
          <w:sz w:val="24"/>
        </w:rPr>
      </w:pPr>
      <w:r>
        <w:rPr>
          <w:rFonts w:hint="eastAsia" w:ascii="宋体" w:hAnsi="宋体"/>
          <w:color w:val="auto"/>
          <w:sz w:val="24"/>
        </w:rPr>
        <w:t>1、项目编号：</w:t>
      </w:r>
      <w:r>
        <w:rPr>
          <w:rFonts w:hint="eastAsia" w:ascii="宋体" w:hAnsi="宋体"/>
          <w:color w:val="auto"/>
          <w:sz w:val="24"/>
          <w:u w:val="single"/>
        </w:rPr>
        <w:t>豫财磋商采购-202</w:t>
      </w:r>
      <w:r>
        <w:rPr>
          <w:rFonts w:ascii="宋体" w:hAnsi="宋体"/>
          <w:color w:val="auto"/>
          <w:sz w:val="24"/>
          <w:u w:val="single"/>
        </w:rPr>
        <w:t>4</w:t>
      </w:r>
      <w:r>
        <w:rPr>
          <w:rFonts w:hint="eastAsia" w:ascii="宋体" w:hAnsi="宋体"/>
          <w:color w:val="auto"/>
          <w:sz w:val="24"/>
          <w:u w:val="single"/>
        </w:rPr>
        <w:t>-</w:t>
      </w:r>
      <w:r>
        <w:rPr>
          <w:rFonts w:hint="default" w:ascii="宋体" w:hAnsi="宋体"/>
          <w:color w:val="auto"/>
          <w:sz w:val="24"/>
          <w:u w:val="single"/>
        </w:rPr>
        <w:t>1341</w:t>
      </w:r>
    </w:p>
    <w:p w14:paraId="2F1C6BD6">
      <w:pPr>
        <w:spacing w:line="360" w:lineRule="auto"/>
        <w:ind w:firstLine="424" w:firstLineChars="177"/>
        <w:jc w:val="left"/>
        <w:rPr>
          <w:rFonts w:ascii="宋体" w:hAnsi="宋体"/>
          <w:color w:val="auto"/>
          <w:sz w:val="24"/>
        </w:rPr>
      </w:pPr>
      <w:r>
        <w:rPr>
          <w:rFonts w:ascii="宋体" w:hAnsi="宋体"/>
          <w:color w:val="auto"/>
          <w:sz w:val="24"/>
        </w:rPr>
        <w:t>2</w:t>
      </w:r>
      <w:r>
        <w:rPr>
          <w:rFonts w:hint="eastAsia" w:ascii="宋体" w:hAnsi="宋体"/>
          <w:color w:val="auto"/>
          <w:sz w:val="24"/>
        </w:rPr>
        <w:t>、项目名称：</w:t>
      </w:r>
      <w:r>
        <w:rPr>
          <w:rFonts w:hint="eastAsia" w:ascii="宋体" w:hAnsi="宋体"/>
          <w:color w:val="auto"/>
          <w:sz w:val="24"/>
          <w:u w:val="single"/>
        </w:rPr>
        <w:t>南阳师范学院智慧综合安防项目</w:t>
      </w:r>
    </w:p>
    <w:bookmarkEnd w:id="9"/>
    <w:p w14:paraId="11DFED93">
      <w:pPr>
        <w:spacing w:line="360" w:lineRule="auto"/>
        <w:ind w:firstLine="480" w:firstLineChars="200"/>
        <w:jc w:val="left"/>
        <w:rPr>
          <w:rFonts w:ascii="宋体" w:hAnsi="宋体"/>
          <w:color w:val="auto"/>
          <w:sz w:val="24"/>
        </w:rPr>
      </w:pPr>
      <w:r>
        <w:rPr>
          <w:rFonts w:ascii="宋体" w:hAnsi="宋体"/>
          <w:color w:val="auto"/>
          <w:sz w:val="24"/>
        </w:rPr>
        <w:t>3</w:t>
      </w:r>
      <w:r>
        <w:rPr>
          <w:rFonts w:hint="eastAsia" w:ascii="宋体" w:hAnsi="宋体"/>
          <w:color w:val="auto"/>
          <w:sz w:val="24"/>
        </w:rPr>
        <w:t>、预算金额：</w:t>
      </w:r>
      <w:r>
        <w:rPr>
          <w:rFonts w:ascii="宋体" w:hAnsi="宋体" w:cs="宋体"/>
          <w:color w:val="auto"/>
          <w:kern w:val="0"/>
          <w:sz w:val="24"/>
          <w:u w:val="single"/>
        </w:rPr>
        <w:t>1950000</w:t>
      </w:r>
      <w:r>
        <w:rPr>
          <w:rFonts w:hint="eastAsia" w:ascii="宋体" w:hAnsi="宋体" w:cs="宋体"/>
          <w:color w:val="auto"/>
          <w:kern w:val="0"/>
          <w:sz w:val="24"/>
          <w:u w:val="single"/>
        </w:rPr>
        <w:t>元</w:t>
      </w:r>
      <w:bookmarkStart w:id="46" w:name="_GoBack"/>
      <w:bookmarkEnd w:id="46"/>
    </w:p>
    <w:p w14:paraId="206E75B8">
      <w:pPr>
        <w:spacing w:line="360" w:lineRule="auto"/>
        <w:ind w:firstLine="849" w:firstLineChars="354"/>
        <w:jc w:val="left"/>
        <w:rPr>
          <w:rFonts w:ascii="宋体" w:hAnsi="宋体"/>
          <w:color w:val="auto"/>
          <w:sz w:val="24"/>
          <w:u w:val="single"/>
        </w:rPr>
      </w:pPr>
      <w:r>
        <w:rPr>
          <w:rFonts w:hint="eastAsia" w:ascii="宋体" w:hAnsi="宋体"/>
          <w:color w:val="auto"/>
          <w:sz w:val="24"/>
        </w:rPr>
        <w:t>最高限价：</w:t>
      </w:r>
      <w:r>
        <w:rPr>
          <w:rFonts w:ascii="宋体" w:hAnsi="宋体" w:cs="宋体"/>
          <w:color w:val="auto"/>
          <w:kern w:val="0"/>
          <w:sz w:val="24"/>
          <w:u w:val="single"/>
        </w:rPr>
        <w:t>1950000</w:t>
      </w:r>
      <w:r>
        <w:rPr>
          <w:rFonts w:hint="eastAsia" w:ascii="宋体" w:hAnsi="宋体" w:cs="宋体"/>
          <w:color w:val="auto"/>
          <w:kern w:val="0"/>
          <w:sz w:val="24"/>
          <w:u w:val="single"/>
        </w:rPr>
        <w:t>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560"/>
        <w:gridCol w:w="2551"/>
        <w:gridCol w:w="1560"/>
        <w:gridCol w:w="2035"/>
      </w:tblGrid>
      <w:tr w14:paraId="6D14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16" w:type="dxa"/>
            <w:noWrap w:val="0"/>
            <w:vAlign w:val="top"/>
          </w:tcPr>
          <w:p w14:paraId="23E3DFD4">
            <w:pPr>
              <w:spacing w:line="360" w:lineRule="auto"/>
              <w:jc w:val="center"/>
              <w:rPr>
                <w:rFonts w:ascii="宋体" w:hAnsi="宋体"/>
                <w:b/>
                <w:color w:val="auto"/>
                <w:sz w:val="24"/>
              </w:rPr>
            </w:pPr>
            <w:r>
              <w:rPr>
                <w:rFonts w:hint="eastAsia" w:ascii="宋体" w:hAnsi="宋体"/>
                <w:b/>
                <w:color w:val="auto"/>
                <w:sz w:val="24"/>
              </w:rPr>
              <w:t>序号</w:t>
            </w:r>
          </w:p>
        </w:tc>
        <w:tc>
          <w:tcPr>
            <w:tcW w:w="1560" w:type="dxa"/>
            <w:noWrap w:val="0"/>
            <w:vAlign w:val="top"/>
          </w:tcPr>
          <w:p w14:paraId="15FA7A3A">
            <w:pPr>
              <w:spacing w:line="360" w:lineRule="auto"/>
              <w:jc w:val="center"/>
              <w:rPr>
                <w:rFonts w:ascii="宋体" w:hAnsi="宋体"/>
                <w:b/>
                <w:color w:val="auto"/>
                <w:sz w:val="24"/>
              </w:rPr>
            </w:pPr>
            <w:r>
              <w:rPr>
                <w:rFonts w:hint="eastAsia" w:ascii="宋体" w:hAnsi="宋体"/>
                <w:b/>
                <w:color w:val="auto"/>
                <w:sz w:val="24"/>
              </w:rPr>
              <w:t>包号</w:t>
            </w:r>
          </w:p>
        </w:tc>
        <w:tc>
          <w:tcPr>
            <w:tcW w:w="2551" w:type="dxa"/>
            <w:noWrap w:val="0"/>
            <w:vAlign w:val="top"/>
          </w:tcPr>
          <w:p w14:paraId="78B2584D">
            <w:pPr>
              <w:spacing w:line="360" w:lineRule="auto"/>
              <w:jc w:val="center"/>
              <w:rPr>
                <w:rFonts w:ascii="宋体" w:hAnsi="宋体"/>
                <w:b/>
                <w:color w:val="auto"/>
                <w:sz w:val="24"/>
              </w:rPr>
            </w:pPr>
            <w:r>
              <w:rPr>
                <w:rFonts w:hint="eastAsia" w:ascii="宋体" w:hAnsi="宋体"/>
                <w:b/>
                <w:color w:val="auto"/>
                <w:sz w:val="24"/>
              </w:rPr>
              <w:t>包名称</w:t>
            </w:r>
          </w:p>
        </w:tc>
        <w:tc>
          <w:tcPr>
            <w:tcW w:w="1560" w:type="dxa"/>
            <w:noWrap w:val="0"/>
            <w:vAlign w:val="top"/>
          </w:tcPr>
          <w:p w14:paraId="3112506F">
            <w:pPr>
              <w:spacing w:line="360" w:lineRule="auto"/>
              <w:jc w:val="center"/>
              <w:rPr>
                <w:rFonts w:ascii="宋体" w:hAnsi="宋体"/>
                <w:b/>
                <w:color w:val="auto"/>
                <w:sz w:val="24"/>
              </w:rPr>
            </w:pPr>
            <w:r>
              <w:rPr>
                <w:rFonts w:hint="eastAsia" w:ascii="宋体" w:hAnsi="宋体"/>
                <w:b/>
                <w:color w:val="auto"/>
                <w:sz w:val="24"/>
              </w:rPr>
              <w:t>包预算（元）</w:t>
            </w:r>
          </w:p>
        </w:tc>
        <w:tc>
          <w:tcPr>
            <w:tcW w:w="2035" w:type="dxa"/>
            <w:noWrap w:val="0"/>
            <w:vAlign w:val="top"/>
          </w:tcPr>
          <w:p w14:paraId="08CB0268">
            <w:pPr>
              <w:spacing w:line="360" w:lineRule="auto"/>
              <w:jc w:val="center"/>
              <w:rPr>
                <w:rFonts w:hint="eastAsia" w:ascii="宋体" w:hAnsi="宋体"/>
                <w:b/>
                <w:color w:val="auto"/>
                <w:sz w:val="24"/>
              </w:rPr>
            </w:pPr>
            <w:r>
              <w:rPr>
                <w:rFonts w:hint="eastAsia" w:ascii="宋体" w:hAnsi="宋体"/>
                <w:b/>
                <w:color w:val="auto"/>
                <w:sz w:val="24"/>
              </w:rPr>
              <w:t>包最高限价（元）</w:t>
            </w:r>
          </w:p>
        </w:tc>
      </w:tr>
      <w:tr w14:paraId="5E65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16" w:type="dxa"/>
            <w:tcBorders>
              <w:top w:val="outset" w:color="auto" w:sz="6" w:space="0"/>
              <w:left w:val="outset" w:color="auto" w:sz="6" w:space="0"/>
              <w:bottom w:val="outset" w:color="auto" w:sz="6" w:space="0"/>
              <w:right w:val="outset" w:color="auto" w:sz="6" w:space="0"/>
            </w:tcBorders>
            <w:noWrap w:val="0"/>
            <w:vAlign w:val="center"/>
          </w:tcPr>
          <w:p w14:paraId="0CD430D5">
            <w:pPr>
              <w:widowControl/>
              <w:wordWrap w:val="0"/>
              <w:jc w:val="center"/>
              <w:rPr>
                <w:rFonts w:ascii="宋体" w:hAnsi="宋体"/>
                <w:color w:val="auto"/>
                <w:kern w:val="0"/>
                <w:sz w:val="24"/>
              </w:rPr>
            </w:pPr>
            <w:r>
              <w:rPr>
                <w:rFonts w:hint="eastAsia" w:ascii="宋体" w:hAnsi="宋体"/>
                <w:color w:val="auto"/>
                <w:sz w:val="24"/>
              </w:rPr>
              <w:t>1</w:t>
            </w:r>
          </w:p>
        </w:tc>
        <w:tc>
          <w:tcPr>
            <w:tcW w:w="1560" w:type="dxa"/>
            <w:tcBorders>
              <w:top w:val="outset" w:color="auto" w:sz="6" w:space="0"/>
              <w:left w:val="outset" w:color="auto" w:sz="6" w:space="0"/>
              <w:bottom w:val="outset" w:color="auto" w:sz="6" w:space="0"/>
              <w:right w:val="outset" w:color="auto" w:sz="6" w:space="0"/>
            </w:tcBorders>
            <w:noWrap w:val="0"/>
            <w:vAlign w:val="center"/>
          </w:tcPr>
          <w:p w14:paraId="01CD41DE">
            <w:pPr>
              <w:wordWrap w:val="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豫政采(2)20242078-1</w:t>
            </w:r>
          </w:p>
        </w:tc>
        <w:tc>
          <w:tcPr>
            <w:tcW w:w="2551" w:type="dxa"/>
            <w:tcBorders>
              <w:top w:val="outset" w:color="auto" w:sz="6" w:space="0"/>
              <w:left w:val="outset" w:color="auto" w:sz="6" w:space="0"/>
              <w:bottom w:val="outset" w:color="auto" w:sz="6" w:space="0"/>
              <w:right w:val="outset" w:color="auto" w:sz="6" w:space="0"/>
            </w:tcBorders>
            <w:noWrap w:val="0"/>
            <w:vAlign w:val="center"/>
          </w:tcPr>
          <w:p w14:paraId="52A1DE46">
            <w:pPr>
              <w:wordWrap w:val="0"/>
              <w:jc w:val="center"/>
              <w:rPr>
                <w:rFonts w:hint="eastAsia" w:ascii="宋体" w:hAnsi="宋体"/>
                <w:color w:val="auto"/>
                <w:sz w:val="24"/>
              </w:rPr>
            </w:pPr>
            <w:r>
              <w:rPr>
                <w:rFonts w:hint="eastAsia" w:ascii="宋体" w:hAnsi="宋体"/>
                <w:color w:val="auto"/>
                <w:sz w:val="24"/>
                <w:u w:val="single"/>
              </w:rPr>
              <w:t>南阳师范学院智慧综合安防项目</w:t>
            </w:r>
          </w:p>
        </w:tc>
        <w:tc>
          <w:tcPr>
            <w:tcW w:w="1560" w:type="dxa"/>
            <w:tcBorders>
              <w:top w:val="outset" w:color="auto" w:sz="6" w:space="0"/>
              <w:left w:val="outset" w:color="auto" w:sz="6" w:space="0"/>
              <w:bottom w:val="outset" w:color="auto" w:sz="6" w:space="0"/>
              <w:right w:val="outset" w:color="auto" w:sz="6" w:space="0"/>
            </w:tcBorders>
            <w:noWrap w:val="0"/>
            <w:vAlign w:val="center"/>
          </w:tcPr>
          <w:p w14:paraId="61F2B593">
            <w:pPr>
              <w:wordWrap w:val="0"/>
              <w:jc w:val="center"/>
              <w:rPr>
                <w:rFonts w:hint="eastAsia" w:ascii="宋体" w:hAnsi="宋体"/>
                <w:color w:val="auto"/>
                <w:sz w:val="24"/>
              </w:rPr>
            </w:pPr>
            <w:r>
              <w:rPr>
                <w:rFonts w:ascii="宋体" w:hAnsi="宋体" w:cs="宋体"/>
                <w:color w:val="auto"/>
                <w:kern w:val="0"/>
                <w:sz w:val="24"/>
              </w:rPr>
              <w:t>1950000</w:t>
            </w:r>
          </w:p>
        </w:tc>
        <w:tc>
          <w:tcPr>
            <w:tcW w:w="2035" w:type="dxa"/>
            <w:tcBorders>
              <w:top w:val="outset" w:color="auto" w:sz="6" w:space="0"/>
              <w:left w:val="outset" w:color="auto" w:sz="6" w:space="0"/>
              <w:bottom w:val="outset" w:color="auto" w:sz="6" w:space="0"/>
              <w:right w:val="outset" w:color="auto" w:sz="6" w:space="0"/>
            </w:tcBorders>
            <w:noWrap w:val="0"/>
            <w:vAlign w:val="center"/>
          </w:tcPr>
          <w:p w14:paraId="659AE7C8">
            <w:pPr>
              <w:wordWrap w:val="0"/>
              <w:jc w:val="center"/>
              <w:rPr>
                <w:rFonts w:hint="eastAsia" w:ascii="宋体" w:hAnsi="宋体"/>
                <w:color w:val="auto"/>
                <w:sz w:val="24"/>
              </w:rPr>
            </w:pPr>
            <w:r>
              <w:rPr>
                <w:rFonts w:ascii="宋体" w:hAnsi="宋体"/>
                <w:color w:val="auto"/>
                <w:sz w:val="24"/>
              </w:rPr>
              <w:t>1950000</w:t>
            </w:r>
          </w:p>
        </w:tc>
      </w:tr>
    </w:tbl>
    <w:p w14:paraId="40F81E48">
      <w:pPr>
        <w:spacing w:line="360" w:lineRule="auto"/>
        <w:ind w:firstLine="480" w:firstLineChars="200"/>
        <w:jc w:val="left"/>
        <w:rPr>
          <w:rFonts w:ascii="宋体" w:hAnsi="宋体"/>
          <w:color w:val="auto"/>
          <w:sz w:val="24"/>
        </w:rPr>
      </w:pPr>
      <w:r>
        <w:rPr>
          <w:rFonts w:hint="eastAsia" w:ascii="宋体" w:hAnsi="宋体"/>
          <w:color w:val="auto"/>
          <w:sz w:val="24"/>
        </w:rPr>
        <w:t>5、采购需求：</w:t>
      </w:r>
    </w:p>
    <w:p w14:paraId="04D0C7D7">
      <w:pPr>
        <w:spacing w:line="360" w:lineRule="auto"/>
        <w:ind w:firstLine="480" w:firstLineChars="200"/>
        <w:jc w:val="left"/>
        <w:rPr>
          <w:rFonts w:hint="eastAsia" w:ascii="宋体" w:hAnsi="宋体"/>
          <w:color w:val="auto"/>
          <w:sz w:val="24"/>
        </w:rPr>
      </w:pPr>
      <w:r>
        <w:rPr>
          <w:rFonts w:hint="eastAsia" w:ascii="宋体" w:hAnsi="宋体"/>
          <w:color w:val="auto"/>
          <w:sz w:val="24"/>
        </w:rPr>
        <w:t>标的名称：南阳师范学院智慧综合安防项目</w:t>
      </w:r>
    </w:p>
    <w:p w14:paraId="24BF41F0">
      <w:pPr>
        <w:snapToGrid w:val="0"/>
        <w:spacing w:line="360" w:lineRule="auto"/>
        <w:ind w:firstLine="480" w:firstLineChars="200"/>
        <w:jc w:val="left"/>
        <w:rPr>
          <w:color w:val="auto"/>
          <w:sz w:val="24"/>
        </w:rPr>
      </w:pPr>
      <w:r>
        <w:rPr>
          <w:rFonts w:hint="eastAsia"/>
          <w:color w:val="auto"/>
          <w:sz w:val="24"/>
        </w:rPr>
        <w:t>1）</w:t>
      </w:r>
      <w:r>
        <w:rPr>
          <w:color w:val="auto"/>
          <w:sz w:val="24"/>
        </w:rPr>
        <w:t>数量：</w:t>
      </w:r>
      <w:r>
        <w:rPr>
          <w:rFonts w:hint="eastAsia"/>
          <w:color w:val="auto"/>
          <w:sz w:val="24"/>
        </w:rPr>
        <w:t>满足采购需求</w:t>
      </w:r>
    </w:p>
    <w:p w14:paraId="076469B7">
      <w:pPr>
        <w:snapToGrid w:val="0"/>
        <w:spacing w:line="360" w:lineRule="auto"/>
        <w:ind w:firstLine="480" w:firstLineChars="200"/>
        <w:jc w:val="left"/>
        <w:rPr>
          <w:color w:val="auto"/>
          <w:sz w:val="24"/>
        </w:rPr>
      </w:pPr>
      <w:r>
        <w:rPr>
          <w:rFonts w:hint="eastAsia"/>
          <w:color w:val="auto"/>
          <w:sz w:val="24"/>
        </w:rPr>
        <w:t>2）</w:t>
      </w:r>
      <w:r>
        <w:rPr>
          <w:color w:val="auto"/>
          <w:sz w:val="24"/>
        </w:rPr>
        <w:t>技术需求：</w:t>
      </w:r>
      <w:r>
        <w:rPr>
          <w:color w:val="auto"/>
          <w:sz w:val="24"/>
          <w:u w:val="single"/>
        </w:rPr>
        <w:t>本项目在原有视频监控、人脸识别闸机、车辆出入管理的基础上，增加人员轨迹系统、人员通道及车辆通行系统、校园道路测速警示系统、全景系统、监控后台升级扩容及管网改造等设备，以期实现人员轨迹查询、人员实时定位、人员信息筛查、大门口人员及车辆快速通行、校园车辆限速通行及违章查询、AR实景指挥一体化、满足600个摄像机存储90天等功能。</w:t>
      </w:r>
    </w:p>
    <w:p w14:paraId="194DA28F">
      <w:pPr>
        <w:spacing w:line="360" w:lineRule="auto"/>
        <w:ind w:firstLine="480" w:firstLineChars="200"/>
        <w:jc w:val="left"/>
        <w:rPr>
          <w:rFonts w:hint="eastAsia" w:ascii="宋体" w:hAnsi="宋体"/>
          <w:color w:val="auto"/>
          <w:sz w:val="24"/>
        </w:rPr>
      </w:pPr>
      <w:r>
        <w:rPr>
          <w:rFonts w:hint="eastAsia"/>
          <w:color w:val="auto"/>
          <w:sz w:val="24"/>
          <w:u w:val="single"/>
        </w:rPr>
        <w:t>3）</w:t>
      </w:r>
      <w:r>
        <w:rPr>
          <w:color w:val="auto"/>
          <w:sz w:val="24"/>
          <w:u w:val="single"/>
        </w:rPr>
        <w:t>服务要求：本次采购设备及平台必须与原有校园视频监控平台、智慧校园核心平台、原人脸系统兼容，所产生费用包括在招标价中，学校不再额外支出费用。</w:t>
      </w:r>
      <w:r>
        <w:rPr>
          <w:rFonts w:hint="eastAsia"/>
          <w:color w:val="auto"/>
          <w:sz w:val="24"/>
          <w:u w:val="single"/>
        </w:rPr>
        <w:t>质保期为验收合格之日起5年。</w:t>
      </w:r>
    </w:p>
    <w:p w14:paraId="1A7F6E3C">
      <w:pPr>
        <w:spacing w:line="360" w:lineRule="auto"/>
        <w:ind w:firstLine="480" w:firstLineChars="200"/>
        <w:jc w:val="left"/>
        <w:rPr>
          <w:rFonts w:ascii="宋体" w:hAnsi="宋体"/>
          <w:color w:val="auto"/>
          <w:sz w:val="24"/>
          <w:u w:val="single"/>
        </w:rPr>
      </w:pPr>
      <w:r>
        <w:rPr>
          <w:rFonts w:hint="eastAsia" w:ascii="宋体" w:hAnsi="宋体"/>
          <w:color w:val="auto"/>
          <w:sz w:val="24"/>
        </w:rPr>
        <w:t>6、合同履行期限：</w:t>
      </w:r>
      <w:r>
        <w:rPr>
          <w:rFonts w:hint="eastAsia" w:ascii="宋体" w:hAnsi="宋体"/>
          <w:color w:val="auto"/>
          <w:sz w:val="24"/>
          <w:u w:val="single"/>
        </w:rPr>
        <w:t>自合同签订之日起</w:t>
      </w:r>
      <w:r>
        <w:rPr>
          <w:rFonts w:hint="eastAsia"/>
          <w:color w:val="auto"/>
          <w:sz w:val="24"/>
          <w:u w:val="single"/>
        </w:rPr>
        <w:t>25日历天交货并安装调试完毕</w:t>
      </w:r>
      <w:r>
        <w:rPr>
          <w:rFonts w:hint="eastAsia"/>
          <w:color w:val="auto"/>
          <w:sz w:val="24"/>
        </w:rPr>
        <w:t>。</w:t>
      </w:r>
    </w:p>
    <w:p w14:paraId="28EE87AF">
      <w:pPr>
        <w:spacing w:line="360" w:lineRule="auto"/>
        <w:ind w:firstLine="480" w:firstLineChars="200"/>
        <w:jc w:val="left"/>
        <w:rPr>
          <w:rFonts w:ascii="宋体" w:hAnsi="宋体"/>
          <w:color w:val="auto"/>
          <w:sz w:val="24"/>
        </w:rPr>
      </w:pPr>
      <w:r>
        <w:rPr>
          <w:rFonts w:ascii="宋体" w:hAnsi="宋体"/>
          <w:color w:val="auto"/>
          <w:sz w:val="24"/>
        </w:rPr>
        <w:t>7</w:t>
      </w:r>
      <w:r>
        <w:rPr>
          <w:rFonts w:hint="eastAsia" w:ascii="宋体" w:hAnsi="宋体"/>
          <w:color w:val="auto"/>
          <w:sz w:val="24"/>
        </w:rPr>
        <w:t>、本项目是否接受联合体投标：否</w:t>
      </w:r>
    </w:p>
    <w:p w14:paraId="029599EE">
      <w:pPr>
        <w:spacing w:line="360" w:lineRule="auto"/>
        <w:ind w:firstLine="480" w:firstLineChars="200"/>
        <w:jc w:val="left"/>
        <w:rPr>
          <w:rFonts w:hint="eastAsia" w:ascii="宋体" w:hAnsi="宋体"/>
          <w:color w:val="auto"/>
          <w:sz w:val="24"/>
        </w:rPr>
      </w:pPr>
      <w:r>
        <w:rPr>
          <w:rFonts w:hint="eastAsia" w:ascii="宋体" w:hAnsi="宋体"/>
          <w:color w:val="auto"/>
          <w:sz w:val="24"/>
        </w:rPr>
        <w:t>8、是否接受进口产品：否</w:t>
      </w:r>
    </w:p>
    <w:p w14:paraId="5C738582">
      <w:pPr>
        <w:spacing w:line="360" w:lineRule="auto"/>
        <w:ind w:firstLine="480" w:firstLineChars="200"/>
        <w:jc w:val="left"/>
        <w:rPr>
          <w:rFonts w:ascii="宋体" w:hAnsi="宋体"/>
          <w:color w:val="auto"/>
          <w:sz w:val="24"/>
        </w:rPr>
      </w:pPr>
      <w:r>
        <w:rPr>
          <w:rFonts w:hint="eastAsia" w:ascii="宋体" w:hAnsi="宋体"/>
          <w:color w:val="auto"/>
          <w:sz w:val="24"/>
        </w:rPr>
        <w:t>9、是否专门面向中小企业：否</w:t>
      </w:r>
    </w:p>
    <w:p w14:paraId="37E5DED1">
      <w:pPr>
        <w:keepNext/>
        <w:keepLines/>
        <w:tabs>
          <w:tab w:val="left" w:pos="840"/>
        </w:tabs>
        <w:spacing w:line="360" w:lineRule="auto"/>
        <w:jc w:val="left"/>
        <w:outlineLvl w:val="1"/>
        <w:rPr>
          <w:rFonts w:ascii="宋体" w:hAnsi="宋体" w:cs="宋体"/>
          <w:b/>
          <w:bCs/>
          <w:color w:val="auto"/>
          <w:sz w:val="24"/>
        </w:rPr>
      </w:pPr>
      <w:bookmarkStart w:id="10" w:name="_Toc28359003"/>
      <w:bookmarkStart w:id="11" w:name="_Toc35393791"/>
      <w:bookmarkStart w:id="12" w:name="_Toc83899268"/>
      <w:bookmarkStart w:id="13" w:name="_Toc35393622"/>
      <w:bookmarkStart w:id="14" w:name="_Toc28359080"/>
      <w:bookmarkStart w:id="15" w:name="_Toc25817"/>
      <w:r>
        <w:rPr>
          <w:rFonts w:hint="eastAsia" w:ascii="宋体" w:hAnsi="宋体" w:cs="宋体"/>
          <w:b/>
          <w:bCs/>
          <w:color w:val="auto"/>
          <w:sz w:val="24"/>
        </w:rPr>
        <w:t>二、申请人的资格要求：</w:t>
      </w:r>
      <w:bookmarkEnd w:id="10"/>
      <w:bookmarkEnd w:id="11"/>
      <w:bookmarkEnd w:id="12"/>
      <w:bookmarkEnd w:id="13"/>
      <w:bookmarkEnd w:id="14"/>
      <w:bookmarkEnd w:id="15"/>
    </w:p>
    <w:p w14:paraId="3F975FA5">
      <w:pPr>
        <w:spacing w:line="360" w:lineRule="auto"/>
        <w:ind w:firstLine="480" w:firstLineChars="200"/>
        <w:jc w:val="left"/>
        <w:rPr>
          <w:rFonts w:ascii="宋体" w:hAnsi="宋体"/>
          <w:color w:val="auto"/>
          <w:sz w:val="24"/>
        </w:rPr>
      </w:pPr>
      <w:r>
        <w:rPr>
          <w:rFonts w:hint="eastAsia" w:ascii="宋体" w:hAnsi="宋体"/>
          <w:color w:val="auto"/>
          <w:sz w:val="24"/>
        </w:rPr>
        <w:t>1.满足《中华人民共和国政府采购法》第二十二条规定；</w:t>
      </w:r>
    </w:p>
    <w:p w14:paraId="59699FCA">
      <w:pPr>
        <w:spacing w:line="360" w:lineRule="auto"/>
        <w:ind w:firstLine="480" w:firstLineChars="200"/>
        <w:jc w:val="left"/>
        <w:rPr>
          <w:rFonts w:ascii="宋体" w:hAnsi="宋体"/>
          <w:color w:val="auto"/>
          <w:sz w:val="24"/>
        </w:rPr>
      </w:pPr>
      <w:bookmarkStart w:id="16" w:name="_Toc28359004"/>
      <w:bookmarkStart w:id="17" w:name="_Toc28359081"/>
      <w:r>
        <w:rPr>
          <w:rFonts w:ascii="宋体" w:hAnsi="宋体"/>
          <w:color w:val="auto"/>
          <w:sz w:val="24"/>
        </w:rPr>
        <w:t>2</w:t>
      </w:r>
      <w:r>
        <w:rPr>
          <w:rFonts w:hint="eastAsia" w:ascii="宋体" w:hAnsi="宋体"/>
          <w:color w:val="auto"/>
          <w:sz w:val="24"/>
        </w:rPr>
        <w:t>.落实政府采购政策需满足的资格要求</w:t>
      </w:r>
      <w:r>
        <w:rPr>
          <w:rFonts w:hint="eastAsia" w:ascii="宋体" w:hAnsi="宋体"/>
          <w:color w:val="auto"/>
          <w:sz w:val="24"/>
          <w:u w:val="single"/>
        </w:rPr>
        <w:t>：无；</w:t>
      </w:r>
    </w:p>
    <w:p w14:paraId="55E32B09">
      <w:pPr>
        <w:spacing w:line="360" w:lineRule="auto"/>
        <w:ind w:firstLine="480" w:firstLineChars="200"/>
        <w:jc w:val="left"/>
        <w:rPr>
          <w:rFonts w:ascii="宋体" w:hAnsi="宋体"/>
          <w:color w:val="auto"/>
          <w:sz w:val="24"/>
        </w:rPr>
      </w:pPr>
      <w:r>
        <w:rPr>
          <w:rFonts w:hint="eastAsia" w:ascii="宋体" w:hAnsi="宋体"/>
          <w:color w:val="auto"/>
          <w:sz w:val="24"/>
        </w:rPr>
        <w:t>3.本项目的特定资格要求：</w:t>
      </w:r>
    </w:p>
    <w:p w14:paraId="13C8D9D1">
      <w:pPr>
        <w:spacing w:line="360" w:lineRule="auto"/>
        <w:ind w:firstLine="480" w:firstLineChars="200"/>
        <w:jc w:val="left"/>
        <w:rPr>
          <w:rFonts w:hint="eastAsia" w:ascii="宋体" w:hAnsi="宋体"/>
          <w:color w:val="auto"/>
          <w:sz w:val="24"/>
          <w:u w:val="single"/>
        </w:rPr>
      </w:pPr>
      <w:r>
        <w:rPr>
          <w:rFonts w:hint="eastAsia" w:ascii="宋体" w:hAnsi="宋体"/>
          <w:color w:val="auto"/>
          <w:sz w:val="24"/>
          <w:u w:val="single"/>
        </w:rPr>
        <w:t>1）根据《关于在政府采购活动中查询及使用信用记录有关问题的通知》（财库[2016]125号）的规定，对列入失信被执行人、重大税收违法案件当事人名单、政府采购严重违法失信行为记录名单的企业，拒绝参与本项目招标投标活动。查询渠道：“信用中国”网站（www.creditchina.gov.cn）和中国政府采购网（www.ccgp.gov.cn）。</w:t>
      </w:r>
    </w:p>
    <w:p w14:paraId="4D4D19EF">
      <w:pPr>
        <w:spacing w:line="360" w:lineRule="auto"/>
        <w:ind w:firstLine="480" w:firstLineChars="200"/>
        <w:jc w:val="left"/>
        <w:rPr>
          <w:rFonts w:hint="eastAsia" w:ascii="宋体" w:hAnsi="宋体"/>
          <w:color w:val="auto"/>
          <w:sz w:val="24"/>
          <w:u w:val="single"/>
        </w:rPr>
      </w:pPr>
      <w:r>
        <w:rPr>
          <w:rFonts w:hint="eastAsia" w:ascii="宋体" w:hAnsi="宋体"/>
          <w:color w:val="auto"/>
          <w:sz w:val="24"/>
          <w:u w:val="single"/>
        </w:rPr>
        <w:t>2）单位负责人为同一人或者存在直接控股、管理关系的不同供应商，不得参加同一合同项下的政府采购活动。</w:t>
      </w:r>
    </w:p>
    <w:p w14:paraId="430DA928">
      <w:pPr>
        <w:spacing w:line="360" w:lineRule="auto"/>
        <w:ind w:firstLine="480" w:firstLineChars="200"/>
        <w:jc w:val="left"/>
        <w:rPr>
          <w:rFonts w:ascii="宋体" w:hAnsi="宋体"/>
          <w:color w:val="auto"/>
          <w:sz w:val="24"/>
          <w:u w:val="single"/>
        </w:rPr>
      </w:pPr>
      <w:r>
        <w:rPr>
          <w:rFonts w:hint="eastAsia" w:ascii="宋体" w:hAnsi="宋体"/>
          <w:color w:val="auto"/>
          <w:sz w:val="24"/>
          <w:u w:val="single"/>
        </w:rPr>
        <w:t>3）为本项目提供过整体设计、规范编制或者项目管理、监理、检测等服务的供应商，不得再参加本项目上述服务以外的其他采购活动。</w:t>
      </w:r>
    </w:p>
    <w:p w14:paraId="2B91A2A4">
      <w:pPr>
        <w:keepNext/>
        <w:keepLines/>
        <w:tabs>
          <w:tab w:val="left" w:pos="840"/>
        </w:tabs>
        <w:spacing w:line="360" w:lineRule="auto"/>
        <w:jc w:val="left"/>
        <w:outlineLvl w:val="1"/>
        <w:rPr>
          <w:rFonts w:ascii="宋体" w:hAnsi="宋体" w:cs="宋体"/>
          <w:b/>
          <w:bCs/>
          <w:color w:val="auto"/>
          <w:sz w:val="24"/>
        </w:rPr>
      </w:pPr>
      <w:bookmarkStart w:id="18" w:name="_Toc83899269"/>
      <w:bookmarkStart w:id="19" w:name="_Toc35393623"/>
      <w:bookmarkStart w:id="20" w:name="_Toc25600"/>
      <w:bookmarkStart w:id="21" w:name="_Toc35393792"/>
      <w:r>
        <w:rPr>
          <w:rFonts w:hint="eastAsia" w:ascii="宋体" w:hAnsi="宋体" w:cs="宋体"/>
          <w:b/>
          <w:bCs/>
          <w:color w:val="auto"/>
          <w:sz w:val="24"/>
        </w:rPr>
        <w:t>三、获取采购文件</w:t>
      </w:r>
      <w:bookmarkEnd w:id="16"/>
      <w:bookmarkEnd w:id="17"/>
      <w:bookmarkEnd w:id="18"/>
      <w:bookmarkEnd w:id="19"/>
      <w:bookmarkEnd w:id="20"/>
      <w:bookmarkEnd w:id="21"/>
    </w:p>
    <w:p w14:paraId="3BACBDD2">
      <w:pPr>
        <w:spacing w:line="360" w:lineRule="auto"/>
        <w:ind w:firstLine="480" w:firstLineChars="200"/>
        <w:jc w:val="left"/>
        <w:rPr>
          <w:rFonts w:ascii="宋体" w:hAnsi="宋体" w:cs="宋体"/>
          <w:color w:val="auto"/>
          <w:sz w:val="24"/>
        </w:rPr>
      </w:pPr>
      <w:r>
        <w:rPr>
          <w:rFonts w:hint="eastAsia" w:ascii="宋体" w:hAnsi="宋体" w:cs="宋体"/>
          <w:color w:val="auto"/>
          <w:sz w:val="24"/>
        </w:rPr>
        <w:t>1、时间：</w:t>
      </w:r>
      <w:r>
        <w:rPr>
          <w:rFonts w:ascii="宋体" w:hAnsi="宋体" w:cs="宋体"/>
          <w:color w:val="auto"/>
          <w:sz w:val="24"/>
          <w:u w:val="single"/>
        </w:rPr>
        <w:t>2024</w:t>
      </w:r>
      <w:r>
        <w:rPr>
          <w:rFonts w:hint="eastAsia" w:ascii="宋体" w:hAnsi="宋体" w:cs="宋体"/>
          <w:color w:val="auto"/>
          <w:sz w:val="24"/>
          <w:u w:val="single"/>
        </w:rPr>
        <w:t>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28</w:t>
      </w:r>
      <w:r>
        <w:rPr>
          <w:rFonts w:hint="eastAsia" w:ascii="宋体" w:hAnsi="宋体" w:cs="宋体"/>
          <w:color w:val="auto"/>
          <w:sz w:val="24"/>
          <w:u w:val="single"/>
        </w:rPr>
        <w:t>日至</w:t>
      </w:r>
      <w:r>
        <w:rPr>
          <w:rFonts w:ascii="宋体" w:hAnsi="宋体" w:cs="宋体"/>
          <w:color w:val="auto"/>
          <w:sz w:val="24"/>
          <w:u w:val="single"/>
        </w:rPr>
        <w:t>2024</w:t>
      </w:r>
      <w:r>
        <w:rPr>
          <w:rFonts w:hint="eastAsia" w:ascii="宋体" w:hAnsi="宋体" w:cs="宋体"/>
          <w:color w:val="auto"/>
          <w:sz w:val="24"/>
          <w:u w:val="single"/>
        </w:rPr>
        <w:t>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4</w:t>
      </w:r>
      <w:r>
        <w:rPr>
          <w:rFonts w:hint="eastAsia" w:ascii="宋体" w:hAnsi="宋体" w:cs="宋体"/>
          <w:color w:val="auto"/>
          <w:sz w:val="24"/>
          <w:u w:val="single"/>
        </w:rPr>
        <w:t>日，每天上午00:00至12:00，下午12:00至23:59（北京时间，</w:t>
      </w:r>
      <w:r>
        <w:rPr>
          <w:rFonts w:ascii="宋体" w:hAnsi="宋体" w:cs="宋体"/>
          <w:color w:val="auto"/>
          <w:sz w:val="24"/>
          <w:u w:val="single"/>
        </w:rPr>
        <w:t>法定节假日</w:t>
      </w:r>
      <w:r>
        <w:rPr>
          <w:rFonts w:hint="eastAsia" w:ascii="宋体" w:hAnsi="宋体" w:cs="宋体"/>
          <w:color w:val="auto"/>
          <w:sz w:val="24"/>
          <w:u w:val="single"/>
        </w:rPr>
        <w:t>除外）</w:t>
      </w:r>
    </w:p>
    <w:p w14:paraId="78774070">
      <w:pPr>
        <w:wordWrap w:val="0"/>
        <w:spacing w:line="360" w:lineRule="auto"/>
        <w:ind w:firstLine="480" w:firstLineChars="200"/>
        <w:jc w:val="left"/>
        <w:rPr>
          <w:rFonts w:ascii="宋体" w:hAnsi="宋体" w:cs="宋体"/>
          <w:color w:val="auto"/>
          <w:sz w:val="24"/>
          <w:u w:val="single"/>
        </w:rPr>
      </w:pPr>
      <w:r>
        <w:rPr>
          <w:rFonts w:ascii="宋体" w:hAnsi="宋体" w:cs="宋体"/>
          <w:color w:val="auto"/>
          <w:sz w:val="24"/>
        </w:rPr>
        <w:t>2</w:t>
      </w:r>
      <w:r>
        <w:rPr>
          <w:rFonts w:hint="eastAsia" w:ascii="宋体" w:hAnsi="宋体" w:cs="宋体"/>
          <w:color w:val="auto"/>
          <w:sz w:val="24"/>
        </w:rPr>
        <w:t>、地点：</w:t>
      </w:r>
      <w:r>
        <w:rPr>
          <w:rFonts w:hint="eastAsia" w:ascii="宋体" w:hAnsi="宋体" w:cs="宋体"/>
          <w:color w:val="auto"/>
          <w:sz w:val="24"/>
          <w:u w:val="single"/>
        </w:rPr>
        <w:t>河南省公共资源交易中心网站（网址：</w:t>
      </w:r>
      <w:r>
        <w:rPr>
          <w:rFonts w:ascii="宋体" w:hAnsi="宋体" w:cs="宋体"/>
          <w:color w:val="auto"/>
          <w:sz w:val="24"/>
          <w:u w:val="single"/>
        </w:rPr>
        <w:t>https://hnsggzyjy.henan.gov.cn//</w:t>
      </w:r>
      <w:r>
        <w:rPr>
          <w:rFonts w:hint="eastAsia" w:ascii="宋体" w:hAnsi="宋体" w:cs="宋体"/>
          <w:color w:val="auto"/>
          <w:sz w:val="24"/>
          <w:u w:val="single"/>
        </w:rPr>
        <w:t>）</w:t>
      </w:r>
    </w:p>
    <w:p w14:paraId="4DC7B6AA">
      <w:pPr>
        <w:wordWrap w:val="0"/>
        <w:spacing w:line="360" w:lineRule="auto"/>
        <w:ind w:firstLine="480" w:firstLineChars="200"/>
        <w:jc w:val="left"/>
        <w:rPr>
          <w:rFonts w:ascii="宋体" w:hAnsi="宋体" w:cs="宋体"/>
          <w:color w:val="auto"/>
          <w:sz w:val="24"/>
          <w:u w:val="single"/>
        </w:rPr>
      </w:pPr>
      <w:r>
        <w:rPr>
          <w:rFonts w:hint="eastAsia" w:ascii="宋体" w:hAnsi="宋体" w:cs="宋体"/>
          <w:color w:val="auto"/>
          <w:sz w:val="24"/>
        </w:rPr>
        <w:t>3、方式：</w:t>
      </w:r>
      <w:r>
        <w:rPr>
          <w:rFonts w:hint="eastAsia" w:ascii="宋体" w:hAnsi="宋体" w:cs="宋体"/>
          <w:color w:val="auto"/>
          <w:sz w:val="24"/>
          <w:u w:val="single"/>
        </w:rPr>
        <w:t>供应商凭CA登陆（</w:t>
      </w:r>
      <w:r>
        <w:rPr>
          <w:rFonts w:ascii="宋体" w:hAnsi="宋体" w:cs="宋体"/>
          <w:color w:val="auto"/>
          <w:sz w:val="24"/>
          <w:u w:val="single"/>
        </w:rPr>
        <w:t>https://hnsggzyjy.henan.gov.cn//</w:t>
      </w:r>
      <w:r>
        <w:rPr>
          <w:rFonts w:hint="eastAsia" w:ascii="宋体" w:hAnsi="宋体" w:cs="宋体"/>
          <w:color w:val="auto"/>
          <w:sz w:val="24"/>
          <w:u w:val="single"/>
        </w:rPr>
        <w:t>）市场主体登录系统，在规定时间内按网站提示下载采购文件。CA数字证书办理详见河南省公共资源交易中心门户网站（</w:t>
      </w:r>
      <w:r>
        <w:rPr>
          <w:rFonts w:ascii="宋体" w:hAnsi="宋体" w:cs="宋体"/>
          <w:color w:val="auto"/>
          <w:sz w:val="24"/>
          <w:u w:val="single"/>
        </w:rPr>
        <w:t>https://hnsggzyjy.henan.gov.cn//</w:t>
      </w:r>
      <w:r>
        <w:rPr>
          <w:rFonts w:hint="eastAsia" w:ascii="宋体" w:hAnsi="宋体" w:cs="宋体"/>
          <w:color w:val="auto"/>
          <w:sz w:val="24"/>
          <w:u w:val="single"/>
        </w:rPr>
        <w:t>）“办事指南”专区。</w:t>
      </w:r>
    </w:p>
    <w:p w14:paraId="0EC74F11">
      <w:pPr>
        <w:spacing w:line="360" w:lineRule="auto"/>
        <w:ind w:firstLine="480" w:firstLineChars="200"/>
        <w:jc w:val="left"/>
        <w:rPr>
          <w:rFonts w:ascii="宋体" w:hAnsi="宋体" w:cs="宋体"/>
          <w:color w:val="auto"/>
          <w:sz w:val="24"/>
        </w:rPr>
      </w:pPr>
      <w:r>
        <w:rPr>
          <w:rFonts w:ascii="宋体" w:hAnsi="宋体" w:cs="宋体"/>
          <w:color w:val="auto"/>
          <w:sz w:val="24"/>
        </w:rPr>
        <w:t>4</w:t>
      </w:r>
      <w:r>
        <w:rPr>
          <w:rFonts w:hint="eastAsia" w:ascii="宋体" w:hAnsi="宋体" w:cs="宋体"/>
          <w:color w:val="auto"/>
          <w:sz w:val="24"/>
        </w:rPr>
        <w:t>、售价：0元</w:t>
      </w:r>
    </w:p>
    <w:p w14:paraId="115B4675">
      <w:pPr>
        <w:keepNext/>
        <w:keepLines/>
        <w:tabs>
          <w:tab w:val="left" w:pos="840"/>
        </w:tabs>
        <w:spacing w:line="360" w:lineRule="auto"/>
        <w:jc w:val="left"/>
        <w:outlineLvl w:val="1"/>
        <w:rPr>
          <w:rFonts w:ascii="宋体" w:hAnsi="宋体" w:cs="宋体"/>
          <w:b/>
          <w:bCs/>
          <w:color w:val="auto"/>
          <w:sz w:val="24"/>
        </w:rPr>
      </w:pPr>
      <w:bookmarkStart w:id="22" w:name="_Toc28359082"/>
      <w:bookmarkStart w:id="23" w:name="_Toc35393793"/>
      <w:bookmarkStart w:id="24" w:name="_Toc28359005"/>
      <w:bookmarkStart w:id="25" w:name="_Toc35393624"/>
      <w:bookmarkStart w:id="26" w:name="_Toc83899270"/>
      <w:bookmarkStart w:id="27" w:name="_Toc15362"/>
      <w:r>
        <w:rPr>
          <w:rFonts w:hint="eastAsia" w:ascii="宋体" w:hAnsi="宋体" w:cs="宋体"/>
          <w:b/>
          <w:bCs/>
          <w:color w:val="auto"/>
          <w:sz w:val="24"/>
        </w:rPr>
        <w:t>四、</w:t>
      </w:r>
      <w:bookmarkEnd w:id="22"/>
      <w:bookmarkEnd w:id="23"/>
      <w:bookmarkEnd w:id="24"/>
      <w:bookmarkEnd w:id="25"/>
      <w:bookmarkEnd w:id="26"/>
      <w:r>
        <w:rPr>
          <w:rFonts w:hint="eastAsia" w:ascii="宋体" w:hAnsi="宋体" w:cs="宋体"/>
          <w:b/>
          <w:bCs/>
          <w:color w:val="auto"/>
          <w:sz w:val="24"/>
        </w:rPr>
        <w:t>响应文件提交</w:t>
      </w:r>
      <w:bookmarkEnd w:id="27"/>
    </w:p>
    <w:p w14:paraId="51A490E8">
      <w:pPr>
        <w:spacing w:line="360" w:lineRule="auto"/>
        <w:ind w:firstLine="480" w:firstLineChars="200"/>
        <w:jc w:val="left"/>
        <w:rPr>
          <w:rFonts w:hint="eastAsia" w:ascii="宋体" w:hAnsi="宋体"/>
          <w:bCs/>
          <w:color w:val="auto"/>
          <w:sz w:val="24"/>
          <w:u w:val="single"/>
        </w:rPr>
      </w:pPr>
      <w:r>
        <w:rPr>
          <w:rFonts w:hint="eastAsia" w:ascii="宋体" w:hAnsi="宋体"/>
          <w:bCs/>
          <w:color w:val="auto"/>
          <w:sz w:val="24"/>
          <w:u w:val="single"/>
        </w:rPr>
        <w:t>1.时间：202</w:t>
      </w:r>
      <w:r>
        <w:rPr>
          <w:rFonts w:ascii="宋体" w:hAnsi="宋体"/>
          <w:bCs/>
          <w:color w:val="auto"/>
          <w:sz w:val="24"/>
          <w:u w:val="single"/>
        </w:rPr>
        <w:t>4</w:t>
      </w:r>
      <w:r>
        <w:rPr>
          <w:rFonts w:hint="eastAsia" w:ascii="宋体" w:hAnsi="宋体"/>
          <w:bCs/>
          <w:color w:val="auto"/>
          <w:sz w:val="24"/>
          <w:u w:val="single"/>
        </w:rPr>
        <w:t>年</w:t>
      </w:r>
      <w:r>
        <w:rPr>
          <w:rFonts w:hint="eastAsia" w:ascii="宋体" w:hAnsi="宋体"/>
          <w:bCs/>
          <w:color w:val="auto"/>
          <w:sz w:val="24"/>
          <w:u w:val="single"/>
          <w:lang w:val="en-US" w:eastAsia="zh-CN"/>
        </w:rPr>
        <w:t>12</w:t>
      </w:r>
      <w:r>
        <w:rPr>
          <w:rFonts w:hint="eastAsia" w:ascii="宋体" w:hAnsi="宋体"/>
          <w:bCs/>
          <w:color w:val="auto"/>
          <w:sz w:val="24"/>
          <w:u w:val="single"/>
        </w:rPr>
        <w:t>月</w:t>
      </w:r>
      <w:r>
        <w:rPr>
          <w:rFonts w:hint="eastAsia" w:ascii="宋体" w:hAnsi="宋体"/>
          <w:bCs/>
          <w:color w:val="auto"/>
          <w:sz w:val="24"/>
          <w:u w:val="single"/>
          <w:lang w:val="en-US" w:eastAsia="zh-CN"/>
        </w:rPr>
        <w:t>9</w:t>
      </w:r>
      <w:r>
        <w:rPr>
          <w:rFonts w:hint="eastAsia" w:ascii="宋体" w:hAnsi="宋体"/>
          <w:bCs/>
          <w:color w:val="auto"/>
          <w:sz w:val="24"/>
          <w:u w:val="single"/>
        </w:rPr>
        <w:t xml:space="preserve">日09时00分（北京时间） </w:t>
      </w:r>
    </w:p>
    <w:p w14:paraId="418EA81C">
      <w:pPr>
        <w:spacing w:line="360" w:lineRule="auto"/>
        <w:ind w:firstLine="480" w:firstLineChars="200"/>
        <w:jc w:val="left"/>
        <w:rPr>
          <w:rFonts w:ascii="宋体" w:hAnsi="宋体" w:cs="宋体"/>
          <w:color w:val="auto"/>
          <w:sz w:val="24"/>
        </w:rPr>
      </w:pPr>
      <w:r>
        <w:rPr>
          <w:rFonts w:hint="eastAsia" w:ascii="宋体" w:hAnsi="宋体"/>
          <w:bCs/>
          <w:color w:val="auto"/>
          <w:sz w:val="24"/>
          <w:u w:val="single"/>
        </w:rPr>
        <w:t>2.地点：</w:t>
      </w:r>
      <w:r>
        <w:rPr>
          <w:bCs/>
          <w:color w:val="auto"/>
          <w:sz w:val="24"/>
          <w:u w:val="single"/>
        </w:rPr>
        <w:t>加密电子</w:t>
      </w:r>
      <w:r>
        <w:rPr>
          <w:rFonts w:hint="eastAsia"/>
          <w:bCs/>
          <w:color w:val="auto"/>
          <w:sz w:val="24"/>
          <w:u w:val="single"/>
        </w:rPr>
        <w:t>响应</w:t>
      </w:r>
      <w:r>
        <w:rPr>
          <w:bCs/>
          <w:color w:val="auto"/>
          <w:sz w:val="24"/>
          <w:u w:val="single"/>
        </w:rPr>
        <w:t>文件须在</w:t>
      </w:r>
      <w:r>
        <w:rPr>
          <w:rFonts w:hint="eastAsia"/>
          <w:bCs/>
          <w:color w:val="auto"/>
          <w:sz w:val="24"/>
          <w:u w:val="single"/>
        </w:rPr>
        <w:t>提交</w:t>
      </w:r>
      <w:r>
        <w:rPr>
          <w:bCs/>
          <w:color w:val="auto"/>
          <w:sz w:val="24"/>
          <w:u w:val="single"/>
        </w:rPr>
        <w:t>截止时间前通过“河南省公共资源交易中心新门户网站（http://www.hnggzy.net/）”电子交易平台加密上传。逾期上传的或者未上传指定系统的</w:t>
      </w:r>
      <w:r>
        <w:rPr>
          <w:rFonts w:hint="eastAsia"/>
          <w:bCs/>
          <w:color w:val="auto"/>
          <w:sz w:val="24"/>
          <w:u w:val="single"/>
        </w:rPr>
        <w:t>响应</w:t>
      </w:r>
      <w:r>
        <w:rPr>
          <w:bCs/>
          <w:color w:val="auto"/>
          <w:sz w:val="24"/>
          <w:u w:val="single"/>
        </w:rPr>
        <w:t>文件，采购人不予受理。</w:t>
      </w:r>
    </w:p>
    <w:p w14:paraId="28C21AF8">
      <w:pPr>
        <w:keepNext/>
        <w:keepLines/>
        <w:tabs>
          <w:tab w:val="left" w:pos="840"/>
        </w:tabs>
        <w:spacing w:line="360" w:lineRule="auto"/>
        <w:jc w:val="left"/>
        <w:outlineLvl w:val="1"/>
        <w:rPr>
          <w:rFonts w:ascii="宋体" w:hAnsi="宋体" w:cs="宋体"/>
          <w:b/>
          <w:bCs/>
          <w:color w:val="auto"/>
          <w:sz w:val="24"/>
        </w:rPr>
      </w:pPr>
      <w:bookmarkStart w:id="28" w:name="_Toc35393625"/>
      <w:bookmarkStart w:id="29" w:name="_Toc28359007"/>
      <w:bookmarkStart w:id="30" w:name="_Toc28359084"/>
      <w:bookmarkStart w:id="31" w:name="_Toc35393794"/>
      <w:bookmarkStart w:id="32" w:name="_Toc83899271"/>
      <w:bookmarkStart w:id="33" w:name="_Toc6985"/>
      <w:r>
        <w:rPr>
          <w:rFonts w:hint="eastAsia" w:ascii="宋体" w:hAnsi="宋体" w:cs="宋体"/>
          <w:b/>
          <w:bCs/>
          <w:color w:val="auto"/>
          <w:sz w:val="24"/>
        </w:rPr>
        <w:t>五、</w:t>
      </w:r>
      <w:bookmarkEnd w:id="28"/>
      <w:bookmarkEnd w:id="29"/>
      <w:bookmarkEnd w:id="30"/>
      <w:bookmarkEnd w:id="31"/>
      <w:bookmarkEnd w:id="32"/>
      <w:r>
        <w:rPr>
          <w:rFonts w:hint="eastAsia" w:ascii="宋体" w:hAnsi="宋体" w:cs="宋体"/>
          <w:b/>
          <w:bCs/>
          <w:color w:val="auto"/>
          <w:sz w:val="24"/>
        </w:rPr>
        <w:t>响应文件开启</w:t>
      </w:r>
      <w:bookmarkEnd w:id="33"/>
    </w:p>
    <w:p w14:paraId="0874BCC1">
      <w:pPr>
        <w:spacing w:line="360" w:lineRule="auto"/>
        <w:ind w:firstLine="480" w:firstLineChars="200"/>
        <w:jc w:val="left"/>
        <w:rPr>
          <w:rFonts w:hint="eastAsia" w:ascii="宋体" w:hAnsi="宋体" w:cs="宋体"/>
          <w:color w:val="auto"/>
          <w:kern w:val="0"/>
          <w:sz w:val="24"/>
          <w:u w:val="single"/>
        </w:rPr>
      </w:pPr>
      <w:r>
        <w:rPr>
          <w:rFonts w:hint="eastAsia" w:ascii="宋体" w:hAnsi="宋体" w:cs="宋体"/>
          <w:color w:val="auto"/>
          <w:kern w:val="0"/>
          <w:sz w:val="24"/>
          <w:u w:val="single"/>
        </w:rPr>
        <w:t>1.时间：202</w:t>
      </w:r>
      <w:r>
        <w:rPr>
          <w:rFonts w:hint="eastAsia" w:ascii="宋体" w:hAnsi="宋体" w:cs="宋体"/>
          <w:color w:val="auto"/>
          <w:kern w:val="0"/>
          <w:sz w:val="24"/>
          <w:u w:val="single"/>
          <w:lang w:val="en-US" w:eastAsia="zh-CN"/>
        </w:rPr>
        <w:t>4</w:t>
      </w:r>
      <w:r>
        <w:rPr>
          <w:rFonts w:hint="eastAsia" w:ascii="宋体" w:hAnsi="宋体" w:cs="宋体"/>
          <w:color w:val="auto"/>
          <w:kern w:val="0"/>
          <w:sz w:val="24"/>
          <w:u w:val="single"/>
        </w:rPr>
        <w:t>年</w:t>
      </w:r>
      <w:r>
        <w:rPr>
          <w:rFonts w:hint="eastAsia" w:ascii="宋体" w:hAnsi="宋体" w:cs="宋体"/>
          <w:color w:val="auto"/>
          <w:kern w:val="0"/>
          <w:sz w:val="24"/>
          <w:u w:val="single"/>
          <w:lang w:val="en-US" w:eastAsia="zh-CN"/>
        </w:rPr>
        <w:t>12</w:t>
      </w:r>
      <w:r>
        <w:rPr>
          <w:rFonts w:hint="eastAsia" w:ascii="宋体" w:hAnsi="宋体" w:cs="宋体"/>
          <w:color w:val="auto"/>
          <w:kern w:val="0"/>
          <w:sz w:val="24"/>
          <w:u w:val="single"/>
        </w:rPr>
        <w:t>月</w:t>
      </w:r>
      <w:r>
        <w:rPr>
          <w:rFonts w:hint="eastAsia" w:ascii="宋体" w:hAnsi="宋体" w:cs="宋体"/>
          <w:color w:val="auto"/>
          <w:kern w:val="0"/>
          <w:sz w:val="24"/>
          <w:u w:val="single"/>
          <w:lang w:val="en-US" w:eastAsia="zh-CN"/>
        </w:rPr>
        <w:t>9</w:t>
      </w:r>
      <w:r>
        <w:rPr>
          <w:rFonts w:hint="eastAsia" w:ascii="宋体" w:hAnsi="宋体" w:cs="宋体"/>
          <w:color w:val="auto"/>
          <w:kern w:val="0"/>
          <w:sz w:val="24"/>
          <w:u w:val="single"/>
        </w:rPr>
        <w:t>日09时00分（北京时间）</w:t>
      </w:r>
    </w:p>
    <w:p w14:paraId="451D2F28">
      <w:pPr>
        <w:spacing w:line="360" w:lineRule="auto"/>
        <w:ind w:firstLine="480" w:firstLineChars="200"/>
        <w:jc w:val="left"/>
        <w:rPr>
          <w:rFonts w:hint="eastAsia" w:ascii="宋体" w:hAnsi="宋体" w:eastAsia="宋体" w:cs="宋体"/>
          <w:color w:val="auto"/>
          <w:kern w:val="0"/>
          <w:sz w:val="24"/>
          <w:u w:val="single"/>
          <w:lang w:val="en-US" w:eastAsia="zh-CN"/>
        </w:rPr>
      </w:pPr>
      <w:r>
        <w:rPr>
          <w:rFonts w:hint="eastAsia" w:ascii="宋体" w:hAnsi="宋体" w:cs="宋体"/>
          <w:color w:val="auto"/>
          <w:kern w:val="0"/>
          <w:sz w:val="24"/>
          <w:u w:val="single"/>
        </w:rPr>
        <w:t>2.地点：</w:t>
      </w:r>
      <w:r>
        <w:rPr>
          <w:bCs/>
          <w:color w:val="auto"/>
          <w:sz w:val="24"/>
          <w:u w:val="single"/>
        </w:rPr>
        <w:t>河南省公共资源交易中心远程开标室(六)-5</w:t>
      </w:r>
      <w:r>
        <w:rPr>
          <w:rFonts w:hint="eastAsia"/>
          <w:bCs/>
          <w:color w:val="auto"/>
          <w:sz w:val="24"/>
          <w:u w:val="single"/>
        </w:rPr>
        <w:t>，郑州市经二路12号</w:t>
      </w:r>
    </w:p>
    <w:p w14:paraId="271A0588">
      <w:pPr>
        <w:keepNext/>
        <w:keepLines/>
        <w:tabs>
          <w:tab w:val="left" w:pos="840"/>
        </w:tabs>
        <w:spacing w:line="360" w:lineRule="auto"/>
        <w:jc w:val="left"/>
        <w:outlineLvl w:val="1"/>
        <w:rPr>
          <w:rFonts w:ascii="宋体" w:hAnsi="宋体" w:eastAsia="黑体" w:cs="宋体"/>
          <w:b/>
          <w:color w:val="auto"/>
          <w:kern w:val="0"/>
          <w:sz w:val="24"/>
          <w:szCs w:val="20"/>
        </w:rPr>
      </w:pPr>
      <w:bookmarkStart w:id="34" w:name="_Toc20603"/>
      <w:bookmarkStart w:id="35" w:name="_Toc83899272"/>
      <w:r>
        <w:rPr>
          <w:rFonts w:hint="eastAsia" w:ascii="宋体" w:hAnsi="宋体" w:cs="宋体"/>
          <w:b/>
          <w:bCs/>
          <w:color w:val="auto"/>
          <w:sz w:val="24"/>
        </w:rPr>
        <w:t>六、发布公告的媒介及招标公告期限</w:t>
      </w:r>
      <w:bookmarkEnd w:id="34"/>
      <w:bookmarkEnd w:id="35"/>
    </w:p>
    <w:p w14:paraId="5EE18E82">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本次招标公告在《河南省政府采购网》、《河南省公共资源交易中心网站》上发布，招标公告期限为三个工作日。</w:t>
      </w:r>
    </w:p>
    <w:p w14:paraId="615FC871">
      <w:pPr>
        <w:keepNext/>
        <w:keepLines/>
        <w:tabs>
          <w:tab w:val="left" w:pos="840"/>
        </w:tabs>
        <w:spacing w:line="360" w:lineRule="auto"/>
        <w:jc w:val="left"/>
        <w:outlineLvl w:val="1"/>
        <w:rPr>
          <w:rFonts w:ascii="宋体" w:hAnsi="宋体" w:cs="宋体"/>
          <w:b/>
          <w:bCs/>
          <w:color w:val="auto"/>
          <w:sz w:val="24"/>
        </w:rPr>
      </w:pPr>
      <w:bookmarkStart w:id="36" w:name="_Toc35393626"/>
      <w:bookmarkStart w:id="37" w:name="_Toc23806"/>
      <w:bookmarkStart w:id="38" w:name="_Toc83899273"/>
      <w:bookmarkStart w:id="39" w:name="_Toc35393795"/>
      <w:r>
        <w:rPr>
          <w:rFonts w:hint="eastAsia" w:ascii="宋体" w:hAnsi="宋体" w:cs="宋体"/>
          <w:b/>
          <w:bCs/>
          <w:color w:val="auto"/>
          <w:sz w:val="24"/>
        </w:rPr>
        <w:t>七、其他补充事宜</w:t>
      </w:r>
      <w:bookmarkEnd w:id="36"/>
      <w:bookmarkEnd w:id="37"/>
      <w:bookmarkEnd w:id="38"/>
      <w:bookmarkEnd w:id="39"/>
    </w:p>
    <w:p w14:paraId="6B0163E5">
      <w:pPr>
        <w:snapToGrid w:val="0"/>
        <w:spacing w:line="360" w:lineRule="auto"/>
        <w:ind w:firstLine="480" w:firstLineChars="200"/>
        <w:jc w:val="left"/>
        <w:rPr>
          <w:color w:val="auto"/>
          <w:kern w:val="0"/>
          <w:sz w:val="24"/>
        </w:rPr>
      </w:pPr>
      <w:r>
        <w:rPr>
          <w:color w:val="auto"/>
          <w:kern w:val="0"/>
          <w:sz w:val="24"/>
        </w:rPr>
        <w:t>1.</w:t>
      </w:r>
      <w:r>
        <w:rPr>
          <w:b/>
          <w:color w:val="auto"/>
          <w:kern w:val="0"/>
          <w:sz w:val="24"/>
        </w:rPr>
        <w:t>获取招标文件注意事项：</w:t>
      </w:r>
      <w:r>
        <w:rPr>
          <w:color w:val="auto"/>
          <w:kern w:val="0"/>
          <w:sz w:val="24"/>
        </w:rPr>
        <w:t>潜在供应商获取招标文件前应已办理公共资源电子招标投标交易平台数字证书，并完成信息登记。数字证书及信息登记办理流程可查询：河南省公共资源交易中心网站-市场主体登录-平台帮助。</w:t>
      </w:r>
    </w:p>
    <w:p w14:paraId="4D415484">
      <w:pPr>
        <w:snapToGrid w:val="0"/>
        <w:spacing w:line="360" w:lineRule="auto"/>
        <w:ind w:firstLine="480" w:firstLineChars="200"/>
        <w:jc w:val="left"/>
        <w:rPr>
          <w:color w:val="auto"/>
          <w:kern w:val="0"/>
          <w:sz w:val="24"/>
        </w:rPr>
      </w:pPr>
      <w:r>
        <w:rPr>
          <w:color w:val="auto"/>
          <w:kern w:val="0"/>
          <w:sz w:val="24"/>
        </w:rPr>
        <w:t>2.</w:t>
      </w:r>
      <w:r>
        <w:rPr>
          <w:b/>
          <w:color w:val="auto"/>
          <w:kern w:val="0"/>
          <w:sz w:val="24"/>
        </w:rPr>
        <w:t>提交</w:t>
      </w:r>
      <w:r>
        <w:rPr>
          <w:rFonts w:hint="eastAsia"/>
          <w:b/>
          <w:color w:val="auto"/>
          <w:kern w:val="0"/>
          <w:sz w:val="24"/>
        </w:rPr>
        <w:t>响应</w:t>
      </w:r>
      <w:r>
        <w:rPr>
          <w:b/>
          <w:color w:val="auto"/>
          <w:kern w:val="0"/>
          <w:sz w:val="24"/>
        </w:rPr>
        <w:t>文件截止时间、</w:t>
      </w:r>
      <w:r>
        <w:rPr>
          <w:rFonts w:hint="eastAsia"/>
          <w:b/>
          <w:color w:val="auto"/>
          <w:kern w:val="0"/>
          <w:sz w:val="24"/>
        </w:rPr>
        <w:t>开启</w:t>
      </w:r>
      <w:r>
        <w:rPr>
          <w:b/>
          <w:color w:val="auto"/>
          <w:kern w:val="0"/>
          <w:sz w:val="24"/>
        </w:rPr>
        <w:t>时间和地点注意事项：</w:t>
      </w:r>
      <w:r>
        <w:rPr>
          <w:color w:val="auto"/>
          <w:kern w:val="0"/>
          <w:sz w:val="24"/>
        </w:rPr>
        <w:t>本次交易项目实行全流程电子化，供应商无需到现场参加</w:t>
      </w:r>
      <w:r>
        <w:rPr>
          <w:rFonts w:hint="eastAsia"/>
          <w:color w:val="auto"/>
          <w:kern w:val="0"/>
          <w:sz w:val="24"/>
        </w:rPr>
        <w:t>开启</w:t>
      </w:r>
      <w:r>
        <w:rPr>
          <w:color w:val="auto"/>
          <w:kern w:val="0"/>
          <w:sz w:val="24"/>
        </w:rPr>
        <w:t>活动。供应商应通过河南省公共资源交易中心电子招标投标交易平台，按时参与</w:t>
      </w:r>
      <w:r>
        <w:rPr>
          <w:rFonts w:hint="eastAsia"/>
          <w:color w:val="auto"/>
          <w:kern w:val="0"/>
          <w:sz w:val="24"/>
        </w:rPr>
        <w:t>开启</w:t>
      </w:r>
      <w:r>
        <w:rPr>
          <w:color w:val="auto"/>
          <w:kern w:val="0"/>
          <w:sz w:val="24"/>
        </w:rPr>
        <w:t>会议，并在平台规定时间（30分钟）内远程完成</w:t>
      </w:r>
      <w:r>
        <w:rPr>
          <w:rFonts w:hint="eastAsia"/>
          <w:color w:val="auto"/>
          <w:kern w:val="0"/>
          <w:sz w:val="24"/>
        </w:rPr>
        <w:t>响应</w:t>
      </w:r>
      <w:r>
        <w:rPr>
          <w:color w:val="auto"/>
          <w:kern w:val="0"/>
          <w:sz w:val="24"/>
        </w:rPr>
        <w:t>文件的解密。未在规定时间内完成解密的投标文件，按未递交处理。详情可查询：河南省公共资源交易中心网站-公共服务-办事指南-新交易平台使用手册（培训资料）。</w:t>
      </w:r>
    </w:p>
    <w:p w14:paraId="32A46717">
      <w:pPr>
        <w:snapToGrid w:val="0"/>
        <w:spacing w:line="360" w:lineRule="auto"/>
        <w:ind w:firstLine="482" w:firstLineChars="200"/>
        <w:jc w:val="left"/>
        <w:rPr>
          <w:color w:val="auto"/>
          <w:kern w:val="0"/>
          <w:sz w:val="24"/>
        </w:rPr>
      </w:pPr>
      <w:r>
        <w:rPr>
          <w:b/>
          <w:color w:val="auto"/>
          <w:kern w:val="0"/>
          <w:sz w:val="24"/>
        </w:rPr>
        <w:t>3.落实政府采购政策：</w:t>
      </w:r>
      <w:r>
        <w:rPr>
          <w:color w:val="auto"/>
          <w:kern w:val="0"/>
          <w:sz w:val="24"/>
        </w:rPr>
        <w:t>优先或强制采购节能环保产品、优先采购环境标志性产品、优先采购自主创新产品政府采购政策，扶持不发达地区和少数民族地区，促进中小企业、监狱企业、残疾人福利性企业发展等相关政府采购政策。</w:t>
      </w:r>
    </w:p>
    <w:p w14:paraId="272EA615">
      <w:pPr>
        <w:snapToGrid w:val="0"/>
        <w:spacing w:line="360" w:lineRule="auto"/>
        <w:ind w:firstLine="482" w:firstLineChars="200"/>
        <w:jc w:val="left"/>
        <w:rPr>
          <w:color w:val="auto"/>
          <w:kern w:val="0"/>
          <w:sz w:val="24"/>
        </w:rPr>
      </w:pPr>
      <w:r>
        <w:rPr>
          <w:rFonts w:hint="eastAsia"/>
          <w:b/>
          <w:color w:val="auto"/>
          <w:kern w:val="0"/>
          <w:sz w:val="24"/>
        </w:rPr>
        <w:t>4.</w:t>
      </w:r>
      <w:r>
        <w:rPr>
          <w:b/>
          <w:color w:val="auto"/>
          <w:kern w:val="0"/>
          <w:sz w:val="24"/>
        </w:rPr>
        <w:t>中标服务费：</w:t>
      </w:r>
      <w:r>
        <w:rPr>
          <w:color w:val="auto"/>
          <w:kern w:val="0"/>
          <w:sz w:val="24"/>
        </w:rPr>
        <w:t>在中标人领取中标通知书时，采购代理机构参照《河南省招标代理服务收费指导意见》豫招协（2023）2号文件</w:t>
      </w:r>
      <w:r>
        <w:rPr>
          <w:color w:val="auto"/>
          <w:sz w:val="24"/>
        </w:rPr>
        <w:t>规定取费标准，按采购项目最高限价向中标人</w:t>
      </w:r>
      <w:r>
        <w:rPr>
          <w:color w:val="auto"/>
          <w:kern w:val="0"/>
          <w:sz w:val="24"/>
        </w:rPr>
        <w:t>收取中标服务费。</w:t>
      </w:r>
    </w:p>
    <w:p w14:paraId="2F669575">
      <w:pPr>
        <w:snapToGrid w:val="0"/>
        <w:spacing w:line="360" w:lineRule="auto"/>
        <w:ind w:firstLine="424" w:firstLineChars="177"/>
        <w:rPr>
          <w:color w:val="auto"/>
          <w:sz w:val="24"/>
        </w:rPr>
      </w:pPr>
      <w:r>
        <w:rPr>
          <w:color w:val="auto"/>
          <w:sz w:val="24"/>
        </w:rPr>
        <w:t>收费标准（货物）：</w:t>
      </w:r>
    </w:p>
    <w:tbl>
      <w:tblPr>
        <w:tblStyle w:val="6"/>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117"/>
        <w:gridCol w:w="2119"/>
        <w:gridCol w:w="2120"/>
      </w:tblGrid>
      <w:tr w14:paraId="70EE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249" w:type="pct"/>
            <w:tcBorders>
              <w:top w:val="double" w:color="auto" w:sz="4" w:space="0"/>
              <w:left w:val="double" w:color="auto" w:sz="4" w:space="0"/>
            </w:tcBorders>
            <w:noWrap w:val="0"/>
            <w:vAlign w:val="center"/>
          </w:tcPr>
          <w:p w14:paraId="2DDCB14E">
            <w:pPr>
              <w:snapToGrid w:val="0"/>
              <w:spacing w:line="360" w:lineRule="auto"/>
              <w:jc w:val="center"/>
              <w:rPr>
                <w:rFonts w:ascii="Times New Roman" w:hAnsi="Times New Roman"/>
                <w:color w:val="auto"/>
                <w:sz w:val="24"/>
              </w:rPr>
            </w:pPr>
            <w:r>
              <w:rPr>
                <w:rFonts w:ascii="Times New Roman" w:hAnsi="Times New Roman"/>
                <w:color w:val="auto"/>
                <w:sz w:val="24"/>
              </w:rPr>
              <w:t>金额（万元）</w:t>
            </w:r>
          </w:p>
        </w:tc>
        <w:tc>
          <w:tcPr>
            <w:tcW w:w="1249" w:type="pct"/>
            <w:tcBorders>
              <w:top w:val="double" w:color="auto" w:sz="4" w:space="0"/>
              <w:right w:val="double" w:color="auto" w:sz="4" w:space="0"/>
            </w:tcBorders>
            <w:noWrap w:val="0"/>
            <w:vAlign w:val="center"/>
          </w:tcPr>
          <w:p w14:paraId="6C2D2286">
            <w:pPr>
              <w:snapToGrid w:val="0"/>
              <w:spacing w:line="360" w:lineRule="auto"/>
              <w:jc w:val="center"/>
              <w:rPr>
                <w:rFonts w:ascii="Times New Roman" w:hAnsi="Times New Roman"/>
                <w:color w:val="auto"/>
                <w:sz w:val="24"/>
              </w:rPr>
            </w:pPr>
            <w:r>
              <w:rPr>
                <w:rFonts w:ascii="Times New Roman" w:hAnsi="Times New Roman"/>
                <w:color w:val="auto"/>
                <w:sz w:val="24"/>
              </w:rPr>
              <w:t>费率</w:t>
            </w:r>
          </w:p>
        </w:tc>
        <w:tc>
          <w:tcPr>
            <w:tcW w:w="1250" w:type="pct"/>
            <w:tcBorders>
              <w:top w:val="double" w:color="auto" w:sz="4" w:space="0"/>
              <w:left w:val="double" w:color="auto" w:sz="4" w:space="0"/>
            </w:tcBorders>
            <w:noWrap w:val="0"/>
            <w:vAlign w:val="center"/>
          </w:tcPr>
          <w:p w14:paraId="3CBDF87C">
            <w:pPr>
              <w:snapToGrid w:val="0"/>
              <w:spacing w:line="360" w:lineRule="auto"/>
              <w:jc w:val="center"/>
              <w:rPr>
                <w:rFonts w:ascii="Times New Roman" w:hAnsi="Times New Roman"/>
                <w:color w:val="auto"/>
                <w:sz w:val="24"/>
              </w:rPr>
            </w:pPr>
            <w:r>
              <w:rPr>
                <w:rFonts w:ascii="Times New Roman" w:hAnsi="Times New Roman"/>
                <w:color w:val="auto"/>
                <w:sz w:val="24"/>
              </w:rPr>
              <w:t>金额（万元）</w:t>
            </w:r>
          </w:p>
        </w:tc>
        <w:tc>
          <w:tcPr>
            <w:tcW w:w="1251" w:type="pct"/>
            <w:tcBorders>
              <w:top w:val="double" w:color="auto" w:sz="4" w:space="0"/>
              <w:right w:val="double" w:color="auto" w:sz="4" w:space="0"/>
            </w:tcBorders>
            <w:noWrap w:val="0"/>
            <w:vAlign w:val="center"/>
          </w:tcPr>
          <w:p w14:paraId="1B68A26C">
            <w:pPr>
              <w:snapToGrid w:val="0"/>
              <w:spacing w:line="360" w:lineRule="auto"/>
              <w:jc w:val="center"/>
              <w:rPr>
                <w:rFonts w:ascii="Times New Roman" w:hAnsi="Times New Roman"/>
                <w:color w:val="auto"/>
                <w:sz w:val="24"/>
              </w:rPr>
            </w:pPr>
            <w:r>
              <w:rPr>
                <w:rFonts w:ascii="Times New Roman" w:hAnsi="Times New Roman"/>
                <w:color w:val="auto"/>
                <w:sz w:val="24"/>
              </w:rPr>
              <w:t>费率</w:t>
            </w:r>
          </w:p>
        </w:tc>
      </w:tr>
      <w:tr w14:paraId="3C76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249" w:type="pct"/>
            <w:tcBorders>
              <w:left w:val="double" w:color="auto" w:sz="4" w:space="0"/>
            </w:tcBorders>
            <w:noWrap w:val="0"/>
            <w:vAlign w:val="center"/>
          </w:tcPr>
          <w:p w14:paraId="09F3A9BD">
            <w:pPr>
              <w:snapToGrid w:val="0"/>
              <w:spacing w:line="360" w:lineRule="auto"/>
              <w:jc w:val="center"/>
              <w:rPr>
                <w:rFonts w:ascii="Times New Roman" w:hAnsi="Times New Roman"/>
                <w:color w:val="auto"/>
                <w:sz w:val="24"/>
              </w:rPr>
            </w:pPr>
            <w:r>
              <w:rPr>
                <w:rFonts w:ascii="Times New Roman" w:hAnsi="Times New Roman"/>
                <w:color w:val="auto"/>
                <w:sz w:val="24"/>
              </w:rPr>
              <w:t>100以下</w:t>
            </w:r>
          </w:p>
        </w:tc>
        <w:tc>
          <w:tcPr>
            <w:tcW w:w="1249" w:type="pct"/>
            <w:tcBorders>
              <w:right w:val="double" w:color="auto" w:sz="4" w:space="0"/>
            </w:tcBorders>
            <w:noWrap w:val="0"/>
            <w:vAlign w:val="center"/>
          </w:tcPr>
          <w:p w14:paraId="4360310E">
            <w:pPr>
              <w:snapToGrid w:val="0"/>
              <w:spacing w:line="360" w:lineRule="auto"/>
              <w:jc w:val="center"/>
              <w:rPr>
                <w:rFonts w:ascii="Times New Roman" w:hAnsi="Times New Roman"/>
                <w:color w:val="auto"/>
                <w:sz w:val="24"/>
              </w:rPr>
            </w:pPr>
            <w:r>
              <w:rPr>
                <w:rFonts w:ascii="Times New Roman" w:hAnsi="Times New Roman"/>
                <w:color w:val="auto"/>
                <w:sz w:val="24"/>
              </w:rPr>
              <w:t>1.7%</w:t>
            </w:r>
          </w:p>
        </w:tc>
        <w:tc>
          <w:tcPr>
            <w:tcW w:w="1250" w:type="pct"/>
            <w:tcBorders>
              <w:left w:val="double" w:color="auto" w:sz="4" w:space="0"/>
            </w:tcBorders>
            <w:noWrap w:val="0"/>
            <w:vAlign w:val="center"/>
          </w:tcPr>
          <w:p w14:paraId="19B200CA">
            <w:pPr>
              <w:snapToGrid w:val="0"/>
              <w:spacing w:line="360" w:lineRule="auto"/>
              <w:jc w:val="center"/>
              <w:rPr>
                <w:rFonts w:ascii="Times New Roman" w:hAnsi="Times New Roman"/>
                <w:color w:val="auto"/>
                <w:sz w:val="24"/>
              </w:rPr>
            </w:pPr>
            <w:r>
              <w:rPr>
                <w:rFonts w:ascii="Times New Roman" w:hAnsi="Times New Roman"/>
                <w:color w:val="auto"/>
                <w:sz w:val="24"/>
              </w:rPr>
              <w:t>500-1000</w:t>
            </w:r>
          </w:p>
        </w:tc>
        <w:tc>
          <w:tcPr>
            <w:tcW w:w="1251" w:type="pct"/>
            <w:tcBorders>
              <w:right w:val="double" w:color="auto" w:sz="4" w:space="0"/>
            </w:tcBorders>
            <w:noWrap w:val="0"/>
            <w:vAlign w:val="center"/>
          </w:tcPr>
          <w:p w14:paraId="503300B4">
            <w:pPr>
              <w:snapToGrid w:val="0"/>
              <w:spacing w:line="360" w:lineRule="auto"/>
              <w:jc w:val="center"/>
              <w:rPr>
                <w:rFonts w:ascii="Times New Roman" w:hAnsi="Times New Roman"/>
                <w:color w:val="auto"/>
                <w:sz w:val="24"/>
              </w:rPr>
            </w:pPr>
            <w:r>
              <w:rPr>
                <w:rFonts w:ascii="Times New Roman" w:hAnsi="Times New Roman"/>
                <w:color w:val="auto"/>
                <w:sz w:val="24"/>
              </w:rPr>
              <w:t>0.8%</w:t>
            </w:r>
          </w:p>
        </w:tc>
      </w:tr>
      <w:tr w14:paraId="55DF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249" w:type="pct"/>
            <w:tcBorders>
              <w:left w:val="double" w:color="auto" w:sz="4" w:space="0"/>
              <w:bottom w:val="double" w:color="auto" w:sz="4" w:space="0"/>
            </w:tcBorders>
            <w:noWrap w:val="0"/>
            <w:vAlign w:val="center"/>
          </w:tcPr>
          <w:p w14:paraId="5BDEB093">
            <w:pPr>
              <w:snapToGrid w:val="0"/>
              <w:spacing w:line="360" w:lineRule="auto"/>
              <w:jc w:val="center"/>
              <w:rPr>
                <w:rFonts w:ascii="Times New Roman" w:hAnsi="Times New Roman"/>
                <w:color w:val="auto"/>
                <w:sz w:val="24"/>
              </w:rPr>
            </w:pPr>
            <w:r>
              <w:rPr>
                <w:rFonts w:ascii="Times New Roman" w:hAnsi="Times New Roman"/>
                <w:color w:val="auto"/>
                <w:sz w:val="24"/>
              </w:rPr>
              <w:t>100-500</w:t>
            </w:r>
          </w:p>
        </w:tc>
        <w:tc>
          <w:tcPr>
            <w:tcW w:w="1249" w:type="pct"/>
            <w:tcBorders>
              <w:bottom w:val="double" w:color="auto" w:sz="4" w:space="0"/>
              <w:right w:val="double" w:color="auto" w:sz="4" w:space="0"/>
            </w:tcBorders>
            <w:noWrap w:val="0"/>
            <w:vAlign w:val="center"/>
          </w:tcPr>
          <w:p w14:paraId="672BB2AD">
            <w:pPr>
              <w:snapToGrid w:val="0"/>
              <w:spacing w:line="360" w:lineRule="auto"/>
              <w:jc w:val="center"/>
              <w:rPr>
                <w:rFonts w:ascii="Times New Roman" w:hAnsi="Times New Roman"/>
                <w:color w:val="auto"/>
                <w:sz w:val="24"/>
              </w:rPr>
            </w:pPr>
            <w:r>
              <w:rPr>
                <w:rFonts w:ascii="Times New Roman" w:hAnsi="Times New Roman"/>
                <w:color w:val="auto"/>
                <w:sz w:val="24"/>
              </w:rPr>
              <w:t>1.2%</w:t>
            </w:r>
          </w:p>
        </w:tc>
        <w:tc>
          <w:tcPr>
            <w:tcW w:w="1250" w:type="pct"/>
            <w:tcBorders>
              <w:left w:val="double" w:color="auto" w:sz="4" w:space="0"/>
              <w:bottom w:val="double" w:color="auto" w:sz="4" w:space="0"/>
            </w:tcBorders>
            <w:noWrap w:val="0"/>
            <w:vAlign w:val="center"/>
          </w:tcPr>
          <w:p w14:paraId="420950FB">
            <w:pPr>
              <w:snapToGrid w:val="0"/>
              <w:spacing w:line="360" w:lineRule="auto"/>
              <w:jc w:val="center"/>
              <w:rPr>
                <w:rFonts w:ascii="Times New Roman" w:hAnsi="Times New Roman"/>
                <w:color w:val="auto"/>
                <w:sz w:val="24"/>
              </w:rPr>
            </w:pPr>
            <w:r>
              <w:rPr>
                <w:rFonts w:ascii="Times New Roman" w:hAnsi="Times New Roman"/>
                <w:color w:val="auto"/>
                <w:sz w:val="24"/>
              </w:rPr>
              <w:t>1000-5000</w:t>
            </w:r>
          </w:p>
        </w:tc>
        <w:tc>
          <w:tcPr>
            <w:tcW w:w="1251" w:type="pct"/>
            <w:tcBorders>
              <w:bottom w:val="double" w:color="auto" w:sz="4" w:space="0"/>
              <w:right w:val="double" w:color="auto" w:sz="4" w:space="0"/>
            </w:tcBorders>
            <w:noWrap w:val="0"/>
            <w:vAlign w:val="center"/>
          </w:tcPr>
          <w:p w14:paraId="71824017">
            <w:pPr>
              <w:snapToGrid w:val="0"/>
              <w:spacing w:line="360" w:lineRule="auto"/>
              <w:jc w:val="center"/>
              <w:rPr>
                <w:rFonts w:ascii="Times New Roman" w:hAnsi="Times New Roman"/>
                <w:color w:val="auto"/>
                <w:sz w:val="24"/>
              </w:rPr>
            </w:pPr>
            <w:r>
              <w:rPr>
                <w:rFonts w:ascii="Times New Roman" w:hAnsi="Times New Roman"/>
                <w:color w:val="auto"/>
                <w:sz w:val="24"/>
              </w:rPr>
              <w:t>0.5%</w:t>
            </w:r>
          </w:p>
        </w:tc>
      </w:tr>
    </w:tbl>
    <w:p w14:paraId="66A102A5">
      <w:pPr>
        <w:spacing w:line="360" w:lineRule="auto"/>
        <w:ind w:firstLine="440" w:firstLineChars="200"/>
        <w:jc w:val="left"/>
        <w:rPr>
          <w:color w:val="auto"/>
          <w:kern w:val="0"/>
          <w:sz w:val="22"/>
          <w:szCs w:val="22"/>
        </w:rPr>
      </w:pPr>
      <w:r>
        <w:rPr>
          <w:color w:val="auto"/>
          <w:kern w:val="0"/>
          <w:sz w:val="22"/>
          <w:szCs w:val="22"/>
        </w:rPr>
        <w:t>注:计费方式为分段累进计费。</w:t>
      </w:r>
    </w:p>
    <w:p w14:paraId="62207510">
      <w:pPr>
        <w:keepNext/>
        <w:keepLines/>
        <w:tabs>
          <w:tab w:val="left" w:pos="840"/>
        </w:tabs>
        <w:spacing w:line="360" w:lineRule="auto"/>
        <w:jc w:val="left"/>
        <w:outlineLvl w:val="1"/>
        <w:rPr>
          <w:rFonts w:ascii="宋体" w:hAnsi="宋体" w:cs="宋体"/>
          <w:bCs/>
          <w:color w:val="auto"/>
          <w:sz w:val="24"/>
        </w:rPr>
      </w:pPr>
      <w:bookmarkStart w:id="40" w:name="_Toc28359085"/>
      <w:bookmarkStart w:id="41" w:name="_Toc35393627"/>
      <w:bookmarkStart w:id="42" w:name="_Toc28359008"/>
      <w:bookmarkStart w:id="43" w:name="_Toc921"/>
      <w:bookmarkStart w:id="44" w:name="_Toc35393796"/>
      <w:bookmarkStart w:id="45" w:name="_Toc83899274"/>
      <w:r>
        <w:rPr>
          <w:rFonts w:hint="eastAsia" w:ascii="宋体" w:hAnsi="宋体" w:cs="宋体"/>
          <w:b/>
          <w:bCs/>
          <w:color w:val="auto"/>
          <w:sz w:val="24"/>
        </w:rPr>
        <w:t>八、凡对本次招标提出询问，请按照</w:t>
      </w:r>
      <w:r>
        <w:rPr>
          <w:rFonts w:ascii="宋体" w:hAnsi="宋体" w:cs="宋体"/>
          <w:b/>
          <w:bCs/>
          <w:color w:val="auto"/>
          <w:sz w:val="24"/>
        </w:rPr>
        <w:t>以下方式</w:t>
      </w:r>
      <w:r>
        <w:rPr>
          <w:rFonts w:hint="eastAsia" w:ascii="宋体" w:hAnsi="宋体" w:cs="宋体"/>
          <w:b/>
          <w:bCs/>
          <w:color w:val="auto"/>
          <w:sz w:val="24"/>
        </w:rPr>
        <w:t>联系。</w:t>
      </w:r>
      <w:bookmarkEnd w:id="40"/>
      <w:bookmarkEnd w:id="41"/>
      <w:bookmarkEnd w:id="42"/>
      <w:bookmarkEnd w:id="43"/>
      <w:bookmarkEnd w:id="44"/>
      <w:bookmarkEnd w:id="45"/>
    </w:p>
    <w:bookmarkEnd w:id="1"/>
    <w:bookmarkEnd w:id="2"/>
    <w:p w14:paraId="48528780">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1. 采购人信息 </w:t>
      </w:r>
    </w:p>
    <w:p w14:paraId="63972318">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名称：南阳师范学院</w:t>
      </w:r>
    </w:p>
    <w:p w14:paraId="3AC93752">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地址：河南省南阳市卧龙区卧龙路1638号</w:t>
      </w:r>
    </w:p>
    <w:p w14:paraId="4B2B5623">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联系人：赵禹</w:t>
      </w:r>
    </w:p>
    <w:p w14:paraId="0EBF8CC1">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联系方式：</w:t>
      </w:r>
      <w:r>
        <w:rPr>
          <w:rFonts w:ascii="宋体" w:hAnsi="宋体" w:cs="宋体"/>
          <w:color w:val="auto"/>
          <w:sz w:val="24"/>
        </w:rPr>
        <w:t>0377-63513796</w:t>
      </w:r>
    </w:p>
    <w:p w14:paraId="10857E56">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2.采购代理机构信息（如有） </w:t>
      </w:r>
    </w:p>
    <w:p w14:paraId="06FF4060">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名称：河南省机电设备国际招标有限公司 </w:t>
      </w:r>
    </w:p>
    <w:p w14:paraId="18405040">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地址：河南省郑州市商都路27号财信大厦14-15层 </w:t>
      </w:r>
    </w:p>
    <w:p w14:paraId="4DA505E1">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联系人：李长江、牛英宇、王艳、李炎</w:t>
      </w:r>
    </w:p>
    <w:p w14:paraId="02F9A094">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联系方式：0371-65954154 </w:t>
      </w:r>
    </w:p>
    <w:p w14:paraId="1B94A09F">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3.项目联系方式 </w:t>
      </w:r>
    </w:p>
    <w:p w14:paraId="648CA4A1">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项目联系人：李长江、牛英宇、王艳、李炎</w:t>
      </w:r>
    </w:p>
    <w:p w14:paraId="7F79D0AB">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联系方式：0371-65954154</w:t>
      </w:r>
    </w:p>
    <w:p w14:paraId="02467B29">
      <w:pPr>
        <w:rPr>
          <w:rFonts w:hint="eastAsia" w:ascii="宋体" w:hAnsi="宋体" w:cs="宋体"/>
          <w:color w:val="auto"/>
          <w:sz w:val="28"/>
          <w:szCs w:val="28"/>
        </w:rPr>
      </w:pPr>
    </w:p>
    <w:p w14:paraId="4B80FC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303788"/>
    <w:multiLevelType w:val="multilevel"/>
    <w:tmpl w:val="77303788"/>
    <w:lvl w:ilvl="0" w:tentative="0">
      <w:start w:val="1"/>
      <w:numFmt w:val="decimal"/>
      <w:lvlText w:val="第%1章"/>
      <w:lvlJc w:val="left"/>
      <w:pPr>
        <w:tabs>
          <w:tab w:val="left" w:pos="3060"/>
        </w:tabs>
        <w:ind w:left="3060" w:hanging="1260"/>
      </w:pPr>
      <w:rPr>
        <w:rFonts w:hint="eastAsia"/>
      </w:rPr>
    </w:lvl>
    <w:lvl w:ilvl="1" w:tentative="0">
      <w:start w:val="1"/>
      <w:numFmt w:val="chineseCountingThousand"/>
      <w:pStyle w:val="3"/>
      <w:lvlText w:val="第%2章 "/>
      <w:lvlJc w:val="left"/>
      <w:pPr>
        <w:tabs>
          <w:tab w:val="left" w:pos="4417"/>
        </w:tabs>
        <w:ind w:left="3397" w:hanging="420"/>
      </w:pPr>
      <w:rPr>
        <w:rFonts w:hint="eastAsia"/>
      </w:rPr>
    </w:lvl>
    <w:lvl w:ilvl="2" w:tentative="0">
      <w:start w:val="1"/>
      <w:numFmt w:val="decimal"/>
      <w:lvlText w:val="(%3)"/>
      <w:lvlJc w:val="left"/>
      <w:pPr>
        <w:tabs>
          <w:tab w:val="left" w:pos="1485"/>
        </w:tabs>
        <w:ind w:left="1485" w:hanging="360"/>
      </w:pPr>
      <w:rPr>
        <w:rFonts w:hint="eastAsia"/>
        <w:b w:val="0"/>
      </w:rPr>
    </w:lvl>
    <w:lvl w:ilvl="3" w:tentative="0">
      <w:start w:val="1"/>
      <w:numFmt w:val="decimal"/>
      <w:lvlText w:val="%4、"/>
      <w:lvlJc w:val="left"/>
      <w:pPr>
        <w:tabs>
          <w:tab w:val="left" w:pos="2062"/>
        </w:tabs>
        <w:ind w:left="2062" w:hanging="360"/>
      </w:pPr>
      <w:rPr>
        <w:rFonts w:hint="eastAsia"/>
      </w:rPr>
    </w:lvl>
    <w:lvl w:ilvl="4" w:tentative="0">
      <w:start w:val="1"/>
      <w:numFmt w:val="lowerLetter"/>
      <w:lvlText w:val="%5)"/>
      <w:lvlJc w:val="left"/>
      <w:pPr>
        <w:tabs>
          <w:tab w:val="left" w:pos="2385"/>
        </w:tabs>
        <w:ind w:left="2385" w:hanging="420"/>
      </w:pPr>
      <w:rPr>
        <w:rFonts w:hint="eastAsia"/>
      </w:rPr>
    </w:lvl>
    <w:lvl w:ilvl="5" w:tentative="0">
      <w:start w:val="1"/>
      <w:numFmt w:val="lowerRoman"/>
      <w:lvlText w:val="%6."/>
      <w:lvlJc w:val="right"/>
      <w:pPr>
        <w:tabs>
          <w:tab w:val="left" w:pos="2805"/>
        </w:tabs>
        <w:ind w:left="2805" w:hanging="420"/>
      </w:pPr>
      <w:rPr>
        <w:rFonts w:hint="eastAsia"/>
      </w:rPr>
    </w:lvl>
    <w:lvl w:ilvl="6" w:tentative="0">
      <w:start w:val="1"/>
      <w:numFmt w:val="decimal"/>
      <w:lvlText w:val="%7."/>
      <w:lvlJc w:val="left"/>
      <w:pPr>
        <w:tabs>
          <w:tab w:val="left" w:pos="3225"/>
        </w:tabs>
        <w:ind w:left="3225" w:hanging="420"/>
      </w:pPr>
      <w:rPr>
        <w:rFonts w:hint="eastAsia"/>
      </w:rPr>
    </w:lvl>
    <w:lvl w:ilvl="7" w:tentative="0">
      <w:start w:val="1"/>
      <w:numFmt w:val="lowerLetter"/>
      <w:lvlText w:val="%8)"/>
      <w:lvlJc w:val="left"/>
      <w:pPr>
        <w:tabs>
          <w:tab w:val="left" w:pos="3645"/>
        </w:tabs>
        <w:ind w:left="3645" w:hanging="420"/>
      </w:pPr>
      <w:rPr>
        <w:rFonts w:hint="eastAsia"/>
      </w:rPr>
    </w:lvl>
    <w:lvl w:ilvl="8" w:tentative="0">
      <w:start w:val="1"/>
      <w:numFmt w:val="lowerRoman"/>
      <w:lvlText w:val="%9."/>
      <w:lvlJc w:val="right"/>
      <w:pPr>
        <w:tabs>
          <w:tab w:val="left" w:pos="4065"/>
        </w:tabs>
        <w:ind w:left="4065"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C10C2"/>
    <w:rsid w:val="3CFB3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1"/>
        <w:numId w:val="1"/>
      </w:numPr>
      <w:tabs>
        <w:tab w:val="left" w:pos="4275"/>
        <w:tab w:val="left" w:pos="5410"/>
      </w:tabs>
      <w:spacing w:line="578" w:lineRule="auto"/>
      <w:outlineLvl w:val="0"/>
    </w:pPr>
    <w:rPr>
      <w:rFonts w:ascii="Calibri" w:hAnsi="Calibri" w:eastAsia="楷体_GB2312"/>
      <w:b/>
      <w:kern w:val="44"/>
      <w:sz w:val="4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rPr>
      <w:rFonts w:ascii="楷体_GB2312" w:eastAsia="楷体_GB2312"/>
      <w:kern w:val="0"/>
      <w:sz w:val="28"/>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1970</Words>
  <Characters>2351</Characters>
  <Lines>0</Lines>
  <Paragraphs>0</Paragraphs>
  <TotalTime>2</TotalTime>
  <ScaleCrop>false</ScaleCrop>
  <LinksUpToDate>false</LinksUpToDate>
  <CharactersWithSpaces>2360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2024-11-27T03:07:00Z</dcterms:created>
  <dc:creator>Administrator</dc:creator>
  <cp:lastModifiedBy>珂瑞</cp:lastModifiedBy>
  <dcterms:modified xsi:type="dcterms:W3CDTF">2024-11-27T03:25:54Z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54EC1A55B66D4685861C932015F38820_12</vt:lpwstr>
  </property>
</Properties>
</file>