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6C3469">
      <w:pPr>
        <w:spacing w:line="360" w:lineRule="auto"/>
        <w:jc w:val="center"/>
        <w:outlineLvl w:val="9"/>
        <w:rPr>
          <w:rFonts w:hint="eastAsia" w:ascii="宋体" w:hAnsi="宋体" w:eastAsia="宋体" w:cs="宋体"/>
          <w:b/>
          <w:bCs/>
          <w:color w:val="auto"/>
          <w:kern w:val="0"/>
          <w:sz w:val="52"/>
          <w:szCs w:val="52"/>
          <w:lang w:eastAsia="zh-CN"/>
        </w:rPr>
      </w:pPr>
      <w:r>
        <w:rPr>
          <w:rFonts w:hint="eastAsia" w:ascii="宋体" w:hAnsi="宋体" w:eastAsia="宋体" w:cs="宋体"/>
          <w:b/>
          <w:bCs/>
          <w:color w:val="auto"/>
          <w:kern w:val="0"/>
          <w:sz w:val="52"/>
          <w:szCs w:val="52"/>
          <w:lang w:eastAsia="zh-CN"/>
        </w:rPr>
        <w:drawing>
          <wp:anchor distT="0" distB="0" distL="114300" distR="114300" simplePos="0" relativeHeight="251660288" behindDoc="0" locked="0" layoutInCell="1" allowOverlap="1">
            <wp:simplePos x="0" y="0"/>
            <wp:positionH relativeFrom="column">
              <wp:posOffset>-503555</wp:posOffset>
            </wp:positionH>
            <wp:positionV relativeFrom="paragraph">
              <wp:posOffset>-762000</wp:posOffset>
            </wp:positionV>
            <wp:extent cx="7317740" cy="10422890"/>
            <wp:effectExtent l="0" t="0" r="16510" b="16510"/>
            <wp:wrapNone/>
            <wp:docPr id="1" name="图片 1" descr="33bda812c985233830d90ad2701c54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3bda812c985233830d90ad2701c54ee"/>
                    <pic:cNvPicPr>
                      <a:picLocks noChangeAspect="1"/>
                    </pic:cNvPicPr>
                  </pic:nvPicPr>
                  <pic:blipFill>
                    <a:blip r:embed="rId10"/>
                    <a:stretch>
                      <a:fillRect/>
                    </a:stretch>
                  </pic:blipFill>
                  <pic:spPr>
                    <a:xfrm>
                      <a:off x="0" y="0"/>
                      <a:ext cx="7317740" cy="10422890"/>
                    </a:xfrm>
                    <a:prstGeom prst="rect">
                      <a:avLst/>
                    </a:prstGeom>
                  </pic:spPr>
                </pic:pic>
              </a:graphicData>
            </a:graphic>
          </wp:anchor>
        </w:drawing>
      </w:r>
      <w:r>
        <w:rPr>
          <w:rFonts w:hint="eastAsia" w:ascii="宋体" w:hAnsi="宋体" w:eastAsia="宋体" w:cs="宋体"/>
          <w:b/>
          <w:bCs/>
          <w:color w:val="auto"/>
          <w:kern w:val="0"/>
          <w:sz w:val="28"/>
          <w:szCs w:val="28"/>
          <w:lang w:eastAsia="zh-CN"/>
        </w:rPr>
        <w:drawing>
          <wp:anchor distT="0" distB="0" distL="114300" distR="114300" simplePos="0" relativeHeight="251659264" behindDoc="1" locked="0" layoutInCell="1" allowOverlap="1">
            <wp:simplePos x="0" y="0"/>
            <wp:positionH relativeFrom="column">
              <wp:posOffset>-285750</wp:posOffset>
            </wp:positionH>
            <wp:positionV relativeFrom="paragraph">
              <wp:posOffset>-97790</wp:posOffset>
            </wp:positionV>
            <wp:extent cx="1549400" cy="895350"/>
            <wp:effectExtent l="0" t="0" r="12700" b="0"/>
            <wp:wrapNone/>
            <wp:docPr id="4" name="图片 4" descr="JIAY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JIAYING"/>
                    <pic:cNvPicPr>
                      <a:picLocks noChangeAspect="1"/>
                    </pic:cNvPicPr>
                  </pic:nvPicPr>
                  <pic:blipFill>
                    <a:blip r:embed="rId11"/>
                    <a:srcRect l="8032" t="5607" r="3578" b="24967"/>
                    <a:stretch>
                      <a:fillRect/>
                    </a:stretch>
                  </pic:blipFill>
                  <pic:spPr>
                    <a:xfrm>
                      <a:off x="0" y="0"/>
                      <a:ext cx="1549400" cy="895350"/>
                    </a:xfrm>
                    <a:prstGeom prst="rect">
                      <a:avLst/>
                    </a:prstGeom>
                  </pic:spPr>
                </pic:pic>
              </a:graphicData>
            </a:graphic>
          </wp:anchor>
        </w:drawing>
      </w:r>
    </w:p>
    <w:p w14:paraId="3FCD51C6">
      <w:pPr>
        <w:spacing w:line="360" w:lineRule="auto"/>
        <w:jc w:val="center"/>
        <w:outlineLvl w:val="9"/>
        <w:rPr>
          <w:rFonts w:hint="eastAsia" w:ascii="宋体" w:hAnsi="宋体" w:eastAsia="宋体" w:cs="宋体"/>
          <w:b/>
          <w:bCs/>
          <w:color w:val="auto"/>
          <w:kern w:val="0"/>
          <w:sz w:val="52"/>
          <w:szCs w:val="52"/>
          <w:lang w:eastAsia="zh-CN"/>
        </w:rPr>
      </w:pPr>
    </w:p>
    <w:p w14:paraId="59CD2FB0">
      <w:pPr>
        <w:spacing w:line="360" w:lineRule="auto"/>
        <w:jc w:val="center"/>
        <w:outlineLvl w:val="9"/>
        <w:rPr>
          <w:rFonts w:hint="eastAsia" w:ascii="宋体" w:hAnsi="宋体" w:eastAsia="宋体" w:cs="宋体"/>
          <w:b w:val="0"/>
          <w:bCs w:val="0"/>
          <w:color w:val="auto"/>
          <w:spacing w:val="34"/>
          <w:kern w:val="0"/>
          <w:sz w:val="52"/>
          <w:szCs w:val="52"/>
          <w:lang w:eastAsia="zh-CN"/>
        </w:rPr>
      </w:pPr>
      <w:r>
        <w:rPr>
          <w:rFonts w:hint="eastAsia" w:ascii="宋体" w:hAnsi="宋体" w:eastAsia="宋体" w:cs="宋体"/>
          <w:b w:val="0"/>
          <w:bCs w:val="0"/>
          <w:color w:val="auto"/>
          <w:spacing w:val="34"/>
          <w:kern w:val="0"/>
          <w:sz w:val="52"/>
          <w:szCs w:val="52"/>
          <w:lang w:eastAsia="zh-CN"/>
        </w:rPr>
        <w:t>平顶山市第一高级中学2026-2027</w:t>
      </w:r>
    </w:p>
    <w:p w14:paraId="23FF7F97">
      <w:pPr>
        <w:spacing w:line="360" w:lineRule="auto"/>
        <w:jc w:val="center"/>
        <w:outlineLvl w:val="9"/>
        <w:rPr>
          <w:rFonts w:hint="eastAsia" w:ascii="宋体" w:hAnsi="宋体" w:eastAsia="宋体" w:cs="宋体"/>
          <w:b/>
          <w:bCs/>
          <w:color w:val="auto"/>
          <w:kern w:val="0"/>
          <w:sz w:val="60"/>
          <w:szCs w:val="60"/>
          <w:lang w:eastAsia="zh-CN"/>
        </w:rPr>
      </w:pPr>
      <w:r>
        <w:rPr>
          <w:rFonts w:hint="eastAsia" w:ascii="宋体" w:hAnsi="宋体" w:eastAsia="宋体" w:cs="宋体"/>
          <w:b w:val="0"/>
          <w:bCs w:val="0"/>
          <w:color w:val="auto"/>
          <w:spacing w:val="34"/>
          <w:kern w:val="0"/>
          <w:sz w:val="52"/>
          <w:szCs w:val="52"/>
          <w:lang w:eastAsia="zh-CN"/>
        </w:rPr>
        <w:t>年度安全管理服务项目</w:t>
      </w:r>
    </w:p>
    <w:p w14:paraId="6848921B">
      <w:pPr>
        <w:spacing w:line="360" w:lineRule="auto"/>
        <w:jc w:val="center"/>
        <w:outlineLvl w:val="9"/>
        <w:rPr>
          <w:rFonts w:hint="eastAsia" w:ascii="宋体" w:hAnsi="宋体" w:eastAsia="宋体" w:cs="宋体"/>
          <w:b/>
          <w:bCs/>
          <w:color w:val="auto"/>
          <w:kern w:val="0"/>
          <w:sz w:val="60"/>
          <w:szCs w:val="60"/>
          <w:lang w:eastAsia="zh-CN"/>
        </w:rPr>
      </w:pPr>
    </w:p>
    <w:p w14:paraId="3E93F3FC">
      <w:pPr>
        <w:spacing w:line="360" w:lineRule="auto"/>
        <w:jc w:val="center"/>
        <w:outlineLvl w:val="9"/>
        <w:rPr>
          <w:rFonts w:hint="eastAsia" w:ascii="宋体" w:hAnsi="宋体" w:eastAsia="宋体" w:cs="宋体"/>
          <w:b/>
          <w:bCs/>
          <w:color w:val="auto"/>
          <w:kern w:val="0"/>
          <w:sz w:val="60"/>
          <w:szCs w:val="60"/>
          <w:lang w:eastAsia="zh-CN"/>
        </w:rPr>
      </w:pPr>
    </w:p>
    <w:p w14:paraId="106993FA">
      <w:pPr>
        <w:keepNext w:val="0"/>
        <w:keepLines w:val="0"/>
        <w:pageBreakBefore w:val="0"/>
        <w:widowControl w:val="0"/>
        <w:kinsoku/>
        <w:wordWrap/>
        <w:overflowPunct/>
        <w:topLinePunct w:val="0"/>
        <w:autoSpaceDE/>
        <w:autoSpaceDN/>
        <w:bidi w:val="0"/>
        <w:adjustRightInd/>
        <w:snapToGrid/>
        <w:spacing w:line="336" w:lineRule="auto"/>
        <w:jc w:val="center"/>
        <w:textAlignment w:val="auto"/>
        <w:outlineLvl w:val="9"/>
        <w:rPr>
          <w:rFonts w:hint="eastAsia" w:ascii="宋体" w:hAnsi="宋体" w:eastAsia="宋体" w:cs="宋体"/>
          <w:b w:val="0"/>
          <w:bCs w:val="0"/>
          <w:color w:val="auto"/>
          <w:kern w:val="0"/>
          <w:sz w:val="84"/>
          <w:szCs w:val="84"/>
          <w:lang w:val="en-US" w:eastAsia="zh-CN"/>
        </w:rPr>
      </w:pPr>
      <w:r>
        <w:rPr>
          <w:rFonts w:hint="eastAsia" w:ascii="宋体" w:hAnsi="宋体" w:eastAsia="宋体" w:cs="宋体"/>
          <w:b w:val="0"/>
          <w:bCs w:val="0"/>
          <w:color w:val="auto"/>
          <w:kern w:val="0"/>
          <w:sz w:val="84"/>
          <w:szCs w:val="84"/>
          <w:lang w:val="en-US" w:eastAsia="zh-CN"/>
        </w:rPr>
        <w:t>磋</w:t>
      </w:r>
      <w:r>
        <w:rPr>
          <w:rFonts w:hint="eastAsia" w:ascii="宋体" w:hAnsi="宋体" w:cs="宋体"/>
          <w:b w:val="0"/>
          <w:bCs w:val="0"/>
          <w:color w:val="auto"/>
          <w:kern w:val="0"/>
          <w:sz w:val="84"/>
          <w:szCs w:val="84"/>
          <w:lang w:val="en-US" w:eastAsia="zh-CN"/>
        </w:rPr>
        <w:t xml:space="preserve"> </w:t>
      </w:r>
      <w:r>
        <w:rPr>
          <w:rFonts w:hint="eastAsia" w:ascii="宋体" w:hAnsi="宋体" w:eastAsia="宋体" w:cs="宋体"/>
          <w:b w:val="0"/>
          <w:bCs w:val="0"/>
          <w:color w:val="auto"/>
          <w:kern w:val="0"/>
          <w:sz w:val="84"/>
          <w:szCs w:val="84"/>
          <w:lang w:val="en-US" w:eastAsia="zh-CN"/>
        </w:rPr>
        <w:t>商</w:t>
      </w:r>
      <w:r>
        <w:rPr>
          <w:rFonts w:hint="eastAsia" w:ascii="宋体" w:hAnsi="宋体" w:cs="宋体"/>
          <w:b w:val="0"/>
          <w:bCs w:val="0"/>
          <w:color w:val="auto"/>
          <w:kern w:val="0"/>
          <w:sz w:val="84"/>
          <w:szCs w:val="84"/>
          <w:lang w:val="en-US" w:eastAsia="zh-CN"/>
        </w:rPr>
        <w:t xml:space="preserve"> </w:t>
      </w:r>
      <w:r>
        <w:rPr>
          <w:rFonts w:hint="eastAsia" w:ascii="宋体" w:hAnsi="宋体" w:eastAsia="宋体" w:cs="宋体"/>
          <w:b w:val="0"/>
          <w:bCs w:val="0"/>
          <w:color w:val="auto"/>
          <w:kern w:val="0"/>
          <w:sz w:val="84"/>
          <w:szCs w:val="84"/>
          <w:lang w:val="en-US" w:eastAsia="zh-CN"/>
        </w:rPr>
        <w:t>文</w:t>
      </w:r>
      <w:r>
        <w:rPr>
          <w:rFonts w:hint="eastAsia" w:ascii="宋体" w:hAnsi="宋体" w:cs="宋体"/>
          <w:b w:val="0"/>
          <w:bCs w:val="0"/>
          <w:color w:val="auto"/>
          <w:kern w:val="0"/>
          <w:sz w:val="84"/>
          <w:szCs w:val="84"/>
          <w:lang w:val="en-US" w:eastAsia="zh-CN"/>
        </w:rPr>
        <w:t xml:space="preserve"> </w:t>
      </w:r>
      <w:r>
        <w:rPr>
          <w:rFonts w:hint="eastAsia" w:ascii="宋体" w:hAnsi="宋体" w:eastAsia="宋体" w:cs="宋体"/>
          <w:b w:val="0"/>
          <w:bCs w:val="0"/>
          <w:color w:val="auto"/>
          <w:kern w:val="0"/>
          <w:sz w:val="84"/>
          <w:szCs w:val="84"/>
          <w:lang w:val="en-US" w:eastAsia="zh-CN"/>
        </w:rPr>
        <w:t>件</w:t>
      </w:r>
    </w:p>
    <w:p w14:paraId="7BC38C75">
      <w:pPr>
        <w:keepNext w:val="0"/>
        <w:keepLines w:val="0"/>
        <w:pageBreakBefore w:val="0"/>
        <w:widowControl w:val="0"/>
        <w:kinsoku/>
        <w:wordWrap/>
        <w:overflowPunct/>
        <w:topLinePunct w:val="0"/>
        <w:autoSpaceDE/>
        <w:autoSpaceDN/>
        <w:bidi w:val="0"/>
        <w:adjustRightInd/>
        <w:snapToGrid/>
        <w:spacing w:line="336" w:lineRule="auto"/>
        <w:jc w:val="center"/>
        <w:textAlignment w:val="auto"/>
        <w:outlineLvl w:val="9"/>
        <w:rPr>
          <w:rFonts w:hint="eastAsia" w:ascii="宋体" w:hAnsi="宋体" w:eastAsia="宋体" w:cs="宋体"/>
          <w:b/>
          <w:bCs/>
          <w:color w:val="auto"/>
          <w:kern w:val="0"/>
          <w:sz w:val="96"/>
          <w:szCs w:val="96"/>
          <w:lang w:val="en-US" w:eastAsia="zh-CN"/>
        </w:rPr>
      </w:pPr>
      <w:r>
        <w:rPr>
          <w:rFonts w:hint="eastAsia" w:ascii="宋体" w:hAnsi="宋体" w:eastAsia="宋体" w:cs="宋体"/>
          <w:b w:val="0"/>
          <w:bCs w:val="0"/>
          <w:color w:val="auto"/>
          <w:spacing w:val="34"/>
          <w:kern w:val="0"/>
          <w:sz w:val="28"/>
          <w:szCs w:val="28"/>
          <w:lang w:val="en-US" w:eastAsia="zh-CN"/>
        </w:rPr>
        <w:t>采购编号：平采磋商-2025-161</w:t>
      </w:r>
    </w:p>
    <w:p w14:paraId="5884737A">
      <w:pPr>
        <w:spacing w:line="360" w:lineRule="auto"/>
        <w:jc w:val="center"/>
        <w:outlineLvl w:val="9"/>
        <w:rPr>
          <w:rFonts w:hint="eastAsia" w:ascii="宋体" w:hAnsi="宋体" w:eastAsia="宋体" w:cs="宋体"/>
          <w:b/>
          <w:bCs/>
          <w:color w:val="auto"/>
          <w:kern w:val="0"/>
          <w:sz w:val="112"/>
          <w:szCs w:val="112"/>
          <w:lang w:val="en-US" w:eastAsia="zh-CN"/>
        </w:rPr>
      </w:pPr>
    </w:p>
    <w:p w14:paraId="02ED2091">
      <w:pPr>
        <w:spacing w:line="360" w:lineRule="auto"/>
        <w:ind w:firstLine="1440" w:firstLineChars="400"/>
        <w:jc w:val="both"/>
        <w:outlineLvl w:val="9"/>
        <w:rPr>
          <w:rFonts w:hint="eastAsia" w:ascii="宋体" w:hAnsi="宋体" w:cs="宋体"/>
          <w:b w:val="0"/>
          <w:bCs w:val="0"/>
          <w:color w:val="auto"/>
          <w:kern w:val="0"/>
          <w:sz w:val="36"/>
          <w:szCs w:val="36"/>
          <w:lang w:val="en-US" w:eastAsia="zh-CN"/>
        </w:rPr>
      </w:pPr>
    </w:p>
    <w:p w14:paraId="0D4E81E3">
      <w:pPr>
        <w:spacing w:line="360" w:lineRule="auto"/>
        <w:ind w:firstLine="1440" w:firstLineChars="400"/>
        <w:jc w:val="both"/>
        <w:outlineLvl w:val="9"/>
        <w:rPr>
          <w:rFonts w:hint="eastAsia" w:ascii="宋体" w:hAnsi="宋体" w:cs="宋体"/>
          <w:b w:val="0"/>
          <w:bCs w:val="0"/>
          <w:color w:val="auto"/>
          <w:kern w:val="0"/>
          <w:sz w:val="36"/>
          <w:szCs w:val="36"/>
          <w:lang w:val="en-US" w:eastAsia="zh-CN"/>
        </w:rPr>
      </w:pPr>
      <w:r>
        <w:rPr>
          <w:rFonts w:hint="eastAsia" w:ascii="宋体" w:hAnsi="宋体" w:cs="宋体"/>
          <w:b w:val="0"/>
          <w:bCs w:val="0"/>
          <w:color w:val="auto"/>
          <w:kern w:val="0"/>
          <w:sz w:val="36"/>
          <w:szCs w:val="36"/>
          <w:lang w:val="en-US" w:eastAsia="zh-CN"/>
        </w:rPr>
        <w:t>采 购 人：</w:t>
      </w:r>
      <w:r>
        <w:rPr>
          <w:rFonts w:hint="eastAsia" w:ascii="宋体" w:hAnsi="宋体" w:cs="宋体"/>
          <w:b w:val="0"/>
          <w:bCs w:val="0"/>
          <w:color w:val="auto"/>
          <w:spacing w:val="34"/>
          <w:kern w:val="0"/>
          <w:sz w:val="36"/>
          <w:szCs w:val="36"/>
          <w:lang w:val="en-US" w:eastAsia="zh-CN"/>
        </w:rPr>
        <w:t>平顶山市第一高级中学</w:t>
      </w:r>
    </w:p>
    <w:p w14:paraId="34AB869F">
      <w:pPr>
        <w:spacing w:line="360" w:lineRule="auto"/>
        <w:ind w:firstLine="1440" w:firstLineChars="400"/>
        <w:jc w:val="both"/>
        <w:outlineLvl w:val="9"/>
        <w:rPr>
          <w:rFonts w:hint="eastAsia" w:ascii="宋体" w:hAnsi="宋体" w:cs="宋体"/>
          <w:b w:val="0"/>
          <w:bCs w:val="0"/>
          <w:color w:val="auto"/>
          <w:kern w:val="0"/>
          <w:sz w:val="36"/>
          <w:szCs w:val="36"/>
          <w:lang w:val="en-US" w:eastAsia="zh-CN"/>
        </w:rPr>
      </w:pPr>
      <w:r>
        <w:rPr>
          <w:rFonts w:hint="eastAsia" w:ascii="宋体" w:hAnsi="宋体" w:cs="宋体"/>
          <w:b w:val="0"/>
          <w:bCs w:val="0"/>
          <w:color w:val="auto"/>
          <w:kern w:val="0"/>
          <w:sz w:val="36"/>
          <w:szCs w:val="36"/>
          <w:lang w:val="en-US" w:eastAsia="zh-CN"/>
        </w:rPr>
        <w:t>代理机构：</w:t>
      </w:r>
      <w:r>
        <w:rPr>
          <w:rFonts w:hint="eastAsia" w:ascii="宋体" w:hAnsi="宋体" w:cs="宋体"/>
          <w:b w:val="0"/>
          <w:bCs w:val="0"/>
          <w:color w:val="auto"/>
          <w:spacing w:val="34"/>
          <w:kern w:val="0"/>
          <w:sz w:val="36"/>
          <w:szCs w:val="36"/>
          <w:lang w:val="en-US" w:eastAsia="zh-CN"/>
        </w:rPr>
        <w:t>河南加盈工程管理有限公司</w:t>
      </w:r>
    </w:p>
    <w:p w14:paraId="73C03576">
      <w:pPr>
        <w:spacing w:line="360" w:lineRule="auto"/>
        <w:ind w:firstLine="1440" w:firstLineChars="400"/>
        <w:jc w:val="both"/>
        <w:outlineLvl w:val="9"/>
        <w:rPr>
          <w:rFonts w:hint="default" w:ascii="宋体" w:hAnsi="宋体" w:cs="宋体"/>
          <w:b/>
          <w:bCs/>
          <w:color w:val="auto"/>
          <w:kern w:val="0"/>
          <w:sz w:val="30"/>
          <w:szCs w:val="30"/>
          <w:lang w:val="en-US" w:eastAsia="zh-CN"/>
        </w:rPr>
      </w:pPr>
      <w:r>
        <w:rPr>
          <w:rFonts w:hint="eastAsia" w:ascii="宋体" w:hAnsi="宋体" w:cs="宋体"/>
          <w:b w:val="0"/>
          <w:bCs w:val="0"/>
          <w:color w:val="auto"/>
          <w:kern w:val="0"/>
          <w:sz w:val="36"/>
          <w:szCs w:val="36"/>
          <w:lang w:val="en-US" w:eastAsia="zh-CN"/>
        </w:rPr>
        <w:t>日    期：</w:t>
      </w:r>
      <w:r>
        <w:rPr>
          <w:rFonts w:hint="eastAsia" w:ascii="宋体" w:hAnsi="宋体" w:cs="宋体"/>
          <w:b w:val="0"/>
          <w:bCs w:val="0"/>
          <w:color w:val="auto"/>
          <w:spacing w:val="57"/>
          <w:kern w:val="0"/>
          <w:sz w:val="36"/>
          <w:szCs w:val="36"/>
          <w:lang w:val="en-US" w:eastAsia="zh-CN"/>
        </w:rPr>
        <w:t>二</w:t>
      </w:r>
      <w:r>
        <w:rPr>
          <w:color w:val="auto"/>
          <w:spacing w:val="57"/>
          <w:sz w:val="32"/>
        </w:rPr>
        <w:t>〇</w:t>
      </w:r>
      <w:r>
        <w:rPr>
          <w:rFonts w:hint="eastAsia" w:ascii="宋体" w:hAnsi="宋体" w:cs="宋体"/>
          <w:b w:val="0"/>
          <w:bCs w:val="0"/>
          <w:color w:val="auto"/>
          <w:spacing w:val="57"/>
          <w:kern w:val="0"/>
          <w:sz w:val="36"/>
          <w:szCs w:val="36"/>
          <w:lang w:val="en-US" w:eastAsia="zh-CN"/>
        </w:rPr>
        <w:t>二五年十二月</w:t>
      </w:r>
    </w:p>
    <w:p w14:paraId="77A7743E">
      <w:pPr>
        <w:outlineLvl w:val="9"/>
        <w:rPr>
          <w:rFonts w:hint="eastAsia" w:ascii="宋体" w:hAnsi="宋体" w:eastAsia="宋体" w:cs="宋体"/>
          <w:b/>
          <w:bCs/>
          <w:color w:val="auto"/>
          <w:kern w:val="0"/>
          <w:sz w:val="30"/>
          <w:szCs w:val="30"/>
          <w:lang w:eastAsia="zh-CN"/>
        </w:rPr>
      </w:pPr>
    </w:p>
    <w:p w14:paraId="4AEFC187">
      <w:pPr>
        <w:outlineLvl w:val="9"/>
        <w:rPr>
          <w:rFonts w:hint="eastAsia" w:ascii="宋体" w:hAnsi="宋体" w:eastAsia="宋体" w:cs="宋体"/>
          <w:b/>
          <w:bCs/>
          <w:color w:val="auto"/>
          <w:kern w:val="0"/>
          <w:sz w:val="30"/>
          <w:szCs w:val="30"/>
          <w:lang w:eastAsia="zh-CN"/>
        </w:rPr>
        <w:sectPr>
          <w:headerReference r:id="rId3" w:type="default"/>
          <w:footerReference r:id="rId4" w:type="default"/>
          <w:pgSz w:w="11911" w:h="16838"/>
          <w:pgMar w:top="1440" w:right="1080" w:bottom="1440" w:left="1080" w:header="890" w:footer="975" w:gutter="0"/>
          <w:cols w:space="0" w:num="1"/>
          <w:titlePg/>
          <w:rtlGutter w:val="0"/>
          <w:docGrid w:linePitch="0" w:charSpace="0"/>
        </w:sectPr>
      </w:pPr>
    </w:p>
    <w:p w14:paraId="33A52C15">
      <w:pPr>
        <w:outlineLvl w:val="9"/>
        <w:rPr>
          <w:rFonts w:hint="eastAsia" w:ascii="宋体" w:hAnsi="宋体" w:eastAsia="宋体" w:cs="宋体"/>
          <w:b/>
          <w:bCs/>
          <w:color w:val="auto"/>
          <w:kern w:val="0"/>
          <w:sz w:val="30"/>
          <w:szCs w:val="30"/>
          <w:lang w:eastAsia="zh-CN"/>
        </w:rPr>
      </w:pPr>
    </w:p>
    <w:p w14:paraId="0471F0FF">
      <w:pPr>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outlineLvl w:val="9"/>
        <w:rPr>
          <w:rFonts w:hint="eastAsia" w:ascii="宋体" w:hAnsi="宋体" w:cs="宋体"/>
          <w:b/>
          <w:bCs/>
          <w:color w:val="auto"/>
          <w:kern w:val="0"/>
          <w:sz w:val="44"/>
          <w:szCs w:val="44"/>
          <w:lang w:val="en-US" w:eastAsia="zh-CN"/>
        </w:rPr>
      </w:pPr>
      <w:r>
        <w:rPr>
          <w:rFonts w:hint="eastAsia" w:ascii="宋体" w:hAnsi="宋体" w:cs="宋体"/>
          <w:b/>
          <w:bCs/>
          <w:color w:val="auto"/>
          <w:kern w:val="0"/>
          <w:sz w:val="44"/>
          <w:szCs w:val="44"/>
          <w:lang w:val="en-US" w:eastAsia="zh-CN"/>
        </w:rPr>
        <w:t>目   录</w:t>
      </w:r>
    </w:p>
    <w:p w14:paraId="20156691">
      <w:pPr>
        <w:pStyle w:val="15"/>
        <w:tabs>
          <w:tab w:val="right" w:leader="dot" w:pos="9751"/>
        </w:tabs>
        <w:spacing w:line="480" w:lineRule="auto"/>
        <w:rPr>
          <w:rFonts w:hint="eastAsia" w:asciiTheme="minorEastAsia" w:hAnsiTheme="minorEastAsia" w:eastAsiaTheme="minorEastAsia" w:cstheme="minorEastAsia"/>
          <w:color w:val="auto"/>
          <w:sz w:val="32"/>
          <w:szCs w:val="36"/>
        </w:rPr>
      </w:pPr>
      <w:r>
        <w:rPr>
          <w:rFonts w:hint="eastAsia" w:ascii="宋体" w:hAnsi="宋体" w:cs="宋体"/>
          <w:b/>
          <w:bCs/>
          <w:color w:val="auto"/>
          <w:kern w:val="0"/>
          <w:sz w:val="44"/>
          <w:szCs w:val="44"/>
          <w:lang w:val="en-US" w:eastAsia="zh-CN"/>
        </w:rPr>
        <w:fldChar w:fldCharType="begin"/>
      </w:r>
      <w:r>
        <w:rPr>
          <w:rFonts w:hint="eastAsia" w:ascii="宋体" w:hAnsi="宋体" w:cs="宋体"/>
          <w:b/>
          <w:bCs/>
          <w:color w:val="auto"/>
          <w:kern w:val="0"/>
          <w:sz w:val="44"/>
          <w:szCs w:val="44"/>
          <w:lang w:val="en-US" w:eastAsia="zh-CN"/>
        </w:rPr>
        <w:instrText xml:space="preserve">TOC \o "1-2" \h \u </w:instrText>
      </w:r>
      <w:r>
        <w:rPr>
          <w:rFonts w:hint="eastAsia" w:ascii="宋体" w:hAnsi="宋体" w:cs="宋体"/>
          <w:b/>
          <w:bCs/>
          <w:color w:val="auto"/>
          <w:kern w:val="0"/>
          <w:sz w:val="44"/>
          <w:szCs w:val="44"/>
          <w:lang w:val="en-US" w:eastAsia="zh-CN"/>
        </w:rPr>
        <w:fldChar w:fldCharType="separate"/>
      </w:r>
      <w:r>
        <w:rPr>
          <w:rFonts w:hint="eastAsia" w:asciiTheme="minorEastAsia" w:hAnsiTheme="minorEastAsia" w:eastAsiaTheme="minorEastAsia" w:cstheme="minorEastAsia"/>
          <w:bCs/>
          <w:color w:val="auto"/>
          <w:kern w:val="0"/>
          <w:sz w:val="32"/>
          <w:szCs w:val="60"/>
          <w:lang w:val="en-US" w:eastAsia="zh-CN"/>
        </w:rPr>
        <w:fldChar w:fldCharType="begin"/>
      </w:r>
      <w:r>
        <w:rPr>
          <w:rFonts w:hint="eastAsia" w:asciiTheme="minorEastAsia" w:hAnsiTheme="minorEastAsia" w:eastAsiaTheme="minorEastAsia" w:cstheme="minorEastAsia"/>
          <w:bCs/>
          <w:color w:val="auto"/>
          <w:kern w:val="0"/>
          <w:sz w:val="32"/>
          <w:szCs w:val="60"/>
          <w:lang w:val="en-US" w:eastAsia="zh-CN"/>
        </w:rPr>
        <w:instrText xml:space="preserve"> HYPERLINK \l _Toc13674 </w:instrText>
      </w:r>
      <w:r>
        <w:rPr>
          <w:rFonts w:hint="eastAsia" w:asciiTheme="minorEastAsia" w:hAnsiTheme="minorEastAsia" w:eastAsiaTheme="minorEastAsia" w:cstheme="minorEastAsia"/>
          <w:bCs/>
          <w:color w:val="auto"/>
          <w:kern w:val="0"/>
          <w:sz w:val="32"/>
          <w:szCs w:val="60"/>
          <w:lang w:val="en-US" w:eastAsia="zh-CN"/>
        </w:rPr>
        <w:fldChar w:fldCharType="separate"/>
      </w:r>
      <w:r>
        <w:rPr>
          <w:rFonts w:hint="eastAsia" w:asciiTheme="minorEastAsia" w:hAnsiTheme="minorEastAsia" w:eastAsiaTheme="minorEastAsia" w:cstheme="minorEastAsia"/>
          <w:bCs/>
          <w:color w:val="auto"/>
          <w:kern w:val="0"/>
          <w:sz w:val="32"/>
          <w:szCs w:val="48"/>
        </w:rPr>
        <w:t>第一章</w:t>
      </w:r>
      <w:r>
        <w:rPr>
          <w:rFonts w:hint="eastAsia" w:asciiTheme="minorEastAsia" w:hAnsiTheme="minorEastAsia" w:eastAsiaTheme="minorEastAsia" w:cstheme="minorEastAsia"/>
          <w:bCs/>
          <w:color w:val="auto"/>
          <w:kern w:val="0"/>
          <w:sz w:val="32"/>
          <w:szCs w:val="48"/>
          <w:lang w:val="en-US" w:eastAsia="zh-CN"/>
        </w:rPr>
        <w:t>、</w:t>
      </w:r>
      <w:r>
        <w:rPr>
          <w:rFonts w:hint="eastAsia" w:asciiTheme="minorEastAsia" w:hAnsiTheme="minorEastAsia" w:eastAsiaTheme="minorEastAsia" w:cstheme="minorEastAsia"/>
          <w:bCs/>
          <w:color w:val="auto"/>
          <w:kern w:val="0"/>
          <w:sz w:val="32"/>
          <w:szCs w:val="48"/>
        </w:rPr>
        <w:t>竞争性磋商公告</w:t>
      </w:r>
      <w:bookmarkStart w:id="119" w:name="_GoBack"/>
      <w:bookmarkEnd w:id="119"/>
      <w:r>
        <w:rPr>
          <w:rFonts w:hint="eastAsia" w:asciiTheme="minorEastAsia" w:hAnsiTheme="minorEastAsia" w:eastAsiaTheme="minorEastAsia" w:cstheme="minorEastAsia"/>
          <w:color w:val="auto"/>
          <w:sz w:val="32"/>
          <w:szCs w:val="36"/>
        </w:rPr>
        <w:tab/>
      </w:r>
      <w:r>
        <w:rPr>
          <w:rFonts w:hint="eastAsia" w:asciiTheme="minorEastAsia" w:hAnsiTheme="minorEastAsia" w:eastAsiaTheme="minorEastAsia" w:cstheme="minorEastAsia"/>
          <w:color w:val="auto"/>
          <w:sz w:val="32"/>
          <w:szCs w:val="36"/>
        </w:rPr>
        <w:fldChar w:fldCharType="begin"/>
      </w:r>
      <w:r>
        <w:rPr>
          <w:rFonts w:hint="eastAsia" w:asciiTheme="minorEastAsia" w:hAnsiTheme="minorEastAsia" w:eastAsiaTheme="minorEastAsia" w:cstheme="minorEastAsia"/>
          <w:color w:val="auto"/>
          <w:sz w:val="32"/>
          <w:szCs w:val="36"/>
        </w:rPr>
        <w:instrText xml:space="preserve"> PAGEREF _Toc13674 \h </w:instrText>
      </w:r>
      <w:r>
        <w:rPr>
          <w:rFonts w:hint="eastAsia" w:asciiTheme="minorEastAsia" w:hAnsiTheme="minorEastAsia" w:eastAsiaTheme="minorEastAsia" w:cstheme="minorEastAsia"/>
          <w:color w:val="auto"/>
          <w:sz w:val="32"/>
          <w:szCs w:val="36"/>
        </w:rPr>
        <w:fldChar w:fldCharType="separate"/>
      </w:r>
      <w:r>
        <w:rPr>
          <w:rFonts w:hint="eastAsia" w:asciiTheme="minorEastAsia" w:hAnsiTheme="minorEastAsia" w:eastAsiaTheme="minorEastAsia" w:cstheme="minorEastAsia"/>
          <w:color w:val="auto"/>
          <w:sz w:val="32"/>
          <w:szCs w:val="36"/>
        </w:rPr>
        <w:t>3</w:t>
      </w:r>
      <w:r>
        <w:rPr>
          <w:rFonts w:hint="eastAsia" w:asciiTheme="minorEastAsia" w:hAnsiTheme="minorEastAsia" w:eastAsiaTheme="minorEastAsia" w:cstheme="minorEastAsia"/>
          <w:color w:val="auto"/>
          <w:sz w:val="32"/>
          <w:szCs w:val="36"/>
        </w:rPr>
        <w:fldChar w:fldCharType="end"/>
      </w:r>
      <w:r>
        <w:rPr>
          <w:rFonts w:hint="eastAsia" w:asciiTheme="minorEastAsia" w:hAnsiTheme="minorEastAsia" w:eastAsiaTheme="minorEastAsia" w:cstheme="minorEastAsia"/>
          <w:bCs/>
          <w:color w:val="auto"/>
          <w:kern w:val="0"/>
          <w:sz w:val="32"/>
          <w:szCs w:val="60"/>
          <w:lang w:val="en-US" w:eastAsia="zh-CN"/>
        </w:rPr>
        <w:fldChar w:fldCharType="end"/>
      </w:r>
    </w:p>
    <w:p w14:paraId="136FC779">
      <w:pPr>
        <w:pStyle w:val="15"/>
        <w:tabs>
          <w:tab w:val="right" w:leader="dot" w:pos="9751"/>
        </w:tabs>
        <w:spacing w:line="480" w:lineRule="auto"/>
        <w:rPr>
          <w:rFonts w:hint="eastAsia" w:asciiTheme="minorEastAsia" w:hAnsiTheme="minorEastAsia" w:eastAsiaTheme="minorEastAsia" w:cstheme="minorEastAsia"/>
          <w:color w:val="auto"/>
          <w:sz w:val="32"/>
          <w:szCs w:val="36"/>
        </w:rPr>
      </w:pPr>
      <w:r>
        <w:rPr>
          <w:rFonts w:hint="eastAsia" w:asciiTheme="minorEastAsia" w:hAnsiTheme="minorEastAsia" w:eastAsiaTheme="minorEastAsia" w:cstheme="minorEastAsia"/>
          <w:bCs/>
          <w:color w:val="auto"/>
          <w:kern w:val="0"/>
          <w:sz w:val="32"/>
          <w:szCs w:val="60"/>
          <w:lang w:val="en-US" w:eastAsia="zh-CN"/>
        </w:rPr>
        <w:fldChar w:fldCharType="begin"/>
      </w:r>
      <w:r>
        <w:rPr>
          <w:rFonts w:hint="eastAsia" w:asciiTheme="minorEastAsia" w:hAnsiTheme="minorEastAsia" w:eastAsiaTheme="minorEastAsia" w:cstheme="minorEastAsia"/>
          <w:bCs/>
          <w:color w:val="auto"/>
          <w:kern w:val="0"/>
          <w:sz w:val="32"/>
          <w:szCs w:val="60"/>
          <w:lang w:val="en-US" w:eastAsia="zh-CN"/>
        </w:rPr>
        <w:instrText xml:space="preserve"> HYPERLINK \l _Toc6974 </w:instrText>
      </w:r>
      <w:r>
        <w:rPr>
          <w:rFonts w:hint="eastAsia" w:asciiTheme="minorEastAsia" w:hAnsiTheme="minorEastAsia" w:eastAsiaTheme="minorEastAsia" w:cstheme="minorEastAsia"/>
          <w:bCs/>
          <w:color w:val="auto"/>
          <w:kern w:val="0"/>
          <w:sz w:val="32"/>
          <w:szCs w:val="60"/>
          <w:lang w:val="en-US" w:eastAsia="zh-CN"/>
        </w:rPr>
        <w:fldChar w:fldCharType="separate"/>
      </w:r>
      <w:r>
        <w:rPr>
          <w:rFonts w:hint="eastAsia" w:asciiTheme="minorEastAsia" w:hAnsiTheme="minorEastAsia" w:eastAsiaTheme="minorEastAsia" w:cstheme="minorEastAsia"/>
          <w:bCs/>
          <w:color w:val="auto"/>
          <w:sz w:val="32"/>
          <w:szCs w:val="48"/>
          <w:lang w:eastAsia="zh-CN"/>
        </w:rPr>
        <w:t>第二章、</w:t>
      </w:r>
      <w:r>
        <w:rPr>
          <w:rFonts w:hint="eastAsia" w:asciiTheme="minorEastAsia" w:hAnsiTheme="minorEastAsia" w:eastAsiaTheme="minorEastAsia" w:cstheme="minorEastAsia"/>
          <w:bCs/>
          <w:color w:val="auto"/>
          <w:sz w:val="32"/>
          <w:szCs w:val="48"/>
        </w:rPr>
        <w:t>供应商须知及前附表</w:t>
      </w:r>
      <w:r>
        <w:rPr>
          <w:rFonts w:hint="eastAsia" w:asciiTheme="minorEastAsia" w:hAnsiTheme="minorEastAsia" w:eastAsiaTheme="minorEastAsia" w:cstheme="minorEastAsia"/>
          <w:color w:val="auto"/>
          <w:sz w:val="32"/>
          <w:szCs w:val="36"/>
        </w:rPr>
        <w:tab/>
      </w:r>
      <w:r>
        <w:rPr>
          <w:rFonts w:hint="eastAsia" w:asciiTheme="minorEastAsia" w:hAnsiTheme="minorEastAsia" w:eastAsiaTheme="minorEastAsia" w:cstheme="minorEastAsia"/>
          <w:color w:val="auto"/>
          <w:sz w:val="32"/>
          <w:szCs w:val="36"/>
        </w:rPr>
        <w:fldChar w:fldCharType="begin"/>
      </w:r>
      <w:r>
        <w:rPr>
          <w:rFonts w:hint="eastAsia" w:asciiTheme="minorEastAsia" w:hAnsiTheme="minorEastAsia" w:eastAsiaTheme="minorEastAsia" w:cstheme="minorEastAsia"/>
          <w:color w:val="auto"/>
          <w:sz w:val="32"/>
          <w:szCs w:val="36"/>
        </w:rPr>
        <w:instrText xml:space="preserve"> PAGEREF _Toc6974 \h </w:instrText>
      </w:r>
      <w:r>
        <w:rPr>
          <w:rFonts w:hint="eastAsia" w:asciiTheme="minorEastAsia" w:hAnsiTheme="minorEastAsia" w:eastAsiaTheme="minorEastAsia" w:cstheme="minorEastAsia"/>
          <w:color w:val="auto"/>
          <w:sz w:val="32"/>
          <w:szCs w:val="36"/>
        </w:rPr>
        <w:fldChar w:fldCharType="separate"/>
      </w:r>
      <w:r>
        <w:rPr>
          <w:rFonts w:hint="eastAsia" w:asciiTheme="minorEastAsia" w:hAnsiTheme="minorEastAsia" w:eastAsiaTheme="minorEastAsia" w:cstheme="minorEastAsia"/>
          <w:color w:val="auto"/>
          <w:sz w:val="32"/>
          <w:szCs w:val="36"/>
        </w:rPr>
        <w:t>7</w:t>
      </w:r>
      <w:r>
        <w:rPr>
          <w:rFonts w:hint="eastAsia" w:asciiTheme="minorEastAsia" w:hAnsiTheme="minorEastAsia" w:eastAsiaTheme="minorEastAsia" w:cstheme="minorEastAsia"/>
          <w:color w:val="auto"/>
          <w:sz w:val="32"/>
          <w:szCs w:val="36"/>
        </w:rPr>
        <w:fldChar w:fldCharType="end"/>
      </w:r>
      <w:r>
        <w:rPr>
          <w:rFonts w:hint="eastAsia" w:asciiTheme="minorEastAsia" w:hAnsiTheme="minorEastAsia" w:eastAsiaTheme="minorEastAsia" w:cstheme="minorEastAsia"/>
          <w:bCs/>
          <w:color w:val="auto"/>
          <w:kern w:val="0"/>
          <w:sz w:val="32"/>
          <w:szCs w:val="60"/>
          <w:lang w:val="en-US" w:eastAsia="zh-CN"/>
        </w:rPr>
        <w:fldChar w:fldCharType="end"/>
      </w:r>
    </w:p>
    <w:p w14:paraId="3E9F5D6D">
      <w:pPr>
        <w:pStyle w:val="16"/>
        <w:tabs>
          <w:tab w:val="right" w:leader="dot" w:pos="9751"/>
        </w:tabs>
        <w:spacing w:line="480" w:lineRule="auto"/>
        <w:rPr>
          <w:rFonts w:hint="eastAsia" w:asciiTheme="minorEastAsia" w:hAnsiTheme="minorEastAsia" w:eastAsiaTheme="minorEastAsia" w:cstheme="minorEastAsia"/>
          <w:color w:val="auto"/>
          <w:sz w:val="32"/>
          <w:szCs w:val="36"/>
        </w:rPr>
      </w:pPr>
      <w:r>
        <w:rPr>
          <w:rFonts w:hint="eastAsia" w:asciiTheme="minorEastAsia" w:hAnsiTheme="minorEastAsia" w:eastAsiaTheme="minorEastAsia" w:cstheme="minorEastAsia"/>
          <w:bCs/>
          <w:color w:val="auto"/>
          <w:kern w:val="0"/>
          <w:sz w:val="32"/>
          <w:szCs w:val="60"/>
          <w:lang w:val="en-US" w:eastAsia="zh-CN"/>
        </w:rPr>
        <w:fldChar w:fldCharType="begin"/>
      </w:r>
      <w:r>
        <w:rPr>
          <w:rFonts w:hint="eastAsia" w:asciiTheme="minorEastAsia" w:hAnsiTheme="minorEastAsia" w:eastAsiaTheme="minorEastAsia" w:cstheme="minorEastAsia"/>
          <w:bCs/>
          <w:color w:val="auto"/>
          <w:kern w:val="0"/>
          <w:sz w:val="32"/>
          <w:szCs w:val="60"/>
          <w:lang w:val="en-US" w:eastAsia="zh-CN"/>
        </w:rPr>
        <w:instrText xml:space="preserve"> HYPERLINK \l _Toc28788 </w:instrText>
      </w:r>
      <w:r>
        <w:rPr>
          <w:rFonts w:hint="eastAsia" w:asciiTheme="minorEastAsia" w:hAnsiTheme="minorEastAsia" w:eastAsiaTheme="minorEastAsia" w:cstheme="minorEastAsia"/>
          <w:bCs/>
          <w:color w:val="auto"/>
          <w:kern w:val="0"/>
          <w:sz w:val="32"/>
          <w:szCs w:val="60"/>
          <w:lang w:val="en-US" w:eastAsia="zh-CN"/>
        </w:rPr>
        <w:fldChar w:fldCharType="separate"/>
      </w:r>
      <w:r>
        <w:rPr>
          <w:rFonts w:hint="eastAsia" w:asciiTheme="minorEastAsia" w:hAnsiTheme="minorEastAsia" w:eastAsiaTheme="minorEastAsia" w:cstheme="minorEastAsia"/>
          <w:bCs/>
          <w:color w:val="auto"/>
          <w:sz w:val="32"/>
          <w:szCs w:val="32"/>
          <w:lang w:val="en-US" w:eastAsia="zh-CN"/>
        </w:rPr>
        <w:t>一、总则</w:t>
      </w:r>
      <w:r>
        <w:rPr>
          <w:rFonts w:hint="eastAsia" w:asciiTheme="minorEastAsia" w:hAnsiTheme="minorEastAsia" w:eastAsiaTheme="minorEastAsia" w:cstheme="minorEastAsia"/>
          <w:color w:val="auto"/>
          <w:sz w:val="32"/>
          <w:szCs w:val="36"/>
        </w:rPr>
        <w:tab/>
      </w:r>
      <w:r>
        <w:rPr>
          <w:rFonts w:hint="eastAsia" w:asciiTheme="minorEastAsia" w:hAnsiTheme="minorEastAsia" w:eastAsiaTheme="minorEastAsia" w:cstheme="minorEastAsia"/>
          <w:color w:val="auto"/>
          <w:sz w:val="32"/>
          <w:szCs w:val="36"/>
        </w:rPr>
        <w:fldChar w:fldCharType="begin"/>
      </w:r>
      <w:r>
        <w:rPr>
          <w:rFonts w:hint="eastAsia" w:asciiTheme="minorEastAsia" w:hAnsiTheme="minorEastAsia" w:eastAsiaTheme="minorEastAsia" w:cstheme="minorEastAsia"/>
          <w:color w:val="auto"/>
          <w:sz w:val="32"/>
          <w:szCs w:val="36"/>
        </w:rPr>
        <w:instrText xml:space="preserve"> PAGEREF _Toc28788 \h </w:instrText>
      </w:r>
      <w:r>
        <w:rPr>
          <w:rFonts w:hint="eastAsia" w:asciiTheme="minorEastAsia" w:hAnsiTheme="minorEastAsia" w:eastAsiaTheme="minorEastAsia" w:cstheme="minorEastAsia"/>
          <w:color w:val="auto"/>
          <w:sz w:val="32"/>
          <w:szCs w:val="36"/>
        </w:rPr>
        <w:fldChar w:fldCharType="separate"/>
      </w:r>
      <w:r>
        <w:rPr>
          <w:rFonts w:hint="eastAsia" w:asciiTheme="minorEastAsia" w:hAnsiTheme="minorEastAsia" w:eastAsiaTheme="minorEastAsia" w:cstheme="minorEastAsia"/>
          <w:color w:val="auto"/>
          <w:sz w:val="32"/>
          <w:szCs w:val="36"/>
        </w:rPr>
        <w:t>13</w:t>
      </w:r>
      <w:r>
        <w:rPr>
          <w:rFonts w:hint="eastAsia" w:asciiTheme="minorEastAsia" w:hAnsiTheme="minorEastAsia" w:eastAsiaTheme="minorEastAsia" w:cstheme="minorEastAsia"/>
          <w:color w:val="auto"/>
          <w:sz w:val="32"/>
          <w:szCs w:val="36"/>
        </w:rPr>
        <w:fldChar w:fldCharType="end"/>
      </w:r>
      <w:r>
        <w:rPr>
          <w:rFonts w:hint="eastAsia" w:asciiTheme="minorEastAsia" w:hAnsiTheme="minorEastAsia" w:eastAsiaTheme="minorEastAsia" w:cstheme="minorEastAsia"/>
          <w:bCs/>
          <w:color w:val="auto"/>
          <w:kern w:val="0"/>
          <w:sz w:val="32"/>
          <w:szCs w:val="60"/>
          <w:lang w:val="en-US" w:eastAsia="zh-CN"/>
        </w:rPr>
        <w:fldChar w:fldCharType="end"/>
      </w:r>
    </w:p>
    <w:p w14:paraId="32FDB4E7">
      <w:pPr>
        <w:pStyle w:val="16"/>
        <w:tabs>
          <w:tab w:val="right" w:leader="dot" w:pos="9751"/>
        </w:tabs>
        <w:spacing w:line="480" w:lineRule="auto"/>
        <w:rPr>
          <w:rFonts w:hint="eastAsia" w:asciiTheme="minorEastAsia" w:hAnsiTheme="minorEastAsia" w:eastAsiaTheme="minorEastAsia" w:cstheme="minorEastAsia"/>
          <w:color w:val="auto"/>
          <w:sz w:val="32"/>
          <w:szCs w:val="36"/>
        </w:rPr>
      </w:pPr>
      <w:r>
        <w:rPr>
          <w:rFonts w:hint="eastAsia" w:asciiTheme="minorEastAsia" w:hAnsiTheme="minorEastAsia" w:eastAsiaTheme="minorEastAsia" w:cstheme="minorEastAsia"/>
          <w:bCs/>
          <w:color w:val="auto"/>
          <w:kern w:val="0"/>
          <w:sz w:val="32"/>
          <w:szCs w:val="60"/>
          <w:lang w:val="en-US" w:eastAsia="zh-CN"/>
        </w:rPr>
        <w:fldChar w:fldCharType="begin"/>
      </w:r>
      <w:r>
        <w:rPr>
          <w:rFonts w:hint="eastAsia" w:asciiTheme="minorEastAsia" w:hAnsiTheme="minorEastAsia" w:eastAsiaTheme="minorEastAsia" w:cstheme="minorEastAsia"/>
          <w:bCs/>
          <w:color w:val="auto"/>
          <w:kern w:val="0"/>
          <w:sz w:val="32"/>
          <w:szCs w:val="60"/>
          <w:lang w:val="en-US" w:eastAsia="zh-CN"/>
        </w:rPr>
        <w:instrText xml:space="preserve"> HYPERLINK \l _Toc28783 </w:instrText>
      </w:r>
      <w:r>
        <w:rPr>
          <w:rFonts w:hint="eastAsia" w:asciiTheme="minorEastAsia" w:hAnsiTheme="minorEastAsia" w:eastAsiaTheme="minorEastAsia" w:cstheme="minorEastAsia"/>
          <w:bCs/>
          <w:color w:val="auto"/>
          <w:kern w:val="0"/>
          <w:sz w:val="32"/>
          <w:szCs w:val="60"/>
          <w:lang w:val="en-US" w:eastAsia="zh-CN"/>
        </w:rPr>
        <w:fldChar w:fldCharType="separate"/>
      </w:r>
      <w:r>
        <w:rPr>
          <w:rFonts w:hint="eastAsia" w:asciiTheme="minorEastAsia" w:hAnsiTheme="minorEastAsia" w:eastAsiaTheme="minorEastAsia" w:cstheme="minorEastAsia"/>
          <w:bCs/>
          <w:color w:val="auto"/>
          <w:kern w:val="0"/>
          <w:sz w:val="32"/>
          <w:szCs w:val="40"/>
        </w:rPr>
        <w:t>二、磋商文件内容</w:t>
      </w:r>
      <w:r>
        <w:rPr>
          <w:rFonts w:hint="eastAsia" w:asciiTheme="minorEastAsia" w:hAnsiTheme="minorEastAsia" w:eastAsiaTheme="minorEastAsia" w:cstheme="minorEastAsia"/>
          <w:color w:val="auto"/>
          <w:sz w:val="32"/>
          <w:szCs w:val="36"/>
        </w:rPr>
        <w:tab/>
      </w:r>
      <w:r>
        <w:rPr>
          <w:rFonts w:hint="eastAsia" w:asciiTheme="minorEastAsia" w:hAnsiTheme="minorEastAsia" w:eastAsiaTheme="minorEastAsia" w:cstheme="minorEastAsia"/>
          <w:color w:val="auto"/>
          <w:sz w:val="32"/>
          <w:szCs w:val="36"/>
        </w:rPr>
        <w:fldChar w:fldCharType="begin"/>
      </w:r>
      <w:r>
        <w:rPr>
          <w:rFonts w:hint="eastAsia" w:asciiTheme="minorEastAsia" w:hAnsiTheme="minorEastAsia" w:eastAsiaTheme="minorEastAsia" w:cstheme="minorEastAsia"/>
          <w:color w:val="auto"/>
          <w:sz w:val="32"/>
          <w:szCs w:val="36"/>
        </w:rPr>
        <w:instrText xml:space="preserve"> PAGEREF _Toc28783 \h </w:instrText>
      </w:r>
      <w:r>
        <w:rPr>
          <w:rFonts w:hint="eastAsia" w:asciiTheme="minorEastAsia" w:hAnsiTheme="minorEastAsia" w:eastAsiaTheme="minorEastAsia" w:cstheme="minorEastAsia"/>
          <w:color w:val="auto"/>
          <w:sz w:val="32"/>
          <w:szCs w:val="36"/>
        </w:rPr>
        <w:fldChar w:fldCharType="separate"/>
      </w:r>
      <w:r>
        <w:rPr>
          <w:rFonts w:hint="eastAsia" w:asciiTheme="minorEastAsia" w:hAnsiTheme="minorEastAsia" w:eastAsiaTheme="minorEastAsia" w:cstheme="minorEastAsia"/>
          <w:color w:val="auto"/>
          <w:sz w:val="32"/>
          <w:szCs w:val="36"/>
        </w:rPr>
        <w:t>14</w:t>
      </w:r>
      <w:r>
        <w:rPr>
          <w:rFonts w:hint="eastAsia" w:asciiTheme="minorEastAsia" w:hAnsiTheme="minorEastAsia" w:eastAsiaTheme="minorEastAsia" w:cstheme="minorEastAsia"/>
          <w:color w:val="auto"/>
          <w:sz w:val="32"/>
          <w:szCs w:val="36"/>
        </w:rPr>
        <w:fldChar w:fldCharType="end"/>
      </w:r>
      <w:r>
        <w:rPr>
          <w:rFonts w:hint="eastAsia" w:asciiTheme="minorEastAsia" w:hAnsiTheme="minorEastAsia" w:eastAsiaTheme="minorEastAsia" w:cstheme="minorEastAsia"/>
          <w:bCs/>
          <w:color w:val="auto"/>
          <w:kern w:val="0"/>
          <w:sz w:val="32"/>
          <w:szCs w:val="60"/>
          <w:lang w:val="en-US" w:eastAsia="zh-CN"/>
        </w:rPr>
        <w:fldChar w:fldCharType="end"/>
      </w:r>
    </w:p>
    <w:p w14:paraId="43874909">
      <w:pPr>
        <w:pStyle w:val="16"/>
        <w:tabs>
          <w:tab w:val="right" w:leader="dot" w:pos="9751"/>
        </w:tabs>
        <w:spacing w:line="480" w:lineRule="auto"/>
        <w:rPr>
          <w:rFonts w:hint="eastAsia" w:asciiTheme="minorEastAsia" w:hAnsiTheme="minorEastAsia" w:eastAsiaTheme="minorEastAsia" w:cstheme="minorEastAsia"/>
          <w:color w:val="auto"/>
          <w:sz w:val="32"/>
          <w:szCs w:val="36"/>
        </w:rPr>
      </w:pPr>
      <w:r>
        <w:rPr>
          <w:rFonts w:hint="eastAsia" w:asciiTheme="minorEastAsia" w:hAnsiTheme="minorEastAsia" w:eastAsiaTheme="minorEastAsia" w:cstheme="minorEastAsia"/>
          <w:bCs/>
          <w:color w:val="auto"/>
          <w:kern w:val="0"/>
          <w:sz w:val="32"/>
          <w:szCs w:val="60"/>
          <w:lang w:val="en-US" w:eastAsia="zh-CN"/>
        </w:rPr>
        <w:fldChar w:fldCharType="begin"/>
      </w:r>
      <w:r>
        <w:rPr>
          <w:rFonts w:hint="eastAsia" w:asciiTheme="minorEastAsia" w:hAnsiTheme="minorEastAsia" w:eastAsiaTheme="minorEastAsia" w:cstheme="minorEastAsia"/>
          <w:bCs/>
          <w:color w:val="auto"/>
          <w:kern w:val="0"/>
          <w:sz w:val="32"/>
          <w:szCs w:val="60"/>
          <w:lang w:val="en-US" w:eastAsia="zh-CN"/>
        </w:rPr>
        <w:instrText xml:space="preserve"> HYPERLINK \l _Toc30361 </w:instrText>
      </w:r>
      <w:r>
        <w:rPr>
          <w:rFonts w:hint="eastAsia" w:asciiTheme="minorEastAsia" w:hAnsiTheme="minorEastAsia" w:eastAsiaTheme="minorEastAsia" w:cstheme="minorEastAsia"/>
          <w:bCs/>
          <w:color w:val="auto"/>
          <w:kern w:val="0"/>
          <w:sz w:val="32"/>
          <w:szCs w:val="60"/>
          <w:lang w:val="en-US" w:eastAsia="zh-CN"/>
        </w:rPr>
        <w:fldChar w:fldCharType="separate"/>
      </w:r>
      <w:r>
        <w:rPr>
          <w:rFonts w:hint="eastAsia" w:asciiTheme="minorEastAsia" w:hAnsiTheme="minorEastAsia" w:eastAsiaTheme="minorEastAsia" w:cstheme="minorEastAsia"/>
          <w:bCs/>
          <w:color w:val="auto"/>
          <w:sz w:val="32"/>
          <w:szCs w:val="40"/>
        </w:rPr>
        <w:t>三、响应文件编制</w:t>
      </w:r>
      <w:r>
        <w:rPr>
          <w:rFonts w:hint="eastAsia" w:asciiTheme="minorEastAsia" w:hAnsiTheme="minorEastAsia" w:eastAsiaTheme="minorEastAsia" w:cstheme="minorEastAsia"/>
          <w:color w:val="auto"/>
          <w:sz w:val="32"/>
          <w:szCs w:val="36"/>
        </w:rPr>
        <w:tab/>
      </w:r>
      <w:r>
        <w:rPr>
          <w:rFonts w:hint="eastAsia" w:asciiTheme="minorEastAsia" w:hAnsiTheme="minorEastAsia" w:eastAsiaTheme="minorEastAsia" w:cstheme="minorEastAsia"/>
          <w:color w:val="auto"/>
          <w:sz w:val="32"/>
          <w:szCs w:val="36"/>
        </w:rPr>
        <w:fldChar w:fldCharType="begin"/>
      </w:r>
      <w:r>
        <w:rPr>
          <w:rFonts w:hint="eastAsia" w:asciiTheme="minorEastAsia" w:hAnsiTheme="minorEastAsia" w:eastAsiaTheme="minorEastAsia" w:cstheme="minorEastAsia"/>
          <w:color w:val="auto"/>
          <w:sz w:val="32"/>
          <w:szCs w:val="36"/>
        </w:rPr>
        <w:instrText xml:space="preserve"> PAGEREF _Toc30361 \h </w:instrText>
      </w:r>
      <w:r>
        <w:rPr>
          <w:rFonts w:hint="eastAsia" w:asciiTheme="minorEastAsia" w:hAnsiTheme="minorEastAsia" w:eastAsiaTheme="minorEastAsia" w:cstheme="minorEastAsia"/>
          <w:color w:val="auto"/>
          <w:sz w:val="32"/>
          <w:szCs w:val="36"/>
        </w:rPr>
        <w:fldChar w:fldCharType="separate"/>
      </w:r>
      <w:r>
        <w:rPr>
          <w:rFonts w:hint="eastAsia" w:asciiTheme="minorEastAsia" w:hAnsiTheme="minorEastAsia" w:eastAsiaTheme="minorEastAsia" w:cstheme="minorEastAsia"/>
          <w:color w:val="auto"/>
          <w:sz w:val="32"/>
          <w:szCs w:val="36"/>
        </w:rPr>
        <w:t>15</w:t>
      </w:r>
      <w:r>
        <w:rPr>
          <w:rFonts w:hint="eastAsia" w:asciiTheme="minorEastAsia" w:hAnsiTheme="minorEastAsia" w:eastAsiaTheme="minorEastAsia" w:cstheme="minorEastAsia"/>
          <w:color w:val="auto"/>
          <w:sz w:val="32"/>
          <w:szCs w:val="36"/>
        </w:rPr>
        <w:fldChar w:fldCharType="end"/>
      </w:r>
      <w:r>
        <w:rPr>
          <w:rFonts w:hint="eastAsia" w:asciiTheme="minorEastAsia" w:hAnsiTheme="minorEastAsia" w:eastAsiaTheme="minorEastAsia" w:cstheme="minorEastAsia"/>
          <w:bCs/>
          <w:color w:val="auto"/>
          <w:kern w:val="0"/>
          <w:sz w:val="32"/>
          <w:szCs w:val="60"/>
          <w:lang w:val="en-US" w:eastAsia="zh-CN"/>
        </w:rPr>
        <w:fldChar w:fldCharType="end"/>
      </w:r>
    </w:p>
    <w:p w14:paraId="50ADD79C">
      <w:pPr>
        <w:pStyle w:val="16"/>
        <w:tabs>
          <w:tab w:val="right" w:leader="dot" w:pos="9751"/>
        </w:tabs>
        <w:spacing w:line="480" w:lineRule="auto"/>
        <w:rPr>
          <w:rFonts w:hint="eastAsia" w:asciiTheme="minorEastAsia" w:hAnsiTheme="minorEastAsia" w:eastAsiaTheme="minorEastAsia" w:cstheme="minorEastAsia"/>
          <w:color w:val="auto"/>
          <w:sz w:val="32"/>
          <w:szCs w:val="36"/>
        </w:rPr>
      </w:pPr>
      <w:r>
        <w:rPr>
          <w:rFonts w:hint="eastAsia" w:asciiTheme="minorEastAsia" w:hAnsiTheme="minorEastAsia" w:eastAsiaTheme="minorEastAsia" w:cstheme="minorEastAsia"/>
          <w:bCs/>
          <w:color w:val="auto"/>
          <w:kern w:val="0"/>
          <w:sz w:val="32"/>
          <w:szCs w:val="60"/>
          <w:lang w:val="en-US" w:eastAsia="zh-CN"/>
        </w:rPr>
        <w:fldChar w:fldCharType="begin"/>
      </w:r>
      <w:r>
        <w:rPr>
          <w:rFonts w:hint="eastAsia" w:asciiTheme="minorEastAsia" w:hAnsiTheme="minorEastAsia" w:eastAsiaTheme="minorEastAsia" w:cstheme="minorEastAsia"/>
          <w:bCs/>
          <w:color w:val="auto"/>
          <w:kern w:val="0"/>
          <w:sz w:val="32"/>
          <w:szCs w:val="60"/>
          <w:lang w:val="en-US" w:eastAsia="zh-CN"/>
        </w:rPr>
        <w:instrText xml:space="preserve"> HYPERLINK \l _Toc763 </w:instrText>
      </w:r>
      <w:r>
        <w:rPr>
          <w:rFonts w:hint="eastAsia" w:asciiTheme="minorEastAsia" w:hAnsiTheme="minorEastAsia" w:eastAsiaTheme="minorEastAsia" w:cstheme="minorEastAsia"/>
          <w:bCs/>
          <w:color w:val="auto"/>
          <w:kern w:val="0"/>
          <w:sz w:val="32"/>
          <w:szCs w:val="60"/>
          <w:lang w:val="en-US" w:eastAsia="zh-CN"/>
        </w:rPr>
        <w:fldChar w:fldCharType="separate"/>
      </w:r>
      <w:r>
        <w:rPr>
          <w:rFonts w:hint="eastAsia" w:asciiTheme="minorEastAsia" w:hAnsiTheme="minorEastAsia" w:eastAsiaTheme="minorEastAsia" w:cstheme="minorEastAsia"/>
          <w:bCs/>
          <w:color w:val="auto"/>
          <w:kern w:val="0"/>
          <w:sz w:val="32"/>
          <w:szCs w:val="40"/>
        </w:rPr>
        <w:t>四、响应文件递交</w:t>
      </w:r>
      <w:r>
        <w:rPr>
          <w:rFonts w:hint="eastAsia" w:asciiTheme="minorEastAsia" w:hAnsiTheme="minorEastAsia" w:eastAsiaTheme="minorEastAsia" w:cstheme="minorEastAsia"/>
          <w:color w:val="auto"/>
          <w:sz w:val="32"/>
          <w:szCs w:val="36"/>
        </w:rPr>
        <w:tab/>
      </w:r>
      <w:r>
        <w:rPr>
          <w:rFonts w:hint="eastAsia" w:asciiTheme="minorEastAsia" w:hAnsiTheme="minorEastAsia" w:eastAsiaTheme="minorEastAsia" w:cstheme="minorEastAsia"/>
          <w:color w:val="auto"/>
          <w:sz w:val="32"/>
          <w:szCs w:val="36"/>
        </w:rPr>
        <w:fldChar w:fldCharType="begin"/>
      </w:r>
      <w:r>
        <w:rPr>
          <w:rFonts w:hint="eastAsia" w:asciiTheme="minorEastAsia" w:hAnsiTheme="minorEastAsia" w:eastAsiaTheme="minorEastAsia" w:cstheme="minorEastAsia"/>
          <w:color w:val="auto"/>
          <w:sz w:val="32"/>
          <w:szCs w:val="36"/>
        </w:rPr>
        <w:instrText xml:space="preserve"> PAGEREF _Toc763 \h </w:instrText>
      </w:r>
      <w:r>
        <w:rPr>
          <w:rFonts w:hint="eastAsia" w:asciiTheme="minorEastAsia" w:hAnsiTheme="minorEastAsia" w:eastAsiaTheme="minorEastAsia" w:cstheme="minorEastAsia"/>
          <w:color w:val="auto"/>
          <w:sz w:val="32"/>
          <w:szCs w:val="36"/>
        </w:rPr>
        <w:fldChar w:fldCharType="separate"/>
      </w:r>
      <w:r>
        <w:rPr>
          <w:rFonts w:hint="eastAsia" w:asciiTheme="minorEastAsia" w:hAnsiTheme="minorEastAsia" w:eastAsiaTheme="minorEastAsia" w:cstheme="minorEastAsia"/>
          <w:color w:val="auto"/>
          <w:sz w:val="32"/>
          <w:szCs w:val="36"/>
        </w:rPr>
        <w:t>15</w:t>
      </w:r>
      <w:r>
        <w:rPr>
          <w:rFonts w:hint="eastAsia" w:asciiTheme="minorEastAsia" w:hAnsiTheme="minorEastAsia" w:eastAsiaTheme="minorEastAsia" w:cstheme="minorEastAsia"/>
          <w:color w:val="auto"/>
          <w:sz w:val="32"/>
          <w:szCs w:val="36"/>
        </w:rPr>
        <w:fldChar w:fldCharType="end"/>
      </w:r>
      <w:r>
        <w:rPr>
          <w:rFonts w:hint="eastAsia" w:asciiTheme="minorEastAsia" w:hAnsiTheme="minorEastAsia" w:eastAsiaTheme="minorEastAsia" w:cstheme="minorEastAsia"/>
          <w:bCs/>
          <w:color w:val="auto"/>
          <w:kern w:val="0"/>
          <w:sz w:val="32"/>
          <w:szCs w:val="60"/>
          <w:lang w:val="en-US" w:eastAsia="zh-CN"/>
        </w:rPr>
        <w:fldChar w:fldCharType="end"/>
      </w:r>
    </w:p>
    <w:p w14:paraId="6E595BC9">
      <w:pPr>
        <w:pStyle w:val="16"/>
        <w:tabs>
          <w:tab w:val="right" w:leader="dot" w:pos="9751"/>
        </w:tabs>
        <w:spacing w:line="480" w:lineRule="auto"/>
        <w:rPr>
          <w:rFonts w:hint="eastAsia" w:asciiTheme="minorEastAsia" w:hAnsiTheme="minorEastAsia" w:eastAsiaTheme="minorEastAsia" w:cstheme="minorEastAsia"/>
          <w:color w:val="auto"/>
          <w:sz w:val="32"/>
          <w:szCs w:val="36"/>
        </w:rPr>
      </w:pPr>
      <w:r>
        <w:rPr>
          <w:rFonts w:hint="eastAsia" w:asciiTheme="minorEastAsia" w:hAnsiTheme="minorEastAsia" w:eastAsiaTheme="minorEastAsia" w:cstheme="minorEastAsia"/>
          <w:bCs/>
          <w:color w:val="auto"/>
          <w:kern w:val="0"/>
          <w:sz w:val="32"/>
          <w:szCs w:val="60"/>
          <w:lang w:val="en-US" w:eastAsia="zh-CN"/>
        </w:rPr>
        <w:fldChar w:fldCharType="begin"/>
      </w:r>
      <w:r>
        <w:rPr>
          <w:rFonts w:hint="eastAsia" w:asciiTheme="minorEastAsia" w:hAnsiTheme="minorEastAsia" w:eastAsiaTheme="minorEastAsia" w:cstheme="minorEastAsia"/>
          <w:bCs/>
          <w:color w:val="auto"/>
          <w:kern w:val="0"/>
          <w:sz w:val="32"/>
          <w:szCs w:val="60"/>
          <w:lang w:val="en-US" w:eastAsia="zh-CN"/>
        </w:rPr>
        <w:instrText xml:space="preserve"> HYPERLINK \l _Toc11684 </w:instrText>
      </w:r>
      <w:r>
        <w:rPr>
          <w:rFonts w:hint="eastAsia" w:asciiTheme="minorEastAsia" w:hAnsiTheme="minorEastAsia" w:eastAsiaTheme="minorEastAsia" w:cstheme="minorEastAsia"/>
          <w:bCs/>
          <w:color w:val="auto"/>
          <w:kern w:val="0"/>
          <w:sz w:val="32"/>
          <w:szCs w:val="60"/>
          <w:lang w:val="en-US" w:eastAsia="zh-CN"/>
        </w:rPr>
        <w:fldChar w:fldCharType="separate"/>
      </w:r>
      <w:r>
        <w:rPr>
          <w:rFonts w:hint="eastAsia" w:asciiTheme="minorEastAsia" w:hAnsiTheme="minorEastAsia" w:eastAsiaTheme="minorEastAsia" w:cstheme="minorEastAsia"/>
          <w:bCs/>
          <w:color w:val="auto"/>
          <w:sz w:val="32"/>
          <w:szCs w:val="40"/>
        </w:rPr>
        <w:t>五、磋商程序</w:t>
      </w:r>
      <w:r>
        <w:rPr>
          <w:rFonts w:hint="eastAsia" w:asciiTheme="minorEastAsia" w:hAnsiTheme="minorEastAsia" w:eastAsiaTheme="minorEastAsia" w:cstheme="minorEastAsia"/>
          <w:color w:val="auto"/>
          <w:sz w:val="32"/>
          <w:szCs w:val="36"/>
        </w:rPr>
        <w:tab/>
      </w:r>
      <w:r>
        <w:rPr>
          <w:rFonts w:hint="eastAsia" w:asciiTheme="minorEastAsia" w:hAnsiTheme="minorEastAsia" w:eastAsiaTheme="minorEastAsia" w:cstheme="minorEastAsia"/>
          <w:color w:val="auto"/>
          <w:sz w:val="32"/>
          <w:szCs w:val="36"/>
        </w:rPr>
        <w:fldChar w:fldCharType="begin"/>
      </w:r>
      <w:r>
        <w:rPr>
          <w:rFonts w:hint="eastAsia" w:asciiTheme="minorEastAsia" w:hAnsiTheme="minorEastAsia" w:eastAsiaTheme="minorEastAsia" w:cstheme="minorEastAsia"/>
          <w:color w:val="auto"/>
          <w:sz w:val="32"/>
          <w:szCs w:val="36"/>
        </w:rPr>
        <w:instrText xml:space="preserve"> PAGEREF _Toc11684 \h </w:instrText>
      </w:r>
      <w:r>
        <w:rPr>
          <w:rFonts w:hint="eastAsia" w:asciiTheme="minorEastAsia" w:hAnsiTheme="minorEastAsia" w:eastAsiaTheme="minorEastAsia" w:cstheme="minorEastAsia"/>
          <w:color w:val="auto"/>
          <w:sz w:val="32"/>
          <w:szCs w:val="36"/>
        </w:rPr>
        <w:fldChar w:fldCharType="separate"/>
      </w:r>
      <w:r>
        <w:rPr>
          <w:rFonts w:hint="eastAsia" w:asciiTheme="minorEastAsia" w:hAnsiTheme="minorEastAsia" w:eastAsiaTheme="minorEastAsia" w:cstheme="minorEastAsia"/>
          <w:color w:val="auto"/>
          <w:sz w:val="32"/>
          <w:szCs w:val="36"/>
        </w:rPr>
        <w:t>16</w:t>
      </w:r>
      <w:r>
        <w:rPr>
          <w:rFonts w:hint="eastAsia" w:asciiTheme="minorEastAsia" w:hAnsiTheme="minorEastAsia" w:eastAsiaTheme="minorEastAsia" w:cstheme="minorEastAsia"/>
          <w:color w:val="auto"/>
          <w:sz w:val="32"/>
          <w:szCs w:val="36"/>
        </w:rPr>
        <w:fldChar w:fldCharType="end"/>
      </w:r>
      <w:r>
        <w:rPr>
          <w:rFonts w:hint="eastAsia" w:asciiTheme="minorEastAsia" w:hAnsiTheme="minorEastAsia" w:eastAsiaTheme="minorEastAsia" w:cstheme="minorEastAsia"/>
          <w:bCs/>
          <w:color w:val="auto"/>
          <w:kern w:val="0"/>
          <w:sz w:val="32"/>
          <w:szCs w:val="60"/>
          <w:lang w:val="en-US" w:eastAsia="zh-CN"/>
        </w:rPr>
        <w:fldChar w:fldCharType="end"/>
      </w:r>
    </w:p>
    <w:p w14:paraId="6E774736">
      <w:pPr>
        <w:pStyle w:val="15"/>
        <w:tabs>
          <w:tab w:val="right" w:leader="dot" w:pos="9751"/>
        </w:tabs>
        <w:spacing w:line="480" w:lineRule="auto"/>
        <w:rPr>
          <w:rFonts w:hint="eastAsia" w:asciiTheme="minorEastAsia" w:hAnsiTheme="minorEastAsia" w:eastAsiaTheme="minorEastAsia" w:cstheme="minorEastAsia"/>
          <w:color w:val="auto"/>
          <w:sz w:val="32"/>
          <w:szCs w:val="36"/>
        </w:rPr>
      </w:pPr>
      <w:r>
        <w:rPr>
          <w:rFonts w:hint="eastAsia" w:asciiTheme="minorEastAsia" w:hAnsiTheme="minorEastAsia" w:eastAsiaTheme="minorEastAsia" w:cstheme="minorEastAsia"/>
          <w:bCs/>
          <w:color w:val="auto"/>
          <w:kern w:val="0"/>
          <w:sz w:val="32"/>
          <w:szCs w:val="60"/>
          <w:lang w:val="en-US" w:eastAsia="zh-CN"/>
        </w:rPr>
        <w:fldChar w:fldCharType="begin"/>
      </w:r>
      <w:r>
        <w:rPr>
          <w:rFonts w:hint="eastAsia" w:asciiTheme="minorEastAsia" w:hAnsiTheme="minorEastAsia" w:eastAsiaTheme="minorEastAsia" w:cstheme="minorEastAsia"/>
          <w:bCs/>
          <w:color w:val="auto"/>
          <w:kern w:val="0"/>
          <w:sz w:val="32"/>
          <w:szCs w:val="60"/>
          <w:lang w:val="en-US" w:eastAsia="zh-CN"/>
        </w:rPr>
        <w:instrText xml:space="preserve"> HYPERLINK \l _Toc30956 </w:instrText>
      </w:r>
      <w:r>
        <w:rPr>
          <w:rFonts w:hint="eastAsia" w:asciiTheme="minorEastAsia" w:hAnsiTheme="minorEastAsia" w:eastAsiaTheme="minorEastAsia" w:cstheme="minorEastAsia"/>
          <w:bCs/>
          <w:color w:val="auto"/>
          <w:kern w:val="0"/>
          <w:sz w:val="32"/>
          <w:szCs w:val="60"/>
          <w:lang w:val="en-US" w:eastAsia="zh-CN"/>
        </w:rPr>
        <w:fldChar w:fldCharType="separate"/>
      </w:r>
      <w:r>
        <w:rPr>
          <w:rFonts w:hint="eastAsia" w:asciiTheme="minorEastAsia" w:hAnsiTheme="minorEastAsia" w:eastAsiaTheme="minorEastAsia" w:cstheme="minorEastAsia"/>
          <w:bCs/>
          <w:color w:val="auto"/>
          <w:sz w:val="32"/>
          <w:szCs w:val="48"/>
          <w:highlight w:val="none"/>
          <w:lang w:eastAsia="zh-CN"/>
        </w:rPr>
        <w:t>第三章、</w:t>
      </w:r>
      <w:r>
        <w:rPr>
          <w:rFonts w:hint="eastAsia" w:asciiTheme="minorEastAsia" w:hAnsiTheme="minorEastAsia" w:eastAsiaTheme="minorEastAsia" w:cstheme="minorEastAsia"/>
          <w:bCs/>
          <w:color w:val="auto"/>
          <w:sz w:val="32"/>
          <w:szCs w:val="48"/>
          <w:highlight w:val="none"/>
        </w:rPr>
        <w:t>磋商办法</w:t>
      </w:r>
      <w:r>
        <w:rPr>
          <w:rFonts w:hint="eastAsia" w:asciiTheme="minorEastAsia" w:hAnsiTheme="minorEastAsia" w:eastAsiaTheme="minorEastAsia" w:cstheme="minorEastAsia"/>
          <w:color w:val="auto"/>
          <w:sz w:val="32"/>
          <w:szCs w:val="36"/>
        </w:rPr>
        <w:tab/>
      </w:r>
      <w:r>
        <w:rPr>
          <w:rFonts w:hint="eastAsia" w:asciiTheme="minorEastAsia" w:hAnsiTheme="minorEastAsia" w:eastAsiaTheme="minorEastAsia" w:cstheme="minorEastAsia"/>
          <w:color w:val="auto"/>
          <w:sz w:val="32"/>
          <w:szCs w:val="36"/>
        </w:rPr>
        <w:fldChar w:fldCharType="begin"/>
      </w:r>
      <w:r>
        <w:rPr>
          <w:rFonts w:hint="eastAsia" w:asciiTheme="minorEastAsia" w:hAnsiTheme="minorEastAsia" w:eastAsiaTheme="minorEastAsia" w:cstheme="minorEastAsia"/>
          <w:color w:val="auto"/>
          <w:sz w:val="32"/>
          <w:szCs w:val="36"/>
        </w:rPr>
        <w:instrText xml:space="preserve"> PAGEREF _Toc30956 \h </w:instrText>
      </w:r>
      <w:r>
        <w:rPr>
          <w:rFonts w:hint="eastAsia" w:asciiTheme="minorEastAsia" w:hAnsiTheme="minorEastAsia" w:eastAsiaTheme="minorEastAsia" w:cstheme="minorEastAsia"/>
          <w:color w:val="auto"/>
          <w:sz w:val="32"/>
          <w:szCs w:val="36"/>
        </w:rPr>
        <w:fldChar w:fldCharType="separate"/>
      </w:r>
      <w:r>
        <w:rPr>
          <w:rFonts w:hint="eastAsia" w:asciiTheme="minorEastAsia" w:hAnsiTheme="minorEastAsia" w:eastAsiaTheme="minorEastAsia" w:cstheme="minorEastAsia"/>
          <w:color w:val="auto"/>
          <w:sz w:val="32"/>
          <w:szCs w:val="36"/>
        </w:rPr>
        <w:t>20</w:t>
      </w:r>
      <w:r>
        <w:rPr>
          <w:rFonts w:hint="eastAsia" w:asciiTheme="minorEastAsia" w:hAnsiTheme="minorEastAsia" w:eastAsiaTheme="minorEastAsia" w:cstheme="minorEastAsia"/>
          <w:color w:val="auto"/>
          <w:sz w:val="32"/>
          <w:szCs w:val="36"/>
        </w:rPr>
        <w:fldChar w:fldCharType="end"/>
      </w:r>
      <w:r>
        <w:rPr>
          <w:rFonts w:hint="eastAsia" w:asciiTheme="minorEastAsia" w:hAnsiTheme="minorEastAsia" w:eastAsiaTheme="minorEastAsia" w:cstheme="minorEastAsia"/>
          <w:bCs/>
          <w:color w:val="auto"/>
          <w:kern w:val="0"/>
          <w:sz w:val="32"/>
          <w:szCs w:val="60"/>
          <w:lang w:val="en-US" w:eastAsia="zh-CN"/>
        </w:rPr>
        <w:fldChar w:fldCharType="end"/>
      </w:r>
    </w:p>
    <w:p w14:paraId="0C1FB3BD">
      <w:pPr>
        <w:pStyle w:val="15"/>
        <w:tabs>
          <w:tab w:val="right" w:leader="dot" w:pos="9751"/>
        </w:tabs>
        <w:spacing w:line="480" w:lineRule="auto"/>
        <w:rPr>
          <w:rFonts w:hint="eastAsia" w:asciiTheme="minorEastAsia" w:hAnsiTheme="minorEastAsia" w:eastAsiaTheme="minorEastAsia" w:cstheme="minorEastAsia"/>
          <w:color w:val="auto"/>
          <w:sz w:val="32"/>
          <w:szCs w:val="36"/>
        </w:rPr>
      </w:pPr>
      <w:r>
        <w:rPr>
          <w:rFonts w:hint="eastAsia" w:asciiTheme="minorEastAsia" w:hAnsiTheme="minorEastAsia" w:eastAsiaTheme="minorEastAsia" w:cstheme="minorEastAsia"/>
          <w:bCs/>
          <w:color w:val="auto"/>
          <w:kern w:val="0"/>
          <w:sz w:val="32"/>
          <w:szCs w:val="60"/>
          <w:lang w:val="en-US" w:eastAsia="zh-CN"/>
        </w:rPr>
        <w:fldChar w:fldCharType="begin"/>
      </w:r>
      <w:r>
        <w:rPr>
          <w:rFonts w:hint="eastAsia" w:asciiTheme="minorEastAsia" w:hAnsiTheme="minorEastAsia" w:eastAsiaTheme="minorEastAsia" w:cstheme="minorEastAsia"/>
          <w:bCs/>
          <w:color w:val="auto"/>
          <w:kern w:val="0"/>
          <w:sz w:val="32"/>
          <w:szCs w:val="60"/>
          <w:lang w:val="en-US" w:eastAsia="zh-CN"/>
        </w:rPr>
        <w:instrText xml:space="preserve"> HYPERLINK \l _Toc17723 </w:instrText>
      </w:r>
      <w:r>
        <w:rPr>
          <w:rFonts w:hint="eastAsia" w:asciiTheme="minorEastAsia" w:hAnsiTheme="minorEastAsia" w:eastAsiaTheme="minorEastAsia" w:cstheme="minorEastAsia"/>
          <w:bCs/>
          <w:color w:val="auto"/>
          <w:kern w:val="0"/>
          <w:sz w:val="32"/>
          <w:szCs w:val="60"/>
          <w:lang w:val="en-US" w:eastAsia="zh-CN"/>
        </w:rPr>
        <w:fldChar w:fldCharType="separate"/>
      </w:r>
      <w:r>
        <w:rPr>
          <w:rFonts w:hint="eastAsia" w:asciiTheme="minorEastAsia" w:hAnsiTheme="minorEastAsia" w:eastAsiaTheme="minorEastAsia" w:cstheme="minorEastAsia"/>
          <w:bCs/>
          <w:color w:val="auto"/>
          <w:kern w:val="0"/>
          <w:sz w:val="32"/>
          <w:szCs w:val="48"/>
        </w:rPr>
        <w:t>第四章 合同条款及格式</w:t>
      </w:r>
      <w:r>
        <w:rPr>
          <w:rFonts w:hint="eastAsia" w:asciiTheme="minorEastAsia" w:hAnsiTheme="minorEastAsia" w:eastAsiaTheme="minorEastAsia" w:cstheme="minorEastAsia"/>
          <w:color w:val="auto"/>
          <w:sz w:val="32"/>
          <w:szCs w:val="36"/>
        </w:rPr>
        <w:tab/>
      </w:r>
      <w:r>
        <w:rPr>
          <w:rFonts w:hint="eastAsia" w:asciiTheme="minorEastAsia" w:hAnsiTheme="minorEastAsia" w:eastAsiaTheme="minorEastAsia" w:cstheme="minorEastAsia"/>
          <w:color w:val="auto"/>
          <w:sz w:val="32"/>
          <w:szCs w:val="36"/>
        </w:rPr>
        <w:fldChar w:fldCharType="begin"/>
      </w:r>
      <w:r>
        <w:rPr>
          <w:rFonts w:hint="eastAsia" w:asciiTheme="minorEastAsia" w:hAnsiTheme="minorEastAsia" w:eastAsiaTheme="minorEastAsia" w:cstheme="minorEastAsia"/>
          <w:color w:val="auto"/>
          <w:sz w:val="32"/>
          <w:szCs w:val="36"/>
        </w:rPr>
        <w:instrText xml:space="preserve"> PAGEREF _Toc17723 \h </w:instrText>
      </w:r>
      <w:r>
        <w:rPr>
          <w:rFonts w:hint="eastAsia" w:asciiTheme="minorEastAsia" w:hAnsiTheme="minorEastAsia" w:eastAsiaTheme="minorEastAsia" w:cstheme="minorEastAsia"/>
          <w:color w:val="auto"/>
          <w:sz w:val="32"/>
          <w:szCs w:val="36"/>
        </w:rPr>
        <w:fldChar w:fldCharType="separate"/>
      </w:r>
      <w:r>
        <w:rPr>
          <w:rFonts w:hint="eastAsia" w:asciiTheme="minorEastAsia" w:hAnsiTheme="minorEastAsia" w:eastAsiaTheme="minorEastAsia" w:cstheme="minorEastAsia"/>
          <w:color w:val="auto"/>
          <w:sz w:val="32"/>
          <w:szCs w:val="36"/>
        </w:rPr>
        <w:t>24</w:t>
      </w:r>
      <w:r>
        <w:rPr>
          <w:rFonts w:hint="eastAsia" w:asciiTheme="minorEastAsia" w:hAnsiTheme="minorEastAsia" w:eastAsiaTheme="minorEastAsia" w:cstheme="minorEastAsia"/>
          <w:color w:val="auto"/>
          <w:sz w:val="32"/>
          <w:szCs w:val="36"/>
        </w:rPr>
        <w:fldChar w:fldCharType="end"/>
      </w:r>
      <w:r>
        <w:rPr>
          <w:rFonts w:hint="eastAsia" w:asciiTheme="minorEastAsia" w:hAnsiTheme="minorEastAsia" w:eastAsiaTheme="minorEastAsia" w:cstheme="minorEastAsia"/>
          <w:bCs/>
          <w:color w:val="auto"/>
          <w:kern w:val="0"/>
          <w:sz w:val="32"/>
          <w:szCs w:val="60"/>
          <w:lang w:val="en-US" w:eastAsia="zh-CN"/>
        </w:rPr>
        <w:fldChar w:fldCharType="end"/>
      </w:r>
    </w:p>
    <w:p w14:paraId="09F3D232">
      <w:pPr>
        <w:pStyle w:val="15"/>
        <w:tabs>
          <w:tab w:val="right" w:leader="dot" w:pos="9751"/>
        </w:tabs>
        <w:spacing w:line="480" w:lineRule="auto"/>
        <w:rPr>
          <w:rFonts w:hint="eastAsia" w:asciiTheme="minorEastAsia" w:hAnsiTheme="minorEastAsia" w:eastAsiaTheme="minorEastAsia" w:cstheme="minorEastAsia"/>
          <w:color w:val="auto"/>
          <w:sz w:val="32"/>
          <w:szCs w:val="36"/>
        </w:rPr>
      </w:pPr>
      <w:r>
        <w:rPr>
          <w:rFonts w:hint="eastAsia" w:asciiTheme="minorEastAsia" w:hAnsiTheme="minorEastAsia" w:eastAsiaTheme="minorEastAsia" w:cstheme="minorEastAsia"/>
          <w:bCs/>
          <w:color w:val="auto"/>
          <w:kern w:val="0"/>
          <w:sz w:val="32"/>
          <w:szCs w:val="60"/>
          <w:lang w:val="en-US" w:eastAsia="zh-CN"/>
        </w:rPr>
        <w:fldChar w:fldCharType="begin"/>
      </w:r>
      <w:r>
        <w:rPr>
          <w:rFonts w:hint="eastAsia" w:asciiTheme="minorEastAsia" w:hAnsiTheme="minorEastAsia" w:eastAsiaTheme="minorEastAsia" w:cstheme="minorEastAsia"/>
          <w:bCs/>
          <w:color w:val="auto"/>
          <w:kern w:val="0"/>
          <w:sz w:val="32"/>
          <w:szCs w:val="60"/>
          <w:lang w:val="en-US" w:eastAsia="zh-CN"/>
        </w:rPr>
        <w:instrText xml:space="preserve"> HYPERLINK \l _Toc26124 </w:instrText>
      </w:r>
      <w:r>
        <w:rPr>
          <w:rFonts w:hint="eastAsia" w:asciiTheme="minorEastAsia" w:hAnsiTheme="minorEastAsia" w:eastAsiaTheme="minorEastAsia" w:cstheme="minorEastAsia"/>
          <w:bCs/>
          <w:color w:val="auto"/>
          <w:kern w:val="0"/>
          <w:sz w:val="32"/>
          <w:szCs w:val="60"/>
          <w:lang w:val="en-US" w:eastAsia="zh-CN"/>
        </w:rPr>
        <w:fldChar w:fldCharType="separate"/>
      </w:r>
      <w:r>
        <w:rPr>
          <w:rFonts w:hint="eastAsia" w:asciiTheme="minorEastAsia" w:hAnsiTheme="minorEastAsia" w:eastAsiaTheme="minorEastAsia" w:cstheme="minorEastAsia"/>
          <w:bCs w:val="0"/>
          <w:color w:val="auto"/>
          <w:kern w:val="0"/>
          <w:sz w:val="32"/>
          <w:szCs w:val="48"/>
        </w:rPr>
        <w:t>第五章 服务内容及要求</w:t>
      </w:r>
      <w:r>
        <w:rPr>
          <w:rFonts w:hint="eastAsia" w:asciiTheme="minorEastAsia" w:hAnsiTheme="minorEastAsia" w:eastAsiaTheme="minorEastAsia" w:cstheme="minorEastAsia"/>
          <w:color w:val="auto"/>
          <w:sz w:val="32"/>
          <w:szCs w:val="36"/>
        </w:rPr>
        <w:tab/>
      </w:r>
      <w:r>
        <w:rPr>
          <w:rFonts w:hint="eastAsia" w:asciiTheme="minorEastAsia" w:hAnsiTheme="minorEastAsia" w:eastAsiaTheme="minorEastAsia" w:cstheme="minorEastAsia"/>
          <w:color w:val="auto"/>
          <w:sz w:val="32"/>
          <w:szCs w:val="36"/>
        </w:rPr>
        <w:fldChar w:fldCharType="begin"/>
      </w:r>
      <w:r>
        <w:rPr>
          <w:rFonts w:hint="eastAsia" w:asciiTheme="minorEastAsia" w:hAnsiTheme="minorEastAsia" w:eastAsiaTheme="minorEastAsia" w:cstheme="minorEastAsia"/>
          <w:color w:val="auto"/>
          <w:sz w:val="32"/>
          <w:szCs w:val="36"/>
        </w:rPr>
        <w:instrText xml:space="preserve"> PAGEREF _Toc26124 \h </w:instrText>
      </w:r>
      <w:r>
        <w:rPr>
          <w:rFonts w:hint="eastAsia" w:asciiTheme="minorEastAsia" w:hAnsiTheme="minorEastAsia" w:eastAsiaTheme="minorEastAsia" w:cstheme="minorEastAsia"/>
          <w:color w:val="auto"/>
          <w:sz w:val="32"/>
          <w:szCs w:val="36"/>
        </w:rPr>
        <w:fldChar w:fldCharType="separate"/>
      </w:r>
      <w:r>
        <w:rPr>
          <w:rFonts w:hint="eastAsia" w:asciiTheme="minorEastAsia" w:hAnsiTheme="minorEastAsia" w:eastAsiaTheme="minorEastAsia" w:cstheme="minorEastAsia"/>
          <w:color w:val="auto"/>
          <w:sz w:val="32"/>
          <w:szCs w:val="36"/>
        </w:rPr>
        <w:t>32</w:t>
      </w:r>
      <w:r>
        <w:rPr>
          <w:rFonts w:hint="eastAsia" w:asciiTheme="minorEastAsia" w:hAnsiTheme="minorEastAsia" w:eastAsiaTheme="minorEastAsia" w:cstheme="minorEastAsia"/>
          <w:color w:val="auto"/>
          <w:sz w:val="32"/>
          <w:szCs w:val="36"/>
        </w:rPr>
        <w:fldChar w:fldCharType="end"/>
      </w:r>
      <w:r>
        <w:rPr>
          <w:rFonts w:hint="eastAsia" w:asciiTheme="minorEastAsia" w:hAnsiTheme="minorEastAsia" w:eastAsiaTheme="minorEastAsia" w:cstheme="minorEastAsia"/>
          <w:bCs/>
          <w:color w:val="auto"/>
          <w:kern w:val="0"/>
          <w:sz w:val="32"/>
          <w:szCs w:val="60"/>
          <w:lang w:val="en-US" w:eastAsia="zh-CN"/>
        </w:rPr>
        <w:fldChar w:fldCharType="end"/>
      </w:r>
    </w:p>
    <w:p w14:paraId="5FC8DC03">
      <w:pPr>
        <w:pStyle w:val="15"/>
        <w:tabs>
          <w:tab w:val="right" w:leader="dot" w:pos="9751"/>
        </w:tabs>
        <w:spacing w:line="480" w:lineRule="auto"/>
        <w:rPr>
          <w:color w:val="auto"/>
        </w:rPr>
      </w:pPr>
      <w:r>
        <w:rPr>
          <w:rFonts w:hint="eastAsia" w:asciiTheme="minorEastAsia" w:hAnsiTheme="minorEastAsia" w:eastAsiaTheme="minorEastAsia" w:cstheme="minorEastAsia"/>
          <w:bCs/>
          <w:color w:val="auto"/>
          <w:kern w:val="0"/>
          <w:sz w:val="32"/>
          <w:szCs w:val="60"/>
          <w:lang w:val="en-US" w:eastAsia="zh-CN"/>
        </w:rPr>
        <w:fldChar w:fldCharType="begin"/>
      </w:r>
      <w:r>
        <w:rPr>
          <w:rFonts w:hint="eastAsia" w:asciiTheme="minorEastAsia" w:hAnsiTheme="minorEastAsia" w:eastAsiaTheme="minorEastAsia" w:cstheme="minorEastAsia"/>
          <w:bCs/>
          <w:color w:val="auto"/>
          <w:kern w:val="0"/>
          <w:sz w:val="32"/>
          <w:szCs w:val="60"/>
          <w:lang w:val="en-US" w:eastAsia="zh-CN"/>
        </w:rPr>
        <w:instrText xml:space="preserve"> HYPERLINK \l _Toc465 </w:instrText>
      </w:r>
      <w:r>
        <w:rPr>
          <w:rFonts w:hint="eastAsia" w:asciiTheme="minorEastAsia" w:hAnsiTheme="minorEastAsia" w:eastAsiaTheme="minorEastAsia" w:cstheme="minorEastAsia"/>
          <w:bCs/>
          <w:color w:val="auto"/>
          <w:kern w:val="0"/>
          <w:sz w:val="32"/>
          <w:szCs w:val="60"/>
          <w:lang w:val="en-US" w:eastAsia="zh-CN"/>
        </w:rPr>
        <w:fldChar w:fldCharType="separate"/>
      </w:r>
      <w:r>
        <w:rPr>
          <w:rFonts w:hint="eastAsia" w:asciiTheme="minorEastAsia" w:hAnsiTheme="minorEastAsia" w:eastAsiaTheme="minorEastAsia" w:cstheme="minorEastAsia"/>
          <w:bCs w:val="0"/>
          <w:color w:val="auto"/>
          <w:kern w:val="0"/>
          <w:sz w:val="32"/>
          <w:szCs w:val="48"/>
        </w:rPr>
        <w:t>第六章 响应文件格式</w:t>
      </w:r>
      <w:r>
        <w:rPr>
          <w:rFonts w:hint="eastAsia" w:asciiTheme="minorEastAsia" w:hAnsiTheme="minorEastAsia" w:eastAsiaTheme="minorEastAsia" w:cstheme="minorEastAsia"/>
          <w:color w:val="auto"/>
          <w:sz w:val="32"/>
          <w:szCs w:val="36"/>
        </w:rPr>
        <w:tab/>
      </w:r>
      <w:r>
        <w:rPr>
          <w:rFonts w:hint="eastAsia" w:asciiTheme="minorEastAsia" w:hAnsiTheme="minorEastAsia" w:eastAsiaTheme="minorEastAsia" w:cstheme="minorEastAsia"/>
          <w:color w:val="auto"/>
          <w:sz w:val="32"/>
          <w:szCs w:val="36"/>
        </w:rPr>
        <w:fldChar w:fldCharType="begin"/>
      </w:r>
      <w:r>
        <w:rPr>
          <w:rFonts w:hint="eastAsia" w:asciiTheme="minorEastAsia" w:hAnsiTheme="minorEastAsia" w:eastAsiaTheme="minorEastAsia" w:cstheme="minorEastAsia"/>
          <w:color w:val="auto"/>
          <w:sz w:val="32"/>
          <w:szCs w:val="36"/>
        </w:rPr>
        <w:instrText xml:space="preserve"> PAGEREF _Toc465 \h </w:instrText>
      </w:r>
      <w:r>
        <w:rPr>
          <w:rFonts w:hint="eastAsia" w:asciiTheme="minorEastAsia" w:hAnsiTheme="minorEastAsia" w:eastAsiaTheme="minorEastAsia" w:cstheme="minorEastAsia"/>
          <w:color w:val="auto"/>
          <w:sz w:val="32"/>
          <w:szCs w:val="36"/>
        </w:rPr>
        <w:fldChar w:fldCharType="separate"/>
      </w:r>
      <w:r>
        <w:rPr>
          <w:rFonts w:hint="eastAsia" w:asciiTheme="minorEastAsia" w:hAnsiTheme="minorEastAsia" w:eastAsiaTheme="minorEastAsia" w:cstheme="minorEastAsia"/>
          <w:color w:val="auto"/>
          <w:sz w:val="32"/>
          <w:szCs w:val="36"/>
        </w:rPr>
        <w:t>33</w:t>
      </w:r>
      <w:r>
        <w:rPr>
          <w:rFonts w:hint="eastAsia" w:asciiTheme="minorEastAsia" w:hAnsiTheme="minorEastAsia" w:eastAsiaTheme="minorEastAsia" w:cstheme="minorEastAsia"/>
          <w:color w:val="auto"/>
          <w:sz w:val="32"/>
          <w:szCs w:val="36"/>
        </w:rPr>
        <w:fldChar w:fldCharType="end"/>
      </w:r>
      <w:r>
        <w:rPr>
          <w:rFonts w:hint="eastAsia" w:asciiTheme="minorEastAsia" w:hAnsiTheme="minorEastAsia" w:eastAsiaTheme="minorEastAsia" w:cstheme="minorEastAsia"/>
          <w:bCs/>
          <w:color w:val="auto"/>
          <w:kern w:val="0"/>
          <w:sz w:val="32"/>
          <w:szCs w:val="60"/>
          <w:lang w:val="en-US" w:eastAsia="zh-CN"/>
        </w:rPr>
        <w:fldChar w:fldCharType="end"/>
      </w:r>
    </w:p>
    <w:p w14:paraId="0BEB8180">
      <w:pPr>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outlineLvl w:val="9"/>
        <w:rPr>
          <w:rFonts w:hint="eastAsia" w:ascii="宋体" w:hAnsi="宋体" w:cs="宋体"/>
          <w:b/>
          <w:bCs/>
          <w:color w:val="auto"/>
          <w:kern w:val="0"/>
          <w:sz w:val="44"/>
          <w:szCs w:val="44"/>
          <w:lang w:val="en-US" w:eastAsia="zh-CN"/>
        </w:rPr>
      </w:pPr>
      <w:r>
        <w:rPr>
          <w:rFonts w:hint="eastAsia" w:ascii="宋体" w:hAnsi="宋体" w:cs="宋体"/>
          <w:bCs/>
          <w:color w:val="auto"/>
          <w:kern w:val="0"/>
          <w:szCs w:val="44"/>
          <w:lang w:val="en-US" w:eastAsia="zh-CN"/>
        </w:rPr>
        <w:fldChar w:fldCharType="end"/>
      </w:r>
    </w:p>
    <w:p w14:paraId="7FCC7938">
      <w:pPr>
        <w:spacing w:line="360" w:lineRule="auto"/>
        <w:outlineLvl w:val="9"/>
        <w:rPr>
          <w:rFonts w:ascii="宋体" w:hAnsi="宋体" w:eastAsia="宋体"/>
          <w:color w:val="auto"/>
          <w:sz w:val="28"/>
          <w:szCs w:val="28"/>
        </w:rPr>
      </w:pPr>
    </w:p>
    <w:p w14:paraId="24CCAB97">
      <w:pPr>
        <w:spacing w:line="360" w:lineRule="auto"/>
        <w:jc w:val="center"/>
        <w:outlineLvl w:val="9"/>
        <w:rPr>
          <w:rFonts w:hint="eastAsia" w:ascii="宋体" w:hAnsi="宋体" w:eastAsia="宋体" w:cs="宋体"/>
          <w:bCs w:val="0"/>
          <w:color w:val="auto"/>
          <w:kern w:val="0"/>
          <w:sz w:val="32"/>
          <w:szCs w:val="32"/>
        </w:rPr>
        <w:sectPr>
          <w:footerReference r:id="rId6" w:type="first"/>
          <w:footerReference r:id="rId5" w:type="default"/>
          <w:pgSz w:w="11911" w:h="16838"/>
          <w:pgMar w:top="1440" w:right="1080" w:bottom="1440" w:left="1080" w:header="890" w:footer="975" w:gutter="0"/>
          <w:pgNumType w:fmt="decimal" w:start="1"/>
          <w:cols w:space="0" w:num="1"/>
          <w:titlePg/>
          <w:rtlGutter w:val="0"/>
          <w:docGrid w:linePitch="0" w:charSpace="0"/>
        </w:sectPr>
      </w:pPr>
      <w:bookmarkStart w:id="0" w:name="_Toc11998"/>
      <w:bookmarkEnd w:id="0"/>
      <w:bookmarkStart w:id="1" w:name="_Toc13563"/>
      <w:bookmarkEnd w:id="1"/>
      <w:bookmarkStart w:id="2" w:name="_Toc11513"/>
      <w:bookmarkEnd w:id="2"/>
      <w:bookmarkStart w:id="3" w:name="_Toc113437297"/>
    </w:p>
    <w:p w14:paraId="32B223EF">
      <w:pPr>
        <w:spacing w:line="360" w:lineRule="auto"/>
        <w:jc w:val="center"/>
        <w:outlineLvl w:val="0"/>
        <w:rPr>
          <w:rFonts w:ascii="宋体" w:hAnsi="宋体" w:eastAsia="宋体" w:cs="宋体"/>
          <w:bCs w:val="0"/>
          <w:color w:val="auto"/>
          <w:kern w:val="0"/>
          <w:sz w:val="32"/>
          <w:szCs w:val="32"/>
        </w:rPr>
      </w:pPr>
      <w:bookmarkStart w:id="4" w:name="_Toc13674"/>
      <w:r>
        <w:rPr>
          <w:rFonts w:hint="eastAsia" w:ascii="宋体" w:hAnsi="宋体" w:eastAsia="宋体" w:cs="宋体"/>
          <w:b/>
          <w:bCs/>
          <w:color w:val="auto"/>
          <w:kern w:val="0"/>
          <w:sz w:val="32"/>
          <w:szCs w:val="32"/>
        </w:rPr>
        <w:t>第一章</w:t>
      </w:r>
      <w:r>
        <w:rPr>
          <w:rFonts w:hint="eastAsia" w:ascii="宋体" w:hAnsi="宋体" w:cs="宋体"/>
          <w:b/>
          <w:bCs/>
          <w:color w:val="auto"/>
          <w:kern w:val="0"/>
          <w:sz w:val="32"/>
          <w:szCs w:val="32"/>
          <w:lang w:val="en-US" w:eastAsia="zh-CN"/>
        </w:rPr>
        <w:t>、</w:t>
      </w:r>
      <w:r>
        <w:rPr>
          <w:rFonts w:hint="eastAsia" w:ascii="宋体" w:hAnsi="宋体" w:eastAsia="宋体" w:cs="宋体"/>
          <w:b/>
          <w:bCs/>
          <w:color w:val="auto"/>
          <w:kern w:val="0"/>
          <w:sz w:val="32"/>
          <w:szCs w:val="32"/>
        </w:rPr>
        <w:t>竞争性磋商公告</w:t>
      </w:r>
      <w:bookmarkEnd w:id="3"/>
      <w:bookmarkEnd w:id="4"/>
    </w:p>
    <w:p w14:paraId="48BAD40C">
      <w:pPr>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outlineLvl w:val="9"/>
        <w:rPr>
          <w:rFonts w:hint="eastAsia" w:ascii="宋体" w:hAnsi="宋体"/>
          <w:b/>
          <w:bCs/>
          <w:color w:val="auto"/>
          <w:spacing w:val="-4"/>
          <w:sz w:val="28"/>
          <w:szCs w:val="28"/>
        </w:rPr>
      </w:pPr>
      <w:bookmarkStart w:id="5" w:name="OLE_LINK3"/>
      <w:r>
        <w:rPr>
          <w:rFonts w:hint="eastAsia" w:ascii="宋体" w:hAnsi="宋体"/>
          <w:b/>
          <w:bCs/>
          <w:color w:val="auto"/>
          <w:spacing w:val="-4"/>
          <w:sz w:val="28"/>
          <w:szCs w:val="28"/>
        </w:rPr>
        <w:t>【平公资采202677号】平顶山市第一高级中学2026-2027年度安全管理服务项目</w:t>
      </w:r>
    </w:p>
    <w:p w14:paraId="0D05A805">
      <w:pPr>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outlineLvl w:val="9"/>
        <w:rPr>
          <w:rFonts w:hint="eastAsia" w:ascii="宋体" w:hAnsi="宋体"/>
          <w:b/>
          <w:bCs/>
          <w:color w:val="auto"/>
          <w:spacing w:val="-4"/>
          <w:sz w:val="30"/>
          <w:szCs w:val="30"/>
        </w:rPr>
      </w:pPr>
      <w:r>
        <w:rPr>
          <w:rFonts w:hint="eastAsia" w:ascii="宋体" w:hAnsi="宋体"/>
          <w:b/>
          <w:bCs/>
          <w:color w:val="auto"/>
          <w:spacing w:val="-4"/>
          <w:sz w:val="28"/>
          <w:szCs w:val="28"/>
        </w:rPr>
        <w:t>竞争性磋商公告</w:t>
      </w:r>
    </w:p>
    <w:bookmarkEnd w:id="5"/>
    <w:p w14:paraId="2F214594">
      <w:pPr>
        <w:keepNext w:val="0"/>
        <w:keepLines w:val="0"/>
        <w:pageBreakBefore w:val="0"/>
        <w:widowControl w:val="0"/>
        <w:kinsoku w:val="0"/>
        <w:wordWrap/>
        <w:overflowPunct w:val="0"/>
        <w:topLinePunct w:val="0"/>
        <w:autoSpaceDE w:val="0"/>
        <w:autoSpaceDN w:val="0"/>
        <w:bidi w:val="0"/>
        <w:adjustRightInd w:val="0"/>
        <w:snapToGrid w:val="0"/>
        <w:spacing w:line="360" w:lineRule="auto"/>
        <w:textAlignment w:val="auto"/>
        <w:outlineLvl w:val="9"/>
        <w:rPr>
          <w:rFonts w:ascii="宋体" w:hAnsi="宋体" w:eastAsia="宋体" w:cs="宋体"/>
          <w:b/>
          <w:color w:val="auto"/>
          <w:sz w:val="24"/>
          <w:szCs w:val="24"/>
          <w:highlight w:val="none"/>
        </w:rPr>
      </w:pPr>
      <w:bookmarkStart w:id="6" w:name="_Toc35393621"/>
      <w:bookmarkStart w:id="7" w:name="_Toc60148574"/>
      <w:bookmarkStart w:id="8" w:name="_Toc35393790"/>
      <w:bookmarkStart w:id="9" w:name="_Toc28359002"/>
      <w:bookmarkStart w:id="10" w:name="_Toc28359079"/>
      <w:bookmarkStart w:id="11" w:name="_Hlk24379207"/>
      <w:r>
        <w:rPr>
          <w:rFonts w:hint="eastAsia" w:ascii="宋体" w:hAnsi="宋体" w:eastAsia="宋体" w:cs="宋体"/>
          <w:b/>
          <w:color w:val="auto"/>
          <w:sz w:val="24"/>
          <w:szCs w:val="24"/>
          <w:highlight w:val="none"/>
        </w:rPr>
        <w:t>一、项目基本情况</w:t>
      </w:r>
      <w:bookmarkEnd w:id="6"/>
      <w:bookmarkEnd w:id="7"/>
      <w:bookmarkEnd w:id="8"/>
      <w:bookmarkEnd w:id="9"/>
      <w:bookmarkEnd w:id="10"/>
    </w:p>
    <w:p w14:paraId="59B72445">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1.采购项目编号：</w:t>
      </w:r>
      <w:r>
        <w:rPr>
          <w:rFonts w:hint="eastAsia" w:ascii="宋体" w:hAnsi="宋体" w:cs="宋体"/>
          <w:i w:val="0"/>
          <w:iCs w:val="0"/>
          <w:caps w:val="0"/>
          <w:color w:val="auto"/>
          <w:spacing w:val="0"/>
          <w:sz w:val="24"/>
          <w:szCs w:val="24"/>
          <w:shd w:val="clear" w:fill="FAFCFD"/>
          <w:lang w:val="en-US" w:eastAsia="zh-CN"/>
        </w:rPr>
        <w:t>平采磋商-2025-161</w:t>
      </w:r>
    </w:p>
    <w:p w14:paraId="3C8EA0A3">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outlineLvl w:val="9"/>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2.采购项目名称</w:t>
      </w:r>
      <w:r>
        <w:rPr>
          <w:rFonts w:hint="eastAsia" w:ascii="宋体" w:hAnsi="宋体" w:eastAsia="宋体" w:cs="宋体"/>
          <w:color w:val="auto"/>
          <w:sz w:val="24"/>
          <w:szCs w:val="24"/>
          <w:highlight w:val="none"/>
          <w:lang w:eastAsia="zh-CN"/>
        </w:rPr>
        <w:t>：平顶山市第一高级中学2026-2027年度安全管理服务项目</w:t>
      </w:r>
    </w:p>
    <w:p w14:paraId="5704C8C2">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3.采购方式：竞争性磋商</w:t>
      </w:r>
    </w:p>
    <w:bookmarkEnd w:id="11"/>
    <w:p w14:paraId="75B91BBF">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4.预算金额：</w:t>
      </w:r>
      <w:r>
        <w:rPr>
          <w:rFonts w:hint="eastAsia" w:ascii="宋体" w:hAnsi="宋体" w:cs="宋体"/>
          <w:color w:val="auto"/>
          <w:sz w:val="24"/>
          <w:szCs w:val="24"/>
          <w:highlight w:val="none"/>
          <w:lang w:val="en-US" w:eastAsia="zh-CN"/>
        </w:rPr>
        <w:t>1056000.00</w:t>
      </w:r>
      <w:r>
        <w:rPr>
          <w:rFonts w:hint="eastAsia" w:ascii="宋体" w:hAnsi="宋体" w:eastAsia="宋体" w:cs="宋体"/>
          <w:color w:val="auto"/>
          <w:sz w:val="24"/>
          <w:szCs w:val="24"/>
          <w:highlight w:val="none"/>
        </w:rPr>
        <w:t>元，最高限价：</w:t>
      </w:r>
      <w:r>
        <w:rPr>
          <w:rFonts w:hint="eastAsia" w:ascii="宋体" w:hAnsi="宋体" w:cs="宋体"/>
          <w:color w:val="auto"/>
          <w:sz w:val="24"/>
          <w:szCs w:val="24"/>
          <w:highlight w:val="none"/>
          <w:lang w:val="en-US" w:eastAsia="zh-CN"/>
        </w:rPr>
        <w:t>1056000.00</w:t>
      </w:r>
      <w:r>
        <w:rPr>
          <w:rFonts w:hint="eastAsia" w:ascii="宋体" w:hAnsi="宋体" w:eastAsia="宋体" w:cs="宋体"/>
          <w:color w:val="auto"/>
          <w:sz w:val="24"/>
          <w:szCs w:val="24"/>
          <w:highlight w:val="none"/>
        </w:rPr>
        <w:t>元。</w:t>
      </w:r>
    </w:p>
    <w:tbl>
      <w:tblPr>
        <w:tblStyle w:val="2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15" w:type="dxa"/>
          <w:left w:w="15" w:type="dxa"/>
          <w:bottom w:w="15" w:type="dxa"/>
          <w:right w:w="15" w:type="dxa"/>
        </w:tblCellMar>
      </w:tblPr>
      <w:tblGrid>
        <w:gridCol w:w="481"/>
        <w:gridCol w:w="1116"/>
        <w:gridCol w:w="2109"/>
        <w:gridCol w:w="1455"/>
        <w:gridCol w:w="1485"/>
        <w:gridCol w:w="1230"/>
        <w:gridCol w:w="1440"/>
      </w:tblGrid>
      <w:tr w14:paraId="385F62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654" w:hRule="atLeast"/>
          <w:jc w:val="center"/>
        </w:trPr>
        <w:tc>
          <w:tcPr>
            <w:tcW w:w="481" w:type="dxa"/>
            <w:noWrap w:val="0"/>
            <w:tcMar>
              <w:top w:w="0" w:type="dxa"/>
              <w:left w:w="108" w:type="dxa"/>
              <w:bottom w:w="0" w:type="dxa"/>
              <w:right w:w="108" w:type="dxa"/>
            </w:tcMar>
            <w:vAlign w:val="center"/>
          </w:tcPr>
          <w:p w14:paraId="798E8FA4">
            <w:pPr>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outlineLvl w:val="9"/>
              <w:rPr>
                <w:rFonts w:ascii="宋体" w:hAnsi="宋体" w:eastAsia="宋体" w:cs="宋体"/>
                <w:color w:val="auto"/>
                <w:spacing w:val="14"/>
                <w:kern w:val="0"/>
                <w:sz w:val="21"/>
                <w:szCs w:val="21"/>
                <w:highlight w:val="none"/>
                <w:lang w:bidi="ar"/>
              </w:rPr>
            </w:pPr>
            <w:bookmarkStart w:id="12" w:name="_Hlk71291664"/>
            <w:r>
              <w:rPr>
                <w:rFonts w:hint="eastAsia" w:ascii="宋体" w:hAnsi="宋体" w:eastAsia="宋体" w:cs="宋体"/>
                <w:color w:val="auto"/>
                <w:spacing w:val="14"/>
                <w:kern w:val="0"/>
                <w:sz w:val="21"/>
                <w:szCs w:val="21"/>
                <w:highlight w:val="none"/>
                <w:lang w:bidi="ar"/>
              </w:rPr>
              <w:t>序号</w:t>
            </w:r>
          </w:p>
        </w:tc>
        <w:tc>
          <w:tcPr>
            <w:tcW w:w="1116" w:type="dxa"/>
            <w:noWrap w:val="0"/>
            <w:tcMar>
              <w:top w:w="0" w:type="dxa"/>
              <w:left w:w="108" w:type="dxa"/>
              <w:bottom w:w="0" w:type="dxa"/>
              <w:right w:w="108" w:type="dxa"/>
            </w:tcMar>
            <w:vAlign w:val="center"/>
          </w:tcPr>
          <w:p w14:paraId="7C8A7EBF">
            <w:pPr>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outlineLvl w:val="9"/>
              <w:rPr>
                <w:rFonts w:ascii="宋体" w:hAnsi="宋体" w:eastAsia="宋体" w:cs="宋体"/>
                <w:color w:val="auto"/>
                <w:sz w:val="21"/>
                <w:szCs w:val="21"/>
                <w:highlight w:val="none"/>
              </w:rPr>
            </w:pPr>
            <w:r>
              <w:rPr>
                <w:rFonts w:hint="eastAsia" w:ascii="宋体" w:hAnsi="宋体" w:eastAsia="宋体" w:cs="宋体"/>
                <w:color w:val="auto"/>
                <w:spacing w:val="14"/>
                <w:kern w:val="0"/>
                <w:sz w:val="21"/>
                <w:szCs w:val="21"/>
                <w:highlight w:val="none"/>
                <w:lang w:bidi="ar"/>
              </w:rPr>
              <w:t>包号</w:t>
            </w:r>
          </w:p>
        </w:tc>
        <w:tc>
          <w:tcPr>
            <w:tcW w:w="2109" w:type="dxa"/>
            <w:noWrap w:val="0"/>
            <w:tcMar>
              <w:top w:w="0" w:type="dxa"/>
              <w:left w:w="108" w:type="dxa"/>
              <w:bottom w:w="0" w:type="dxa"/>
              <w:right w:w="108" w:type="dxa"/>
            </w:tcMar>
            <w:vAlign w:val="center"/>
          </w:tcPr>
          <w:p w14:paraId="794849B8">
            <w:pPr>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outlineLvl w:val="9"/>
              <w:rPr>
                <w:rFonts w:ascii="宋体" w:hAnsi="宋体" w:eastAsia="宋体" w:cs="宋体"/>
                <w:color w:val="auto"/>
                <w:sz w:val="21"/>
                <w:szCs w:val="21"/>
                <w:highlight w:val="none"/>
              </w:rPr>
            </w:pPr>
            <w:r>
              <w:rPr>
                <w:rFonts w:hint="eastAsia" w:ascii="宋体" w:hAnsi="宋体" w:eastAsia="宋体" w:cs="宋体"/>
                <w:color w:val="auto"/>
                <w:spacing w:val="14"/>
                <w:kern w:val="0"/>
                <w:sz w:val="21"/>
                <w:szCs w:val="21"/>
                <w:highlight w:val="none"/>
                <w:lang w:bidi="ar"/>
              </w:rPr>
              <w:t>包名称</w:t>
            </w:r>
          </w:p>
        </w:tc>
        <w:tc>
          <w:tcPr>
            <w:tcW w:w="1455" w:type="dxa"/>
            <w:noWrap w:val="0"/>
            <w:tcMar>
              <w:top w:w="0" w:type="dxa"/>
              <w:left w:w="108" w:type="dxa"/>
              <w:bottom w:w="0" w:type="dxa"/>
              <w:right w:w="108" w:type="dxa"/>
            </w:tcMar>
            <w:vAlign w:val="center"/>
          </w:tcPr>
          <w:p w14:paraId="115B7683">
            <w:pPr>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outlineLvl w:val="9"/>
              <w:rPr>
                <w:rFonts w:hint="eastAsia" w:ascii="宋体" w:hAnsi="宋体" w:eastAsia="宋体" w:cs="宋体"/>
                <w:color w:val="auto"/>
                <w:spacing w:val="14"/>
                <w:kern w:val="0"/>
                <w:sz w:val="21"/>
                <w:szCs w:val="21"/>
                <w:highlight w:val="none"/>
                <w:lang w:bidi="ar"/>
              </w:rPr>
            </w:pPr>
            <w:r>
              <w:rPr>
                <w:rFonts w:hint="eastAsia" w:ascii="宋体" w:hAnsi="宋体" w:eastAsia="宋体" w:cs="宋体"/>
                <w:color w:val="auto"/>
                <w:spacing w:val="14"/>
                <w:kern w:val="0"/>
                <w:sz w:val="21"/>
                <w:szCs w:val="21"/>
                <w:highlight w:val="none"/>
                <w:lang w:bidi="ar"/>
              </w:rPr>
              <w:t>包预算</w:t>
            </w:r>
          </w:p>
          <w:p w14:paraId="7AED4BC2">
            <w:pPr>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outlineLvl w:val="9"/>
              <w:rPr>
                <w:rFonts w:ascii="宋体" w:hAnsi="宋体" w:eastAsia="宋体" w:cs="宋体"/>
                <w:color w:val="auto"/>
                <w:spacing w:val="14"/>
                <w:kern w:val="0"/>
                <w:sz w:val="21"/>
                <w:szCs w:val="21"/>
                <w:highlight w:val="none"/>
                <w:lang w:bidi="ar"/>
              </w:rPr>
            </w:pPr>
            <w:r>
              <w:rPr>
                <w:rFonts w:hint="eastAsia" w:ascii="宋体" w:hAnsi="宋体" w:eastAsia="宋体" w:cs="宋体"/>
                <w:color w:val="auto"/>
                <w:sz w:val="21"/>
                <w:szCs w:val="21"/>
                <w:highlight w:val="none"/>
              </w:rPr>
              <w:t>（元）</w:t>
            </w:r>
          </w:p>
        </w:tc>
        <w:tc>
          <w:tcPr>
            <w:tcW w:w="1485" w:type="dxa"/>
            <w:noWrap w:val="0"/>
            <w:tcMar>
              <w:top w:w="0" w:type="dxa"/>
              <w:left w:w="108" w:type="dxa"/>
              <w:bottom w:w="0" w:type="dxa"/>
              <w:right w:w="108" w:type="dxa"/>
            </w:tcMar>
            <w:vAlign w:val="center"/>
          </w:tcPr>
          <w:p w14:paraId="1810E9ED">
            <w:pPr>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包最高限价</w:t>
            </w:r>
          </w:p>
          <w:p w14:paraId="1A426321">
            <w:pPr>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outlineLvl w:val="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（元）</w:t>
            </w:r>
          </w:p>
        </w:tc>
        <w:tc>
          <w:tcPr>
            <w:tcW w:w="1230" w:type="dxa"/>
            <w:noWrap w:val="0"/>
            <w:tcMar>
              <w:top w:w="0" w:type="dxa"/>
              <w:left w:w="108" w:type="dxa"/>
              <w:bottom w:w="0" w:type="dxa"/>
              <w:right w:w="108" w:type="dxa"/>
            </w:tcMar>
            <w:vAlign w:val="center"/>
          </w:tcPr>
          <w:p w14:paraId="7EF1998B">
            <w:pPr>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是否专门面向中小企业</w:t>
            </w:r>
          </w:p>
        </w:tc>
        <w:tc>
          <w:tcPr>
            <w:tcW w:w="1440" w:type="dxa"/>
            <w:noWrap w:val="0"/>
            <w:tcMar>
              <w:top w:w="0" w:type="dxa"/>
              <w:left w:w="108" w:type="dxa"/>
              <w:bottom w:w="0" w:type="dxa"/>
              <w:right w:w="108" w:type="dxa"/>
            </w:tcMar>
            <w:vAlign w:val="center"/>
          </w:tcPr>
          <w:p w14:paraId="6D74740E">
            <w:pPr>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采购预留金额（元）</w:t>
            </w:r>
          </w:p>
        </w:tc>
      </w:tr>
      <w:tr w14:paraId="705E42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1101" w:hRule="atLeast"/>
          <w:jc w:val="center"/>
        </w:trPr>
        <w:tc>
          <w:tcPr>
            <w:tcW w:w="481" w:type="dxa"/>
            <w:noWrap w:val="0"/>
            <w:tcMar>
              <w:top w:w="0" w:type="dxa"/>
              <w:left w:w="108" w:type="dxa"/>
              <w:bottom w:w="0" w:type="dxa"/>
              <w:right w:w="108" w:type="dxa"/>
            </w:tcMar>
            <w:vAlign w:val="center"/>
          </w:tcPr>
          <w:p w14:paraId="28985717">
            <w:pPr>
              <w:keepNext w:val="0"/>
              <w:keepLines w:val="0"/>
              <w:pageBreakBefore w:val="0"/>
              <w:widowControl w:val="0"/>
              <w:kinsoku w:val="0"/>
              <w:wordWrap/>
              <w:overflowPunct w:val="0"/>
              <w:topLinePunct w:val="0"/>
              <w:autoSpaceDE w:val="0"/>
              <w:autoSpaceDN w:val="0"/>
              <w:bidi w:val="0"/>
              <w:adjustRightInd w:val="0"/>
              <w:snapToGrid w:val="0"/>
              <w:spacing w:line="360" w:lineRule="auto"/>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116" w:type="dxa"/>
            <w:noWrap w:val="0"/>
            <w:tcMar>
              <w:top w:w="0" w:type="dxa"/>
              <w:left w:w="108" w:type="dxa"/>
              <w:bottom w:w="0" w:type="dxa"/>
              <w:right w:w="108" w:type="dxa"/>
            </w:tcMar>
            <w:vAlign w:val="center"/>
          </w:tcPr>
          <w:p w14:paraId="6BE3D263">
            <w:pPr>
              <w:keepNext w:val="0"/>
              <w:keepLines w:val="0"/>
              <w:pageBreakBefore w:val="0"/>
              <w:widowControl w:val="0"/>
              <w:kinsoku w:val="0"/>
              <w:wordWrap/>
              <w:overflowPunct w:val="0"/>
              <w:topLinePunct w:val="0"/>
              <w:autoSpaceDE w:val="0"/>
              <w:autoSpaceDN w:val="0"/>
              <w:bidi w:val="0"/>
              <w:adjustRightInd w:val="0"/>
              <w:snapToGrid w:val="0"/>
              <w:spacing w:line="360" w:lineRule="auto"/>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平公资采202677号-1</w:t>
            </w:r>
          </w:p>
        </w:tc>
        <w:tc>
          <w:tcPr>
            <w:tcW w:w="2109" w:type="dxa"/>
            <w:noWrap w:val="0"/>
            <w:tcMar>
              <w:top w:w="0" w:type="dxa"/>
              <w:left w:w="108" w:type="dxa"/>
              <w:bottom w:w="0" w:type="dxa"/>
              <w:right w:w="108" w:type="dxa"/>
            </w:tcMar>
            <w:vAlign w:val="center"/>
          </w:tcPr>
          <w:p w14:paraId="1B29F79D">
            <w:pPr>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2"/>
                <w:szCs w:val="22"/>
                <w:highlight w:val="none"/>
                <w:lang w:val="en-US" w:eastAsia="zh-CN"/>
              </w:rPr>
              <w:t>平顶山市第一高级中学2026-2027年度安全管理服务项目</w:t>
            </w:r>
          </w:p>
        </w:tc>
        <w:tc>
          <w:tcPr>
            <w:tcW w:w="1455" w:type="dxa"/>
            <w:noWrap w:val="0"/>
            <w:tcMar>
              <w:top w:w="0" w:type="dxa"/>
              <w:left w:w="108" w:type="dxa"/>
              <w:bottom w:w="0" w:type="dxa"/>
              <w:right w:w="108" w:type="dxa"/>
            </w:tcMar>
            <w:vAlign w:val="center"/>
          </w:tcPr>
          <w:p w14:paraId="14C3D05C">
            <w:pPr>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cs="宋体"/>
                <w:color w:val="auto"/>
                <w:sz w:val="24"/>
                <w:szCs w:val="24"/>
                <w:highlight w:val="none"/>
                <w:lang w:val="en-US" w:eastAsia="zh-CN"/>
              </w:rPr>
              <w:t>1056000.00</w:t>
            </w:r>
          </w:p>
        </w:tc>
        <w:tc>
          <w:tcPr>
            <w:tcW w:w="1485" w:type="dxa"/>
            <w:noWrap w:val="0"/>
            <w:tcMar>
              <w:top w:w="0" w:type="dxa"/>
              <w:left w:w="108" w:type="dxa"/>
              <w:bottom w:w="0" w:type="dxa"/>
              <w:right w:w="108" w:type="dxa"/>
            </w:tcMar>
            <w:vAlign w:val="center"/>
          </w:tcPr>
          <w:p w14:paraId="3CB52D84">
            <w:pPr>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cs="宋体"/>
                <w:color w:val="auto"/>
                <w:sz w:val="24"/>
                <w:szCs w:val="24"/>
                <w:highlight w:val="none"/>
                <w:lang w:val="en-US" w:eastAsia="zh-CN"/>
              </w:rPr>
              <w:t>1056000.00</w:t>
            </w:r>
          </w:p>
        </w:tc>
        <w:tc>
          <w:tcPr>
            <w:tcW w:w="1230" w:type="dxa"/>
            <w:noWrap w:val="0"/>
            <w:tcMar>
              <w:top w:w="0" w:type="dxa"/>
              <w:left w:w="108" w:type="dxa"/>
              <w:bottom w:w="0" w:type="dxa"/>
              <w:right w:w="108" w:type="dxa"/>
            </w:tcMar>
            <w:vAlign w:val="center"/>
          </w:tcPr>
          <w:p w14:paraId="6A0171F1">
            <w:pPr>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outlineLvl w:val="9"/>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是</w:t>
            </w:r>
          </w:p>
        </w:tc>
        <w:tc>
          <w:tcPr>
            <w:tcW w:w="1440" w:type="dxa"/>
            <w:noWrap w:val="0"/>
            <w:tcMar>
              <w:top w:w="0" w:type="dxa"/>
              <w:left w:w="108" w:type="dxa"/>
              <w:bottom w:w="0" w:type="dxa"/>
              <w:right w:w="108" w:type="dxa"/>
            </w:tcMar>
            <w:vAlign w:val="center"/>
          </w:tcPr>
          <w:p w14:paraId="423F3096">
            <w:pPr>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cs="宋体"/>
                <w:color w:val="auto"/>
                <w:sz w:val="24"/>
                <w:szCs w:val="24"/>
                <w:highlight w:val="none"/>
                <w:lang w:val="en-US" w:eastAsia="zh-CN"/>
              </w:rPr>
              <w:t>1056000.00</w:t>
            </w:r>
          </w:p>
        </w:tc>
      </w:tr>
      <w:bookmarkEnd w:id="12"/>
    </w:tbl>
    <w:p w14:paraId="59CCD806">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5.采购需求：（包括但不限于标的的名称、数量、简要技术需求或服务要求等）</w:t>
      </w:r>
    </w:p>
    <w:p w14:paraId="2B7A70D6">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 采购</w:t>
      </w:r>
      <w:r>
        <w:rPr>
          <w:rFonts w:hint="eastAsia" w:ascii="宋体" w:hAnsi="宋体" w:eastAsia="宋体" w:cs="宋体"/>
          <w:color w:val="auto"/>
          <w:sz w:val="24"/>
          <w:szCs w:val="24"/>
          <w:highlight w:val="none"/>
          <w:lang w:val="en-US" w:eastAsia="zh-CN"/>
        </w:rPr>
        <w:t>内容</w:t>
      </w:r>
      <w:r>
        <w:rPr>
          <w:rFonts w:hint="eastAsia" w:ascii="宋体" w:hAnsi="宋体" w:cs="宋体"/>
          <w:color w:val="auto"/>
          <w:sz w:val="24"/>
          <w:szCs w:val="24"/>
          <w:highlight w:val="none"/>
          <w:lang w:val="en-US" w:eastAsia="zh-CN"/>
        </w:rPr>
        <w:t>（服务范围）</w:t>
      </w:r>
      <w:r>
        <w:rPr>
          <w:rFonts w:hint="eastAsia" w:ascii="宋体" w:hAnsi="宋体" w:eastAsia="宋体" w:cs="宋体"/>
          <w:color w:val="auto"/>
          <w:sz w:val="24"/>
          <w:szCs w:val="24"/>
          <w:highlight w:val="none"/>
        </w:rPr>
        <w:t>：</w:t>
      </w:r>
      <w:r>
        <w:rPr>
          <w:rFonts w:hint="eastAsia" w:asciiTheme="minorEastAsia" w:hAnsiTheme="minorEastAsia" w:eastAsiaTheme="minorEastAsia" w:cstheme="minorEastAsia"/>
          <w:color w:val="auto"/>
          <w:sz w:val="24"/>
          <w:szCs w:val="24"/>
          <w:highlight w:val="none"/>
        </w:rPr>
        <w:t>平顶山市第一高级中学2026-2027年度安全管理服务</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服务内容包含：</w:t>
      </w:r>
      <w:r>
        <w:rPr>
          <w:rFonts w:hint="eastAsia" w:asciiTheme="minorEastAsia" w:hAnsiTheme="minorEastAsia" w:eastAsiaTheme="minorEastAsia" w:cstheme="minorEastAsia"/>
          <w:color w:val="auto"/>
          <w:sz w:val="24"/>
          <w:szCs w:val="24"/>
          <w:highlight w:val="none"/>
        </w:rPr>
        <w:t>来人来访的通报、证件检验、登记等</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防盗防火报警监控设备运行维修管理，门卫、守护和巡逻，公共秩序维护，治安及其它突发事件处理等</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楼区道路交通管理机动车和非机动车停放管理等，甲方安排的其他工作任务等。</w:t>
      </w:r>
    </w:p>
    <w:p w14:paraId="246817F0">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5.2.服务</w:t>
      </w:r>
      <w:r>
        <w:rPr>
          <w:rFonts w:hint="eastAsia" w:ascii="宋体" w:hAnsi="宋体" w:cs="宋体"/>
          <w:color w:val="auto"/>
          <w:sz w:val="24"/>
          <w:szCs w:val="24"/>
          <w:highlight w:val="none"/>
          <w:lang w:val="en-US" w:eastAsia="zh-CN"/>
        </w:rPr>
        <w:t>标准</w:t>
      </w:r>
      <w:r>
        <w:rPr>
          <w:rFonts w:hint="eastAsia" w:ascii="宋体" w:hAnsi="宋体" w:eastAsia="宋体" w:cs="宋体"/>
          <w:color w:val="auto"/>
          <w:sz w:val="24"/>
          <w:szCs w:val="24"/>
          <w:highlight w:val="none"/>
        </w:rPr>
        <w:t>：符合国家相关行业标准</w:t>
      </w:r>
      <w:r>
        <w:rPr>
          <w:rFonts w:hint="eastAsia" w:ascii="宋体" w:hAnsi="宋体" w:eastAsia="宋体" w:cs="宋体"/>
          <w:color w:val="auto"/>
          <w:sz w:val="24"/>
          <w:szCs w:val="24"/>
          <w:highlight w:val="none"/>
          <w:lang w:eastAsia="zh-CN"/>
        </w:rPr>
        <w:t>及规范，满足</w:t>
      </w:r>
      <w:r>
        <w:rPr>
          <w:rFonts w:hint="eastAsia" w:ascii="宋体" w:hAnsi="宋体" w:eastAsia="宋体" w:cs="宋体"/>
          <w:color w:val="auto"/>
          <w:sz w:val="24"/>
          <w:szCs w:val="24"/>
          <w:highlight w:val="none"/>
        </w:rPr>
        <w:t>采购人要求。</w:t>
      </w:r>
    </w:p>
    <w:p w14:paraId="56A8B894">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outlineLvl w:val="9"/>
        <w:rPr>
          <w:rFonts w:hint="default" w:eastAsia="宋体"/>
          <w:color w:val="auto"/>
          <w:sz w:val="24"/>
          <w:szCs w:val="24"/>
          <w:highlight w:val="none"/>
          <w:lang w:val="en-US" w:eastAsia="zh-CN"/>
        </w:rPr>
      </w:pPr>
      <w:r>
        <w:rPr>
          <w:rFonts w:hint="eastAsia" w:ascii="宋体" w:hAnsi="宋体" w:cs="宋体"/>
          <w:color w:val="auto"/>
          <w:sz w:val="24"/>
          <w:szCs w:val="24"/>
          <w:highlight w:val="none"/>
          <w:lang w:val="en-US" w:eastAsia="zh-CN"/>
        </w:rPr>
        <w:t>5.3.服务地点：平顶山市第一高级中学</w:t>
      </w:r>
      <w:r>
        <w:rPr>
          <w:rFonts w:hint="eastAsia" w:ascii="宋体" w:hAnsi="宋体" w:eastAsia="宋体" w:cs="宋体"/>
          <w:b w:val="0"/>
          <w:bCs w:val="0"/>
          <w:color w:val="auto"/>
          <w:spacing w:val="-4"/>
          <w:sz w:val="24"/>
          <w:szCs w:val="24"/>
          <w:highlight w:val="none"/>
          <w:u w:val="none"/>
          <w:lang w:eastAsia="zh-CN"/>
        </w:rPr>
        <w:t>。</w:t>
      </w:r>
    </w:p>
    <w:p w14:paraId="417CF144">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.标段划分：本项目划分为</w:t>
      </w:r>
      <w:r>
        <w:rPr>
          <w:rFonts w:hint="eastAsia" w:ascii="宋体" w:hAnsi="宋体" w:cs="宋体"/>
          <w:color w:val="auto"/>
          <w:sz w:val="24"/>
          <w:szCs w:val="24"/>
          <w:highlight w:val="none"/>
          <w:lang w:val="en-US" w:eastAsia="zh-CN"/>
        </w:rPr>
        <w:t>一</w:t>
      </w:r>
      <w:r>
        <w:rPr>
          <w:rFonts w:hint="eastAsia" w:ascii="宋体" w:hAnsi="宋体" w:eastAsia="宋体" w:cs="宋体"/>
          <w:color w:val="auto"/>
          <w:sz w:val="24"/>
          <w:szCs w:val="24"/>
          <w:highlight w:val="none"/>
        </w:rPr>
        <w:t>个标</w:t>
      </w:r>
      <w:r>
        <w:rPr>
          <w:rFonts w:hint="eastAsia" w:ascii="宋体" w:hAnsi="宋体" w:eastAsia="宋体" w:cs="宋体"/>
          <w:color w:val="auto"/>
          <w:sz w:val="24"/>
          <w:szCs w:val="24"/>
          <w:highlight w:val="none"/>
          <w:lang w:eastAsia="zh-CN"/>
        </w:rPr>
        <w:t>段</w:t>
      </w:r>
      <w:r>
        <w:rPr>
          <w:rFonts w:hint="eastAsia" w:ascii="宋体" w:hAnsi="宋体" w:eastAsia="宋体" w:cs="宋体"/>
          <w:color w:val="auto"/>
          <w:sz w:val="24"/>
          <w:szCs w:val="24"/>
          <w:highlight w:val="none"/>
        </w:rPr>
        <w:t>。</w:t>
      </w:r>
    </w:p>
    <w:p w14:paraId="5F067387">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5.服务时间</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2年</w:t>
      </w:r>
      <w:r>
        <w:rPr>
          <w:rFonts w:hint="eastAsia" w:ascii="宋体" w:hAnsi="宋体" w:cs="宋体"/>
          <w:color w:val="auto"/>
          <w:sz w:val="24"/>
          <w:szCs w:val="24"/>
          <w:highlight w:val="none"/>
          <w:lang w:eastAsia="zh-CN"/>
        </w:rPr>
        <w:t>。</w:t>
      </w:r>
    </w:p>
    <w:p w14:paraId="7EA2A107">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6.合同履行期限：</w:t>
      </w:r>
      <w:r>
        <w:rPr>
          <w:rFonts w:hint="eastAsia" w:ascii="宋体" w:hAnsi="宋体" w:cs="宋体"/>
          <w:color w:val="auto"/>
          <w:sz w:val="24"/>
          <w:szCs w:val="24"/>
          <w:highlight w:val="none"/>
          <w:lang w:val="en-US" w:eastAsia="zh-CN"/>
        </w:rPr>
        <w:t>同服务期限</w:t>
      </w:r>
      <w:r>
        <w:rPr>
          <w:rFonts w:hint="eastAsia" w:ascii="宋体" w:hAnsi="宋体" w:eastAsia="宋体" w:cs="宋体"/>
          <w:color w:val="auto"/>
          <w:sz w:val="24"/>
          <w:szCs w:val="24"/>
          <w:highlight w:val="none"/>
        </w:rPr>
        <w:t>。</w:t>
      </w:r>
    </w:p>
    <w:p w14:paraId="67FC2F19">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7.本项目是否接受联合体投标：否</w:t>
      </w:r>
      <w:r>
        <w:rPr>
          <w:rFonts w:hint="eastAsia" w:ascii="宋体" w:hAnsi="宋体" w:cs="宋体"/>
          <w:color w:val="auto"/>
          <w:sz w:val="24"/>
          <w:szCs w:val="24"/>
          <w:highlight w:val="none"/>
          <w:lang w:eastAsia="zh-CN"/>
        </w:rPr>
        <w:t>。</w:t>
      </w:r>
    </w:p>
    <w:p w14:paraId="0680FC78">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8.是否接受进口产品：否</w:t>
      </w:r>
      <w:r>
        <w:rPr>
          <w:rFonts w:hint="eastAsia" w:ascii="宋体" w:hAnsi="宋体" w:cs="宋体"/>
          <w:color w:val="auto"/>
          <w:sz w:val="24"/>
          <w:szCs w:val="24"/>
          <w:highlight w:val="none"/>
          <w:lang w:eastAsia="zh-CN"/>
        </w:rPr>
        <w:t>。</w:t>
      </w:r>
    </w:p>
    <w:p w14:paraId="1C250310">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eastAsia="zh-CN"/>
        </w:rPr>
      </w:pPr>
      <w:bookmarkStart w:id="13" w:name="_Toc28359003"/>
      <w:bookmarkStart w:id="14" w:name="_Toc35393791"/>
      <w:bookmarkStart w:id="15" w:name="_Toc35393622"/>
      <w:bookmarkStart w:id="16" w:name="_Toc60148575"/>
      <w:bookmarkStart w:id="17" w:name="_Toc28359080"/>
      <w:r>
        <w:rPr>
          <w:rFonts w:hint="eastAsia" w:ascii="宋体" w:hAnsi="宋体" w:eastAsia="宋体" w:cs="宋体"/>
          <w:color w:val="auto"/>
          <w:sz w:val="24"/>
          <w:szCs w:val="24"/>
          <w:highlight w:val="none"/>
        </w:rPr>
        <w:t>9.是否专门面向中小企业：</w:t>
      </w:r>
      <w:r>
        <w:rPr>
          <w:rFonts w:hint="eastAsia" w:ascii="宋体" w:hAnsi="宋体" w:cs="宋体"/>
          <w:color w:val="auto"/>
          <w:sz w:val="24"/>
          <w:szCs w:val="24"/>
          <w:highlight w:val="none"/>
          <w:lang w:val="en-US" w:eastAsia="zh-CN"/>
        </w:rPr>
        <w:t>是。</w:t>
      </w:r>
    </w:p>
    <w:p w14:paraId="46DD71A0">
      <w:pPr>
        <w:keepNext w:val="0"/>
        <w:keepLines w:val="0"/>
        <w:pageBreakBefore w:val="0"/>
        <w:widowControl w:val="0"/>
        <w:kinsoku w:val="0"/>
        <w:wordWrap/>
        <w:overflowPunct w:val="0"/>
        <w:topLinePunct w:val="0"/>
        <w:autoSpaceDE w:val="0"/>
        <w:autoSpaceDN w:val="0"/>
        <w:bidi w:val="0"/>
        <w:adjustRightInd w:val="0"/>
        <w:snapToGrid w:val="0"/>
        <w:spacing w:line="360" w:lineRule="auto"/>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二、申请人的资格要求</w:t>
      </w:r>
      <w:bookmarkEnd w:id="13"/>
      <w:bookmarkEnd w:id="14"/>
      <w:bookmarkEnd w:id="15"/>
      <w:bookmarkEnd w:id="16"/>
      <w:bookmarkEnd w:id="17"/>
    </w:p>
    <w:p w14:paraId="34B6E250">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满足《中华人民共和国政府采购法》第二十二条规定</w:t>
      </w:r>
      <w:r>
        <w:rPr>
          <w:rFonts w:hint="eastAsia" w:ascii="宋体" w:hAnsi="宋体" w:eastAsia="宋体" w:cs="宋体"/>
          <w:color w:val="auto"/>
          <w:sz w:val="24"/>
          <w:szCs w:val="24"/>
          <w:highlight w:val="none"/>
          <w:lang w:eastAsia="zh-CN"/>
        </w:rPr>
        <w:t>。</w:t>
      </w:r>
    </w:p>
    <w:p w14:paraId="1AA782D5">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eastAsia="zh-CN"/>
        </w:rPr>
      </w:pPr>
      <w:bookmarkStart w:id="18" w:name="_Toc28359004"/>
      <w:bookmarkStart w:id="19" w:name="_Toc28359081"/>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落实政府采购政策需满足的资格要求：根据《政府采购促进中小企业发展管理办法》（财库[2020]46号）的规定，本项目专门面向中小企业采购。投标人应为中小微企业、监狱企业、残疾人福利性单位，须提供相关有效声明材料；中小企业划型标准请依据工信部联企业【2011】300号文件之规定</w:t>
      </w:r>
      <w:r>
        <w:rPr>
          <w:rFonts w:hint="eastAsia" w:ascii="宋体" w:hAnsi="宋体" w:eastAsia="宋体" w:cs="宋体"/>
          <w:color w:val="auto"/>
          <w:sz w:val="24"/>
          <w:szCs w:val="24"/>
          <w:highlight w:val="none"/>
          <w:lang w:eastAsia="zh-CN"/>
        </w:rPr>
        <w:t>。</w:t>
      </w:r>
    </w:p>
    <w:p w14:paraId="2DDE7738">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本项目的特定资格要求：</w:t>
      </w:r>
    </w:p>
    <w:p w14:paraId="4F31A7A2">
      <w:pPr>
        <w:keepNext w:val="0"/>
        <w:keepLines w:val="0"/>
        <w:pageBreakBefore w:val="0"/>
        <w:widowControl w:val="0"/>
        <w:kinsoku w:val="0"/>
        <w:wordWrap/>
        <w:overflowPunct w:val="0"/>
        <w:topLinePunct w:val="0"/>
        <w:autoSpaceDE w:val="0"/>
        <w:autoSpaceDN w:val="0"/>
        <w:bidi w:val="0"/>
        <w:adjustRightInd w:val="0"/>
        <w:snapToGrid w:val="0"/>
        <w:spacing w:line="36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具有独立承担民事责任的能力</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（提供有效的三证合一营业执照扫描件或复印件，也可提供电子营业执照）</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    3.2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具有良好的商业信誉和健全的财务会计制度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（提供承诺函,格式自拟）</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    3.3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具有依法缴纳税收和社会保障资金的良好记录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（提供承诺函,格式自拟）</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    3.4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具备履行合同所必需的设备和专业技术能力</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（提供承诺函,格式自拟）</w:t>
      </w:r>
    </w:p>
    <w:p w14:paraId="047E17F5">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参加政府采购活动近3年内，在经营活动中没有重大违法记录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(提供承诺函,格式自拟)</w:t>
      </w:r>
    </w:p>
    <w:p w14:paraId="707C764A">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3.6、供应商须具有效期的《保安服务许可证》。</w:t>
      </w:r>
    </w:p>
    <w:p w14:paraId="33C7A75A">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、供应商未被列入</w:t>
      </w:r>
      <w:r>
        <w:rPr>
          <w:rFonts w:hint="eastAsia" w:ascii="宋体" w:hAnsi="宋体" w:eastAsia="宋体" w:cs="宋体"/>
          <w:color w:val="auto"/>
          <w:sz w:val="24"/>
          <w:szCs w:val="24"/>
          <w:highlight w:val="none"/>
        </w:rPr>
        <w:t>“中国执行信息公开网”网站的“失信被执行人”、“信用中国”网站“重大税收违法失信主体”、“ 中国政府采购网” 网站的“政府采购严重违法失信行为名单”。（提供承诺书，格式自拟）</w:t>
      </w:r>
    </w:p>
    <w:p w14:paraId="1CC6F481">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本项目</w:t>
      </w:r>
      <w:r>
        <w:rPr>
          <w:rFonts w:hint="eastAsia" w:ascii="宋体" w:hAnsi="宋体" w:eastAsia="宋体" w:cs="宋体"/>
          <w:color w:val="auto"/>
          <w:sz w:val="24"/>
          <w:szCs w:val="24"/>
          <w:highlight w:val="none"/>
        </w:rPr>
        <w:t>不允许分包、转包</w:t>
      </w:r>
      <w:r>
        <w:rPr>
          <w:rFonts w:hint="eastAsia" w:ascii="宋体" w:hAnsi="宋体" w:cs="宋体"/>
          <w:color w:val="auto"/>
          <w:sz w:val="24"/>
          <w:szCs w:val="24"/>
          <w:highlight w:val="none"/>
          <w:lang w:eastAsia="zh-CN"/>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r>
        <w:rPr>
          <w:rFonts w:hint="eastAsia" w:ascii="宋体" w:hAnsi="宋体" w:eastAsia="宋体" w:cs="宋体"/>
          <w:color w:val="auto"/>
          <w:sz w:val="24"/>
          <w:szCs w:val="24"/>
          <w:highlight w:val="none"/>
        </w:rPr>
        <w:t>。（提供承诺函，格式自拟）</w:t>
      </w:r>
    </w:p>
    <w:p w14:paraId="2269084F">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供应商应保证投标期间提供的所有资料真实有效，并愿意承担因弄虚作假所引起的一切法律后果</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（提供承诺函，格式自拟）</w:t>
      </w:r>
    </w:p>
    <w:bookmarkEnd w:id="18"/>
    <w:bookmarkEnd w:id="19"/>
    <w:p w14:paraId="096D14BC">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注：1、采购人、代理机构在开标时通过“中国执行信息公开网”“信用中国”及“中国政府采购网”查询投标人信用情况，如有不良情况，按无效标处理。</w:t>
      </w:r>
    </w:p>
    <w:p w14:paraId="5826F231">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本项目资格审查方式：资格后审。</w:t>
      </w:r>
    </w:p>
    <w:p w14:paraId="4C999287">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为新成立企业，可提供注册后的相关证明材料。</w:t>
      </w:r>
    </w:p>
    <w:p w14:paraId="6EDD4EFA">
      <w:pPr>
        <w:keepNext w:val="0"/>
        <w:keepLines w:val="0"/>
        <w:pageBreakBefore w:val="0"/>
        <w:widowControl w:val="0"/>
        <w:kinsoku w:val="0"/>
        <w:wordWrap/>
        <w:overflowPunct w:val="0"/>
        <w:topLinePunct w:val="0"/>
        <w:autoSpaceDE w:val="0"/>
        <w:autoSpaceDN w:val="0"/>
        <w:bidi w:val="0"/>
        <w:adjustRightInd w:val="0"/>
        <w:snapToGrid w:val="0"/>
        <w:spacing w:line="360" w:lineRule="auto"/>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三、获取竞争性磋商文件：</w:t>
      </w:r>
    </w:p>
    <w:p w14:paraId="04FBDC72">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1、时间：</w:t>
      </w:r>
      <w:r>
        <w:rPr>
          <w:rFonts w:hint="eastAsia" w:ascii="宋体" w:hAnsi="宋体"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rPr>
        <w:t>日至</w:t>
      </w:r>
      <w:r>
        <w:rPr>
          <w:rFonts w:hint="eastAsia" w:ascii="宋体" w:hAnsi="宋体" w:cs="宋体"/>
          <w:color w:val="auto"/>
          <w:sz w:val="24"/>
          <w:szCs w:val="24"/>
          <w:highlight w:val="none"/>
          <w:lang w:val="en-US" w:eastAsia="zh-CN"/>
        </w:rPr>
        <w:t>2026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日，每天上午00:00至12：00，下午12:00至23:59（北京时间，法定节假日除外。）</w:t>
      </w:r>
    </w:p>
    <w:p w14:paraId="6B75F171">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2、地点：平顶山市公共资源电子化交易系统。</w:t>
      </w:r>
    </w:p>
    <w:p w14:paraId="1B142EEC">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3、方式：潜在供应商下载文件需凭CA数字证书通过平顶山市公共资源交易中心网（网址：http://ggzy.pds.gov.cn）“供应商登录”入口进入交易系统进行下载。具体操作请查看以下链接：</w:t>
      </w:r>
    </w:p>
    <w:p w14:paraId="13B94D1E">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链接地址：http://ggzy.pds.gov.cn/fwzn/11020.jhtml</w:t>
      </w:r>
    </w:p>
    <w:p w14:paraId="1C88F61B">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办理CA证书：http://ggzy.pds.gov.cn/tzgg/10814.jhtml</w:t>
      </w:r>
    </w:p>
    <w:p w14:paraId="34BFE94D">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4、售价：0元。</w:t>
      </w:r>
    </w:p>
    <w:p w14:paraId="6CCA8837">
      <w:pPr>
        <w:keepNext w:val="0"/>
        <w:keepLines w:val="0"/>
        <w:pageBreakBefore w:val="0"/>
        <w:widowControl w:val="0"/>
        <w:kinsoku w:val="0"/>
        <w:wordWrap/>
        <w:overflowPunct w:val="0"/>
        <w:topLinePunct w:val="0"/>
        <w:autoSpaceDE w:val="0"/>
        <w:autoSpaceDN w:val="0"/>
        <w:bidi w:val="0"/>
        <w:adjustRightInd w:val="0"/>
        <w:snapToGrid w:val="0"/>
        <w:spacing w:line="360" w:lineRule="auto"/>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四、投标截止时间及地点：</w:t>
      </w:r>
    </w:p>
    <w:p w14:paraId="217951B5">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1、时间：</w:t>
      </w:r>
      <w:bookmarkStart w:id="20" w:name="OLE_LINK2"/>
      <w:r>
        <w:rPr>
          <w:rFonts w:hint="eastAsia" w:ascii="宋体" w:hAnsi="宋体" w:eastAsia="宋体" w:cs="宋体"/>
          <w:color w:val="auto"/>
          <w:sz w:val="24"/>
          <w:szCs w:val="24"/>
          <w:highlight w:val="none"/>
        </w:rPr>
        <w:t>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时</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bookmarkEnd w:id="20"/>
      <w:r>
        <w:rPr>
          <w:rFonts w:hint="eastAsia" w:ascii="宋体" w:hAnsi="宋体" w:eastAsia="宋体" w:cs="宋体"/>
          <w:color w:val="auto"/>
          <w:sz w:val="24"/>
          <w:szCs w:val="24"/>
          <w:highlight w:val="none"/>
        </w:rPr>
        <w:t>（北京时间）。</w:t>
      </w:r>
    </w:p>
    <w:p w14:paraId="31BC23DF">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2、地点：平顶山市公共资源交易中心电子交易系统。</w:t>
      </w:r>
    </w:p>
    <w:p w14:paraId="20743857">
      <w:pPr>
        <w:keepNext w:val="0"/>
        <w:keepLines w:val="0"/>
        <w:pageBreakBefore w:val="0"/>
        <w:widowControl w:val="0"/>
        <w:kinsoku w:val="0"/>
        <w:wordWrap/>
        <w:overflowPunct w:val="0"/>
        <w:topLinePunct w:val="0"/>
        <w:autoSpaceDE w:val="0"/>
        <w:autoSpaceDN w:val="0"/>
        <w:bidi w:val="0"/>
        <w:adjustRightInd w:val="0"/>
        <w:snapToGrid w:val="0"/>
        <w:spacing w:line="360" w:lineRule="auto"/>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五、开标时间及地点：</w:t>
      </w:r>
    </w:p>
    <w:p w14:paraId="71E121C5">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1、时间：202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时</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rPr>
        <w:t>分（北京时间）。</w:t>
      </w:r>
    </w:p>
    <w:p w14:paraId="5A2896B1">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2、地点：平顶山市公共资源交易中心电子交易系统。</w:t>
      </w:r>
    </w:p>
    <w:p w14:paraId="5E6C9FF0">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注：全面实行在线“不见面”开标，供应商远程在线解密投标文件，不再到开标现场，供应商应仔细阅读网站《“不见面”开标注意事项及操作流程》。</w:t>
      </w:r>
    </w:p>
    <w:p w14:paraId="5DEF745F">
      <w:pPr>
        <w:keepNext w:val="0"/>
        <w:keepLines w:val="0"/>
        <w:pageBreakBefore w:val="0"/>
        <w:widowControl w:val="0"/>
        <w:kinsoku w:val="0"/>
        <w:wordWrap/>
        <w:overflowPunct w:val="0"/>
        <w:topLinePunct w:val="0"/>
        <w:autoSpaceDE w:val="0"/>
        <w:autoSpaceDN w:val="0"/>
        <w:bidi w:val="0"/>
        <w:adjustRightInd w:val="0"/>
        <w:snapToGrid w:val="0"/>
        <w:spacing w:line="360" w:lineRule="auto"/>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六、发布公告的媒介及招标公告期限:</w:t>
      </w:r>
    </w:p>
    <w:p w14:paraId="0091567B">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本次招标公告在《河南省政府采购网》、《平顶山市政府采购网》、《全国公共资源交易平台（河南省•平顶山市）》上发布。公告期限为</w:t>
      </w: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rPr>
        <w:t>个工作日。</w:t>
      </w:r>
    </w:p>
    <w:p w14:paraId="0E8A935B">
      <w:pPr>
        <w:keepNext w:val="0"/>
        <w:keepLines w:val="0"/>
        <w:pageBreakBefore w:val="0"/>
        <w:widowControl w:val="0"/>
        <w:kinsoku w:val="0"/>
        <w:wordWrap/>
        <w:overflowPunct w:val="0"/>
        <w:topLinePunct w:val="0"/>
        <w:autoSpaceDE w:val="0"/>
        <w:autoSpaceDN w:val="0"/>
        <w:bidi w:val="0"/>
        <w:adjustRightInd w:val="0"/>
        <w:snapToGrid w:val="0"/>
        <w:spacing w:line="360" w:lineRule="auto"/>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七、其他补充事宜：</w:t>
      </w:r>
    </w:p>
    <w:p w14:paraId="5C93C720">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1、平顶山市公共资源交易中心全面实行在线“不见面”开标，供应商远程在线解密响应文件，不再到开标现场，供应商开标前应仔细阅读竞争性磋商文件中《“不见面”开标注意事项及操作流程》及相关通知。</w:t>
      </w:r>
    </w:p>
    <w:p w14:paraId="15E6F916">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2、监督机构：</w:t>
      </w:r>
      <w:r>
        <w:rPr>
          <w:rFonts w:hint="eastAsia" w:ascii="宋体" w:hAnsi="宋体" w:cs="宋体"/>
          <w:color w:val="auto"/>
          <w:sz w:val="24"/>
          <w:szCs w:val="24"/>
          <w:highlight w:val="none"/>
          <w:lang w:eastAsia="zh-CN"/>
        </w:rPr>
        <w:t>平顶山市财政局，</w:t>
      </w:r>
      <w:r>
        <w:rPr>
          <w:rFonts w:hint="eastAsia" w:ascii="宋体" w:hAnsi="宋体" w:eastAsia="宋体" w:cs="宋体"/>
          <w:color w:val="auto"/>
          <w:sz w:val="24"/>
          <w:szCs w:val="24"/>
          <w:highlight w:val="none"/>
        </w:rPr>
        <w:t>联系方式：0375-26275</w:t>
      </w:r>
      <w:r>
        <w:rPr>
          <w:rFonts w:hint="eastAsia" w:ascii="宋体" w:hAnsi="宋体" w:cs="宋体"/>
          <w:color w:val="auto"/>
          <w:sz w:val="24"/>
          <w:szCs w:val="24"/>
          <w:highlight w:val="none"/>
          <w:lang w:val="en-US" w:eastAsia="zh-CN"/>
        </w:rPr>
        <w:t>95。</w:t>
      </w:r>
    </w:p>
    <w:p w14:paraId="4F932443">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投标人或其他利害关系人对本次公告如有异议，请按中华人民共和国财政部令第94号《政府采购质疑和投诉办法》的相关规定，在规定时间内，向采购人、采购代理机构、政府采购监督部门提出质疑、投诉等事宜。逾期未提交或未按照要求提交的质疑、投诉将不予受理。</w:t>
      </w:r>
    </w:p>
    <w:p w14:paraId="2504544B">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、落实豫财办【2020】33号文要求：河南省财政厅关于印发深入推进政府采购合同融资工作实施方案的通知。</w:t>
      </w:r>
    </w:p>
    <w:p w14:paraId="463B3E56">
      <w:pPr>
        <w:keepNext w:val="0"/>
        <w:keepLines w:val="0"/>
        <w:pageBreakBefore w:val="0"/>
        <w:widowControl w:val="0"/>
        <w:kinsoku w:val="0"/>
        <w:wordWrap/>
        <w:overflowPunct w:val="0"/>
        <w:topLinePunct w:val="0"/>
        <w:autoSpaceDE w:val="0"/>
        <w:autoSpaceDN w:val="0"/>
        <w:bidi w:val="0"/>
        <w:adjustRightInd w:val="0"/>
        <w:snapToGrid w:val="0"/>
        <w:spacing w:line="360" w:lineRule="auto"/>
        <w:textAlignment w:val="auto"/>
        <w:outlineLvl w:val="9"/>
        <w:rPr>
          <w:rFonts w:hint="eastAsia" w:ascii="宋体" w:hAnsi="宋体" w:eastAsia="宋体" w:cs="宋体"/>
          <w:b/>
          <w:color w:val="auto"/>
          <w:sz w:val="24"/>
          <w:szCs w:val="24"/>
          <w:highlight w:val="none"/>
        </w:rPr>
      </w:pPr>
      <w:bookmarkStart w:id="21" w:name="_Toc28359085"/>
      <w:bookmarkEnd w:id="21"/>
      <w:bookmarkStart w:id="22" w:name="_Toc35393796"/>
      <w:bookmarkEnd w:id="22"/>
      <w:bookmarkStart w:id="23" w:name="_Toc35393627"/>
      <w:bookmarkEnd w:id="23"/>
      <w:bookmarkStart w:id="24" w:name="_Toc28359008"/>
      <w:r>
        <w:rPr>
          <w:rFonts w:hint="eastAsia" w:ascii="宋体" w:hAnsi="宋体" w:eastAsia="宋体" w:cs="宋体"/>
          <w:b/>
          <w:color w:val="auto"/>
          <w:sz w:val="24"/>
          <w:szCs w:val="24"/>
          <w:highlight w:val="none"/>
        </w:rPr>
        <w:t>八、</w:t>
      </w:r>
      <w:bookmarkEnd w:id="24"/>
      <w:r>
        <w:rPr>
          <w:rFonts w:hint="eastAsia" w:ascii="宋体" w:hAnsi="宋体" w:eastAsia="宋体" w:cs="宋体"/>
          <w:b/>
          <w:color w:val="auto"/>
          <w:sz w:val="24"/>
          <w:szCs w:val="24"/>
          <w:highlight w:val="none"/>
        </w:rPr>
        <w:t>凡对本次招标提出询问，请按照以下方式联系</w:t>
      </w:r>
    </w:p>
    <w:p w14:paraId="0C263F69">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14:paraId="74ED451C">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名称：平顶山市第一高级中学</w:t>
      </w:r>
    </w:p>
    <w:p w14:paraId="6268E042">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地址：河南省平顶山市新华区未来路</w:t>
      </w:r>
      <w:r>
        <w:rPr>
          <w:rFonts w:hint="eastAsia" w:ascii="宋体" w:hAnsi="宋体" w:eastAsia="宋体" w:cs="宋体"/>
          <w:color w:val="auto"/>
          <w:sz w:val="24"/>
          <w:szCs w:val="24"/>
          <w:highlight w:val="none"/>
          <w:lang w:val="en-US" w:eastAsia="zh-CN"/>
        </w:rPr>
        <w:t xml:space="preserve"> </w:t>
      </w:r>
    </w:p>
    <w:p w14:paraId="2E3D5F2A">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val="en-US" w:eastAsia="zh-CN"/>
        </w:rPr>
        <w:t>户先生</w:t>
      </w:r>
    </w:p>
    <w:p w14:paraId="617BA2CD">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联系方式：15716556161</w:t>
      </w:r>
      <w:r>
        <w:rPr>
          <w:rFonts w:hint="eastAsia" w:ascii="宋体" w:hAnsi="宋体" w:cs="宋体"/>
          <w:color w:val="auto"/>
          <w:sz w:val="24"/>
          <w:szCs w:val="24"/>
          <w:highlight w:val="none"/>
          <w:lang w:val="en-US" w:eastAsia="zh-CN"/>
        </w:rPr>
        <w:t xml:space="preserve"> </w:t>
      </w:r>
    </w:p>
    <w:p w14:paraId="1372535B">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p>
    <w:p w14:paraId="5717E2AC">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名称：河南</w:t>
      </w:r>
      <w:r>
        <w:rPr>
          <w:rFonts w:hint="eastAsia" w:ascii="宋体" w:hAnsi="宋体" w:cs="宋体"/>
          <w:color w:val="auto"/>
          <w:sz w:val="24"/>
          <w:szCs w:val="24"/>
          <w:highlight w:val="none"/>
          <w:lang w:val="en-US" w:eastAsia="zh-CN"/>
        </w:rPr>
        <w:t>加盈工程管理有限公司</w:t>
      </w:r>
    </w:p>
    <w:p w14:paraId="4C5AA6B2">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地址：河南省平顶山市新城区蓝湾国际公寓东一单元7楼东南户</w:t>
      </w:r>
    </w:p>
    <w:p w14:paraId="3CE53DE5">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val="en-US" w:eastAsia="zh-CN"/>
        </w:rPr>
        <w:t>张士奇</w:t>
      </w:r>
    </w:p>
    <w:p w14:paraId="3CC978D1">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联系方式：</w:t>
      </w:r>
      <w:r>
        <w:rPr>
          <w:rFonts w:hint="eastAsia" w:ascii="宋体" w:hAnsi="宋体" w:cs="宋体"/>
          <w:color w:val="auto"/>
          <w:sz w:val="24"/>
          <w:szCs w:val="24"/>
          <w:highlight w:val="none"/>
          <w:lang w:val="en-US" w:eastAsia="zh-CN"/>
        </w:rPr>
        <w:t>17303909991</w:t>
      </w:r>
    </w:p>
    <w:p w14:paraId="2A418955">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3、项目联系方式：</w:t>
      </w:r>
    </w:p>
    <w:p w14:paraId="56A0AB9C">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项目联系人：</w:t>
      </w:r>
      <w:r>
        <w:rPr>
          <w:rFonts w:hint="eastAsia" w:ascii="宋体" w:hAnsi="宋体" w:cs="宋体"/>
          <w:color w:val="auto"/>
          <w:sz w:val="24"/>
          <w:szCs w:val="24"/>
          <w:highlight w:val="none"/>
          <w:lang w:val="en-US" w:eastAsia="zh-CN"/>
        </w:rPr>
        <w:t>张士奇</w:t>
      </w:r>
      <w:r>
        <w:rPr>
          <w:rFonts w:hint="eastAsia" w:ascii="宋体" w:hAnsi="宋体" w:eastAsia="宋体" w:cs="宋体"/>
          <w:color w:val="auto"/>
          <w:sz w:val="24"/>
          <w:szCs w:val="24"/>
          <w:highlight w:val="none"/>
          <w:lang w:val="en-US" w:eastAsia="zh-CN"/>
        </w:rPr>
        <w:t xml:space="preserve">  </w:t>
      </w:r>
    </w:p>
    <w:p w14:paraId="08CAA68F">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联系方式：</w:t>
      </w:r>
      <w:r>
        <w:rPr>
          <w:rFonts w:hint="eastAsia" w:ascii="宋体" w:hAnsi="宋体" w:cs="宋体"/>
          <w:color w:val="auto"/>
          <w:sz w:val="24"/>
          <w:szCs w:val="24"/>
          <w:highlight w:val="none"/>
          <w:lang w:val="en-US" w:eastAsia="zh-CN"/>
        </w:rPr>
        <w:t>17303909991</w:t>
      </w:r>
    </w:p>
    <w:p w14:paraId="538152FC">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p>
    <w:p w14:paraId="798DC20A">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p>
    <w:p w14:paraId="682B0A37">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jc w:val="right"/>
        <w:textAlignment w:val="auto"/>
        <w:outlineLvl w:val="9"/>
        <w:rPr>
          <w:color w:val="auto"/>
          <w:sz w:val="24"/>
          <w:szCs w:val="24"/>
        </w:rPr>
      </w:pPr>
      <w:r>
        <w:rPr>
          <w:rFonts w:hint="eastAsia" w:ascii="宋体" w:hAnsi="宋体" w:eastAsia="宋体" w:cs="宋体"/>
          <w:color w:val="auto"/>
          <w:sz w:val="24"/>
          <w:szCs w:val="24"/>
          <w:highlight w:val="none"/>
        </w:rPr>
        <w:t>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29日</w:t>
      </w:r>
    </w:p>
    <w:p w14:paraId="3035BE45">
      <w:pPr>
        <w:outlineLvl w:val="9"/>
        <w:rPr>
          <w:rFonts w:hint="eastAsia" w:ascii="宋体" w:hAnsi="宋体" w:eastAsia="宋体" w:cs="宋体"/>
          <w:color w:val="auto"/>
        </w:rPr>
      </w:pPr>
    </w:p>
    <w:p w14:paraId="793852D0">
      <w:pPr>
        <w:outlineLvl w:val="9"/>
        <w:rPr>
          <w:rFonts w:hint="eastAsia" w:ascii="宋体" w:hAnsi="宋体" w:eastAsia="宋体" w:cs="宋体"/>
          <w:color w:val="auto"/>
        </w:rPr>
      </w:pPr>
    </w:p>
    <w:p w14:paraId="443C83E2">
      <w:pPr>
        <w:outlineLvl w:val="9"/>
        <w:rPr>
          <w:rFonts w:hint="eastAsia" w:ascii="宋体" w:hAnsi="宋体" w:eastAsia="宋体" w:cs="宋体"/>
          <w:color w:val="auto"/>
        </w:rPr>
      </w:pPr>
    </w:p>
    <w:p w14:paraId="421F5EFB">
      <w:pPr>
        <w:outlineLvl w:val="9"/>
        <w:rPr>
          <w:rFonts w:hint="eastAsia" w:ascii="宋体" w:hAnsi="宋体" w:eastAsia="宋体" w:cs="宋体"/>
          <w:color w:val="auto"/>
        </w:rPr>
      </w:pPr>
    </w:p>
    <w:p w14:paraId="7E3D96DE">
      <w:pPr>
        <w:pStyle w:val="23"/>
        <w:outlineLvl w:val="9"/>
        <w:rPr>
          <w:rFonts w:hint="eastAsia"/>
          <w:color w:val="auto"/>
        </w:rPr>
      </w:pPr>
    </w:p>
    <w:p w14:paraId="44753E18">
      <w:pPr>
        <w:outlineLvl w:val="9"/>
        <w:rPr>
          <w:rFonts w:hint="eastAsia" w:ascii="宋体" w:hAnsi="宋体" w:eastAsia="宋体" w:cs="宋体"/>
          <w:color w:val="auto"/>
        </w:rPr>
      </w:pPr>
    </w:p>
    <w:p w14:paraId="27682AF2">
      <w:pPr>
        <w:pStyle w:val="23"/>
        <w:outlineLvl w:val="9"/>
        <w:rPr>
          <w:rFonts w:hint="eastAsia" w:ascii="宋体" w:hAnsi="宋体" w:eastAsia="宋体" w:cs="宋体"/>
          <w:color w:val="auto"/>
        </w:rPr>
      </w:pPr>
    </w:p>
    <w:p w14:paraId="15CF11F6">
      <w:pPr>
        <w:outlineLvl w:val="9"/>
        <w:rPr>
          <w:rFonts w:hint="eastAsia"/>
          <w:color w:val="auto"/>
        </w:rPr>
      </w:pPr>
    </w:p>
    <w:p w14:paraId="118BF9FA">
      <w:pPr>
        <w:outlineLvl w:val="9"/>
        <w:rPr>
          <w:rFonts w:hint="eastAsia" w:ascii="宋体" w:hAnsi="宋体" w:eastAsia="宋体" w:cs="宋体"/>
          <w:color w:val="auto"/>
        </w:rPr>
      </w:pPr>
    </w:p>
    <w:p w14:paraId="4C35F062">
      <w:pPr>
        <w:rPr>
          <w:rFonts w:hint="eastAsia" w:ascii="宋体" w:hAnsi="宋体" w:eastAsia="宋体" w:cs="宋体"/>
          <w:color w:val="auto"/>
        </w:rPr>
      </w:pPr>
      <w:r>
        <w:rPr>
          <w:rFonts w:hint="eastAsia" w:ascii="宋体" w:hAnsi="宋体" w:eastAsia="宋体" w:cs="宋体"/>
          <w:color w:val="auto"/>
        </w:rPr>
        <w:br w:type="page"/>
      </w:r>
    </w:p>
    <w:p w14:paraId="4492256F">
      <w:pPr>
        <w:outlineLvl w:val="9"/>
        <w:rPr>
          <w:rFonts w:hint="eastAsia" w:ascii="宋体" w:hAnsi="宋体" w:eastAsia="宋体" w:cs="宋体"/>
          <w:color w:val="auto"/>
        </w:rPr>
      </w:pPr>
    </w:p>
    <w:p w14:paraId="58DAC428">
      <w:pPr>
        <w:bidi w:val="0"/>
        <w:jc w:val="center"/>
        <w:outlineLvl w:val="0"/>
        <w:rPr>
          <w:rFonts w:hint="eastAsia" w:ascii="宋体" w:hAnsi="宋体" w:eastAsia="宋体" w:cs="宋体"/>
          <w:b/>
          <w:bCs/>
          <w:color w:val="auto"/>
          <w:sz w:val="32"/>
          <w:szCs w:val="32"/>
        </w:rPr>
      </w:pPr>
      <w:bookmarkStart w:id="25" w:name="_Toc6974"/>
      <w:r>
        <w:rPr>
          <w:rFonts w:hint="eastAsia" w:ascii="宋体" w:hAnsi="宋体" w:eastAsia="宋体" w:cs="宋体"/>
          <w:b/>
          <w:bCs/>
          <w:color w:val="auto"/>
          <w:sz w:val="32"/>
          <w:szCs w:val="32"/>
          <w:lang w:eastAsia="zh-CN"/>
        </w:rPr>
        <w:t>第二章、</w:t>
      </w:r>
      <w:r>
        <w:rPr>
          <w:rFonts w:hint="eastAsia" w:ascii="宋体" w:hAnsi="宋体" w:eastAsia="宋体" w:cs="宋体"/>
          <w:b/>
          <w:bCs/>
          <w:color w:val="auto"/>
          <w:sz w:val="32"/>
          <w:szCs w:val="32"/>
        </w:rPr>
        <w:t>供应商须知</w:t>
      </w:r>
      <w:bookmarkStart w:id="26" w:name="_Toc345483640"/>
      <w:bookmarkEnd w:id="26"/>
      <w:bookmarkStart w:id="27" w:name="_Toc345483495"/>
      <w:bookmarkEnd w:id="27"/>
      <w:bookmarkStart w:id="28" w:name="_Toc343456417"/>
      <w:bookmarkEnd w:id="28"/>
      <w:r>
        <w:rPr>
          <w:rFonts w:hint="eastAsia" w:ascii="宋体" w:hAnsi="宋体" w:eastAsia="宋体" w:cs="宋体"/>
          <w:b/>
          <w:bCs/>
          <w:color w:val="auto"/>
          <w:sz w:val="32"/>
          <w:szCs w:val="32"/>
        </w:rPr>
        <w:t>及前附表</w:t>
      </w:r>
      <w:bookmarkEnd w:id="25"/>
    </w:p>
    <w:p w14:paraId="5BD049E1">
      <w:pPr>
        <w:keepLines w:val="0"/>
        <w:pageBreakBefore w:val="0"/>
        <w:widowControl w:val="0"/>
        <w:numPr>
          <w:ilvl w:val="0"/>
          <w:numId w:val="0"/>
        </w:numPr>
        <w:kinsoku w:val="0"/>
        <w:wordWrap/>
        <w:overflowPunct w:val="0"/>
        <w:topLinePunct w:val="0"/>
        <w:autoSpaceDE w:val="0"/>
        <w:autoSpaceDN w:val="0"/>
        <w:bidi w:val="0"/>
        <w:adjustRightInd w:val="0"/>
        <w:snapToGrid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供应商须知前附表</w:t>
      </w:r>
    </w:p>
    <w:tbl>
      <w:tblPr>
        <w:tblStyle w:val="20"/>
        <w:tblW w:w="0" w:type="auto"/>
        <w:tblInd w:w="14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8"/>
        <w:gridCol w:w="2704"/>
        <w:gridCol w:w="6380"/>
      </w:tblGrid>
      <w:tr w14:paraId="7CCE22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7"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14:paraId="28396C12">
            <w:pPr>
              <w:kinsoku w:val="0"/>
              <w:overflowPunct w:val="0"/>
              <w:autoSpaceDE w:val="0"/>
              <w:autoSpaceDN w:val="0"/>
              <w:adjustRightInd w:val="0"/>
              <w:snapToGrid w:val="0"/>
              <w:spacing w:line="360" w:lineRule="auto"/>
              <w:outlineLvl w:val="9"/>
              <w:rPr>
                <w:rFonts w:hint="eastAsia" w:ascii="宋体" w:hAnsi="宋体" w:eastAsia="宋体" w:cs="宋体"/>
                <w:color w:val="auto"/>
                <w:kern w:val="0"/>
                <w:sz w:val="21"/>
                <w:szCs w:val="21"/>
              </w:rPr>
            </w:pPr>
            <w:bookmarkStart w:id="29" w:name="_Toc345483496"/>
            <w:bookmarkEnd w:id="29"/>
            <w:bookmarkStart w:id="30" w:name="_Toc343456418"/>
            <w:bookmarkEnd w:id="30"/>
            <w:r>
              <w:rPr>
                <w:rFonts w:hint="eastAsia" w:ascii="宋体" w:hAnsi="宋体" w:eastAsia="宋体" w:cs="宋体"/>
                <w:color w:val="auto"/>
                <w:kern w:val="0"/>
                <w:sz w:val="21"/>
                <w:szCs w:val="21"/>
              </w:rPr>
              <w:t>序号</w:t>
            </w:r>
          </w:p>
        </w:tc>
        <w:tc>
          <w:tcPr>
            <w:tcW w:w="9084" w:type="dxa"/>
            <w:gridSpan w:val="2"/>
            <w:tcBorders>
              <w:top w:val="single" w:color="auto" w:sz="4" w:space="0"/>
              <w:left w:val="nil"/>
              <w:bottom w:val="single" w:color="auto" w:sz="4" w:space="0"/>
              <w:right w:val="single" w:color="auto" w:sz="4" w:space="0"/>
            </w:tcBorders>
            <w:noWrap w:val="0"/>
            <w:vAlign w:val="center"/>
          </w:tcPr>
          <w:p w14:paraId="47387184">
            <w:pPr>
              <w:kinsoku w:val="0"/>
              <w:overflowPunct w:val="0"/>
              <w:autoSpaceDE w:val="0"/>
              <w:autoSpaceDN w:val="0"/>
              <w:adjustRightInd w:val="0"/>
              <w:snapToGrid w:val="0"/>
              <w:spacing w:line="360" w:lineRule="auto"/>
              <w:ind w:firstLine="2835" w:firstLineChars="1350"/>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内容、要求</w:t>
            </w:r>
          </w:p>
        </w:tc>
      </w:tr>
      <w:tr w14:paraId="41C1A0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84"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14:paraId="54D7511A">
            <w:pPr>
              <w:kinsoku w:val="0"/>
              <w:overflowPunct w:val="0"/>
              <w:autoSpaceDE w:val="0"/>
              <w:autoSpaceDN w:val="0"/>
              <w:adjustRightInd w:val="0"/>
              <w:snapToGrid w:val="0"/>
              <w:spacing w:line="360" w:lineRule="auto"/>
              <w:jc w:val="center"/>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9084" w:type="dxa"/>
            <w:gridSpan w:val="2"/>
            <w:tcBorders>
              <w:top w:val="single" w:color="auto" w:sz="4" w:space="0"/>
              <w:left w:val="nil"/>
              <w:bottom w:val="single" w:color="auto" w:sz="4" w:space="0"/>
              <w:right w:val="single" w:color="auto" w:sz="4" w:space="0"/>
            </w:tcBorders>
            <w:noWrap w:val="0"/>
            <w:vAlign w:val="center"/>
          </w:tcPr>
          <w:p w14:paraId="4776FD82">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1.采购项目编号：</w:t>
            </w:r>
            <w:r>
              <w:rPr>
                <w:rFonts w:hint="eastAsia" w:ascii="宋体" w:hAnsi="宋体" w:eastAsia="宋体" w:cs="宋体"/>
                <w:color w:val="auto"/>
                <w:sz w:val="21"/>
                <w:szCs w:val="21"/>
                <w:lang w:val="en-US" w:eastAsia="zh-CN"/>
              </w:rPr>
              <w:t xml:space="preserve"> </w:t>
            </w:r>
          </w:p>
          <w:p w14:paraId="0170A8EE">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textAlignment w:val="auto"/>
              <w:outlineLvl w:val="9"/>
              <w:rPr>
                <w:rFonts w:hint="default" w:ascii="宋体" w:hAnsi="宋体" w:eastAsia="宋体" w:cs="宋体"/>
                <w:color w:val="auto"/>
                <w:sz w:val="21"/>
                <w:szCs w:val="21"/>
                <w:lang w:val="en-US"/>
              </w:rPr>
            </w:pPr>
            <w:r>
              <w:rPr>
                <w:rFonts w:hint="eastAsia" w:ascii="宋体" w:hAnsi="宋体" w:eastAsia="宋体" w:cs="宋体"/>
                <w:color w:val="auto"/>
                <w:sz w:val="21"/>
                <w:szCs w:val="21"/>
              </w:rPr>
              <w:t>2.采购项目名称</w:t>
            </w:r>
            <w:r>
              <w:rPr>
                <w:rFonts w:hint="eastAsia" w:ascii="宋体" w:hAnsi="宋体" w:eastAsia="宋体" w:cs="宋体"/>
                <w:color w:val="auto"/>
                <w:sz w:val="21"/>
                <w:szCs w:val="21"/>
                <w:lang w:eastAsia="zh-CN"/>
              </w:rPr>
              <w:t>：平顶山市第一高级中学2026-2027年度安全管理服务项目</w:t>
            </w:r>
          </w:p>
          <w:p w14:paraId="33C2B3BD">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3.采购方式：竞争性磋商</w:t>
            </w:r>
            <w:r>
              <w:rPr>
                <w:rFonts w:hint="eastAsia" w:ascii="宋体" w:hAnsi="宋体" w:eastAsia="宋体" w:cs="宋体"/>
                <w:color w:val="auto"/>
                <w:sz w:val="21"/>
                <w:szCs w:val="21"/>
                <w:lang w:eastAsia="zh-CN"/>
              </w:rPr>
              <w:t>。</w:t>
            </w:r>
          </w:p>
          <w:p w14:paraId="3AB890B3">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4.预算金额：1056000.00元，最高限价：1056000.00元。</w:t>
            </w:r>
          </w:p>
          <w:p w14:paraId="44C2442B">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5.采购需求：（包括但不限于标的的名称、数量、简要技术需求或服务要求等）</w:t>
            </w:r>
          </w:p>
          <w:p w14:paraId="0FDD9388">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5.1. 采购内容：平顶山市第一高级中学2026-2027年度安全管理服务，服务内容包含：来人来访的通报、证件检验、登记等；防盗防火报警监控设备运行维修管理，门卫、守护和巡逻，公共秩序维护，治安及其它突发事件处理等；楼区道路交通管理机动车和非机动车停放管理等，甲方安排的其他工作任务等。</w:t>
            </w:r>
          </w:p>
          <w:p w14:paraId="6ADD60CC">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5.2.服务标准：符合国家相关行业标准及规范，满足采购人要求。</w:t>
            </w:r>
          </w:p>
          <w:p w14:paraId="4A7AEB1A">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5.3.服务地点：平顶山市第一高级中学。</w:t>
            </w:r>
          </w:p>
          <w:p w14:paraId="5841858B">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5.4.标段划分：本项目划分为一个标段。</w:t>
            </w:r>
          </w:p>
          <w:p w14:paraId="4300247D">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5.5.服务时间：2年。</w:t>
            </w:r>
          </w:p>
          <w:p w14:paraId="704DFFE3">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6.合同履行期限：同服务期限。</w:t>
            </w:r>
          </w:p>
          <w:p w14:paraId="0F5E1D81">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7.本项目是否接受联合体投标：否。</w:t>
            </w:r>
          </w:p>
          <w:p w14:paraId="196B1208">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8.是否接受进口产品：否。</w:t>
            </w:r>
          </w:p>
          <w:p w14:paraId="47D140AF">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textAlignment w:val="auto"/>
              <w:outlineLvl w:val="9"/>
              <w:rPr>
                <w:rFonts w:hint="eastAsia"/>
                <w:color w:val="auto"/>
              </w:rPr>
            </w:pPr>
            <w:r>
              <w:rPr>
                <w:rFonts w:hint="eastAsia" w:ascii="宋体" w:hAnsi="宋体" w:eastAsia="宋体" w:cs="宋体"/>
                <w:color w:val="auto"/>
                <w:sz w:val="21"/>
                <w:szCs w:val="21"/>
              </w:rPr>
              <w:t>9.是否专门面向中小企业：是。</w:t>
            </w:r>
          </w:p>
        </w:tc>
      </w:tr>
      <w:tr w14:paraId="764CE2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14:paraId="1F0E9F8D">
            <w:pPr>
              <w:kinsoku w:val="0"/>
              <w:overflowPunct w:val="0"/>
              <w:autoSpaceDE w:val="0"/>
              <w:autoSpaceDN w:val="0"/>
              <w:adjustRightInd w:val="0"/>
              <w:snapToGrid w:val="0"/>
              <w:spacing w:line="360" w:lineRule="auto"/>
              <w:jc w:val="center"/>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9084" w:type="dxa"/>
            <w:gridSpan w:val="2"/>
            <w:tcBorders>
              <w:top w:val="single" w:color="auto" w:sz="4" w:space="0"/>
              <w:left w:val="nil"/>
              <w:bottom w:val="single" w:color="auto" w:sz="4" w:space="0"/>
              <w:right w:val="single" w:color="auto" w:sz="4" w:space="0"/>
            </w:tcBorders>
            <w:noWrap w:val="0"/>
            <w:vAlign w:val="center"/>
          </w:tcPr>
          <w:p w14:paraId="6FD010E3">
            <w:pPr>
              <w:ind w:firstLine="420" w:firstLineChars="200"/>
              <w:outlineLvl w:val="9"/>
              <w:rPr>
                <w:rFonts w:hint="eastAsia" w:ascii="宋体" w:hAnsi="宋体" w:eastAsia="宋体" w:cs="宋体"/>
                <w:color w:val="auto"/>
                <w:sz w:val="21"/>
                <w:szCs w:val="21"/>
              </w:rPr>
            </w:pPr>
            <w:r>
              <w:rPr>
                <w:rFonts w:hint="eastAsia" w:ascii="宋体" w:hAnsi="宋体" w:eastAsia="宋体" w:cs="宋体"/>
                <w:color w:val="auto"/>
                <w:sz w:val="21"/>
                <w:szCs w:val="21"/>
              </w:rPr>
              <w:t>采购项目属性（货物、服务、工程）：服务</w:t>
            </w:r>
          </w:p>
        </w:tc>
      </w:tr>
      <w:tr w14:paraId="46E381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14:paraId="3E8ECE9A">
            <w:pPr>
              <w:kinsoku w:val="0"/>
              <w:overflowPunct w:val="0"/>
              <w:autoSpaceDE w:val="0"/>
              <w:autoSpaceDN w:val="0"/>
              <w:adjustRightInd w:val="0"/>
              <w:snapToGrid w:val="0"/>
              <w:spacing w:line="360" w:lineRule="auto"/>
              <w:jc w:val="center"/>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w:t>
            </w:r>
          </w:p>
        </w:tc>
        <w:tc>
          <w:tcPr>
            <w:tcW w:w="9084" w:type="dxa"/>
            <w:gridSpan w:val="2"/>
            <w:tcBorders>
              <w:top w:val="single" w:color="auto" w:sz="4" w:space="0"/>
              <w:left w:val="nil"/>
              <w:bottom w:val="single" w:color="auto" w:sz="4" w:space="0"/>
              <w:right w:val="single" w:color="auto" w:sz="4" w:space="0"/>
            </w:tcBorders>
            <w:noWrap w:val="0"/>
            <w:vAlign w:val="center"/>
          </w:tcPr>
          <w:p w14:paraId="32C577C2">
            <w:pPr>
              <w:ind w:firstLine="420" w:firstLineChars="200"/>
              <w:outlineLvl w:val="9"/>
              <w:rPr>
                <w:rFonts w:hint="eastAsia" w:ascii="宋体" w:hAnsi="宋体" w:eastAsia="宋体" w:cs="宋体"/>
                <w:color w:val="auto"/>
                <w:sz w:val="21"/>
                <w:szCs w:val="21"/>
              </w:rPr>
            </w:pPr>
            <w:r>
              <w:rPr>
                <w:rFonts w:hint="eastAsia" w:ascii="宋体" w:hAnsi="宋体" w:eastAsia="宋体" w:cs="宋体"/>
                <w:color w:val="auto"/>
                <w:sz w:val="21"/>
                <w:szCs w:val="21"/>
              </w:rPr>
              <w:t>是否专门面向中小企业：</w:t>
            </w:r>
            <w:r>
              <w:rPr>
                <w:rFonts w:hint="eastAsia" w:ascii="宋体" w:hAnsi="宋体" w:cs="宋体"/>
                <w:color w:val="auto"/>
                <w:sz w:val="21"/>
                <w:szCs w:val="21"/>
                <w:lang w:val="en-US" w:eastAsia="zh-CN"/>
              </w:rPr>
              <w:t>是</w:t>
            </w:r>
          </w:p>
        </w:tc>
      </w:tr>
      <w:tr w14:paraId="6F1C6A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14:paraId="72AB2B40">
            <w:pPr>
              <w:kinsoku w:val="0"/>
              <w:overflowPunct w:val="0"/>
              <w:autoSpaceDE w:val="0"/>
              <w:autoSpaceDN w:val="0"/>
              <w:adjustRightInd w:val="0"/>
              <w:snapToGrid w:val="0"/>
              <w:spacing w:line="360" w:lineRule="auto"/>
              <w:jc w:val="center"/>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w:t>
            </w:r>
          </w:p>
        </w:tc>
        <w:tc>
          <w:tcPr>
            <w:tcW w:w="9084" w:type="dxa"/>
            <w:gridSpan w:val="2"/>
            <w:tcBorders>
              <w:top w:val="single" w:color="auto" w:sz="4" w:space="0"/>
              <w:left w:val="nil"/>
              <w:bottom w:val="single" w:color="auto" w:sz="4" w:space="0"/>
              <w:right w:val="single" w:color="auto" w:sz="4" w:space="0"/>
            </w:tcBorders>
            <w:noWrap w:val="0"/>
            <w:vAlign w:val="center"/>
          </w:tcPr>
          <w:p w14:paraId="415EA942">
            <w:pPr>
              <w:ind w:firstLine="420" w:firstLineChars="200"/>
              <w:outlineLvl w:val="9"/>
              <w:rPr>
                <w:rFonts w:hint="eastAsia" w:ascii="宋体" w:hAnsi="宋体" w:eastAsia="宋体" w:cs="宋体"/>
                <w:color w:val="auto"/>
                <w:sz w:val="21"/>
                <w:szCs w:val="21"/>
              </w:rPr>
            </w:pPr>
            <w:r>
              <w:rPr>
                <w:rFonts w:hint="eastAsia" w:ascii="宋体" w:hAnsi="宋体" w:eastAsia="宋体" w:cs="宋体"/>
                <w:color w:val="auto"/>
                <w:sz w:val="21"/>
                <w:szCs w:val="21"/>
              </w:rPr>
              <w:t>是否接受联合体投标：否</w:t>
            </w:r>
          </w:p>
        </w:tc>
      </w:tr>
      <w:tr w14:paraId="037EEC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14:paraId="1782C8AE">
            <w:pPr>
              <w:kinsoku w:val="0"/>
              <w:overflowPunct w:val="0"/>
              <w:autoSpaceDE w:val="0"/>
              <w:autoSpaceDN w:val="0"/>
              <w:adjustRightInd w:val="0"/>
              <w:snapToGrid w:val="0"/>
              <w:spacing w:line="360" w:lineRule="auto"/>
              <w:jc w:val="center"/>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w:t>
            </w:r>
          </w:p>
        </w:tc>
        <w:tc>
          <w:tcPr>
            <w:tcW w:w="9084" w:type="dxa"/>
            <w:gridSpan w:val="2"/>
            <w:tcBorders>
              <w:top w:val="single" w:color="auto" w:sz="4" w:space="0"/>
              <w:left w:val="nil"/>
              <w:bottom w:val="single" w:color="auto" w:sz="4" w:space="0"/>
              <w:right w:val="single" w:color="auto" w:sz="4" w:space="0"/>
            </w:tcBorders>
            <w:noWrap w:val="0"/>
            <w:vAlign w:val="center"/>
          </w:tcPr>
          <w:p w14:paraId="4311755C">
            <w:pPr>
              <w:ind w:firstLine="420" w:firstLineChars="200"/>
              <w:outlineLvl w:val="9"/>
              <w:rPr>
                <w:rFonts w:hint="eastAsia" w:ascii="宋体" w:hAnsi="宋体" w:eastAsia="宋体" w:cs="宋体"/>
                <w:color w:val="auto"/>
                <w:sz w:val="21"/>
                <w:szCs w:val="21"/>
              </w:rPr>
            </w:pPr>
            <w:r>
              <w:rPr>
                <w:rFonts w:hint="eastAsia" w:ascii="宋体" w:hAnsi="宋体" w:eastAsia="宋体" w:cs="宋体"/>
                <w:color w:val="auto"/>
                <w:sz w:val="21"/>
                <w:szCs w:val="21"/>
              </w:rPr>
              <w:t>分   包</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转</w:t>
            </w:r>
            <w:r>
              <w:rPr>
                <w:rFonts w:hint="eastAsia" w:ascii="宋体" w:hAnsi="宋体" w:eastAsia="宋体" w:cs="宋体"/>
                <w:color w:val="auto"/>
                <w:sz w:val="21"/>
                <w:szCs w:val="21"/>
              </w:rPr>
              <w:t xml:space="preserve">   </w:t>
            </w:r>
            <w:r>
              <w:rPr>
                <w:rFonts w:hint="eastAsia" w:ascii="宋体" w:hAnsi="宋体" w:cs="宋体"/>
                <w:color w:val="auto"/>
                <w:sz w:val="21"/>
                <w:szCs w:val="21"/>
                <w:lang w:val="en-US" w:eastAsia="zh-CN"/>
              </w:rPr>
              <w:t>包</w:t>
            </w:r>
            <w:r>
              <w:rPr>
                <w:rFonts w:hint="eastAsia" w:ascii="宋体" w:hAnsi="宋体" w:eastAsia="宋体" w:cs="宋体"/>
                <w:color w:val="auto"/>
                <w:sz w:val="21"/>
                <w:szCs w:val="21"/>
              </w:rPr>
              <w:t>：  不允许</w:t>
            </w:r>
          </w:p>
        </w:tc>
      </w:tr>
      <w:tr w14:paraId="7BE8D3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14:paraId="7DD1E5AA">
            <w:pPr>
              <w:kinsoku w:val="0"/>
              <w:overflowPunct w:val="0"/>
              <w:autoSpaceDE w:val="0"/>
              <w:autoSpaceDN w:val="0"/>
              <w:adjustRightInd w:val="0"/>
              <w:snapToGrid w:val="0"/>
              <w:spacing w:line="360" w:lineRule="auto"/>
              <w:jc w:val="center"/>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w:t>
            </w:r>
          </w:p>
        </w:tc>
        <w:tc>
          <w:tcPr>
            <w:tcW w:w="9084" w:type="dxa"/>
            <w:gridSpan w:val="2"/>
            <w:tcBorders>
              <w:top w:val="single" w:color="auto" w:sz="4" w:space="0"/>
              <w:left w:val="nil"/>
              <w:bottom w:val="single" w:color="auto" w:sz="4" w:space="0"/>
              <w:right w:val="single" w:color="auto" w:sz="4" w:space="0"/>
            </w:tcBorders>
            <w:noWrap w:val="0"/>
            <w:vAlign w:val="center"/>
          </w:tcPr>
          <w:p w14:paraId="13FB1EBE">
            <w:pPr>
              <w:ind w:firstLine="420" w:firstLineChars="200"/>
              <w:outlineLvl w:val="9"/>
              <w:rPr>
                <w:rFonts w:hint="eastAsia" w:ascii="宋体" w:hAnsi="宋体" w:eastAsia="宋体" w:cs="宋体"/>
                <w:color w:val="auto"/>
                <w:sz w:val="21"/>
                <w:szCs w:val="21"/>
              </w:rPr>
            </w:pPr>
            <w:r>
              <w:rPr>
                <w:rFonts w:hint="eastAsia" w:ascii="宋体" w:hAnsi="宋体" w:eastAsia="宋体" w:cs="宋体"/>
                <w:color w:val="auto"/>
                <w:sz w:val="21"/>
                <w:szCs w:val="21"/>
              </w:rPr>
              <w:t>核心产品：/</w:t>
            </w:r>
          </w:p>
        </w:tc>
      </w:tr>
      <w:tr w14:paraId="1F60DD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14:paraId="1AF2662A">
            <w:pPr>
              <w:kinsoku w:val="0"/>
              <w:overflowPunct w:val="0"/>
              <w:autoSpaceDE w:val="0"/>
              <w:autoSpaceDN w:val="0"/>
              <w:adjustRightInd w:val="0"/>
              <w:snapToGrid w:val="0"/>
              <w:spacing w:line="360" w:lineRule="auto"/>
              <w:jc w:val="center"/>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w:t>
            </w:r>
          </w:p>
        </w:tc>
        <w:tc>
          <w:tcPr>
            <w:tcW w:w="9084" w:type="dxa"/>
            <w:gridSpan w:val="2"/>
            <w:tcBorders>
              <w:top w:val="single" w:color="auto" w:sz="4" w:space="0"/>
              <w:left w:val="nil"/>
              <w:bottom w:val="single" w:color="auto" w:sz="4" w:space="0"/>
              <w:right w:val="single" w:color="auto" w:sz="4" w:space="0"/>
            </w:tcBorders>
            <w:noWrap w:val="0"/>
            <w:vAlign w:val="center"/>
          </w:tcPr>
          <w:p w14:paraId="346329E1">
            <w:pPr>
              <w:ind w:firstLine="420" w:firstLineChars="200"/>
              <w:outlineLvl w:val="9"/>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所属行业：商务服务业</w:t>
            </w:r>
            <w:r>
              <w:rPr>
                <w:rFonts w:hint="eastAsia" w:ascii="宋体" w:hAnsi="宋体" w:eastAsia="宋体" w:cs="宋体"/>
                <w:color w:val="auto"/>
                <w:sz w:val="21"/>
                <w:szCs w:val="21"/>
                <w:lang w:eastAsia="zh-CN"/>
              </w:rPr>
              <w:t>。</w:t>
            </w:r>
          </w:p>
        </w:tc>
      </w:tr>
      <w:tr w14:paraId="053182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14:paraId="762AB376">
            <w:pPr>
              <w:kinsoku w:val="0"/>
              <w:overflowPunct w:val="0"/>
              <w:autoSpaceDE w:val="0"/>
              <w:autoSpaceDN w:val="0"/>
              <w:adjustRightInd w:val="0"/>
              <w:snapToGrid w:val="0"/>
              <w:spacing w:line="360" w:lineRule="auto"/>
              <w:jc w:val="center"/>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8</w:t>
            </w:r>
          </w:p>
        </w:tc>
        <w:tc>
          <w:tcPr>
            <w:tcW w:w="9084" w:type="dxa"/>
            <w:gridSpan w:val="2"/>
            <w:tcBorders>
              <w:top w:val="single" w:color="auto" w:sz="4" w:space="0"/>
              <w:left w:val="nil"/>
              <w:bottom w:val="single" w:color="auto" w:sz="4" w:space="0"/>
              <w:right w:val="single" w:color="auto" w:sz="4" w:space="0"/>
            </w:tcBorders>
            <w:noWrap w:val="0"/>
            <w:vAlign w:val="center"/>
          </w:tcPr>
          <w:p w14:paraId="57EB4708">
            <w:pPr>
              <w:ind w:firstLine="420" w:firstLineChars="200"/>
              <w:outlineLvl w:val="9"/>
              <w:rPr>
                <w:rFonts w:hint="eastAsia" w:ascii="宋体" w:hAnsi="宋体" w:eastAsia="宋体" w:cs="宋体"/>
                <w:color w:val="auto"/>
                <w:sz w:val="21"/>
                <w:szCs w:val="21"/>
              </w:rPr>
            </w:pPr>
            <w:r>
              <w:rPr>
                <w:rFonts w:hint="eastAsia" w:ascii="宋体" w:hAnsi="宋体" w:eastAsia="宋体" w:cs="宋体"/>
                <w:color w:val="auto"/>
                <w:sz w:val="21"/>
                <w:szCs w:val="21"/>
              </w:rPr>
              <w:t>履约保证金：不收取。</w:t>
            </w:r>
          </w:p>
        </w:tc>
      </w:tr>
      <w:tr w14:paraId="3DEBFB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14:paraId="02630583">
            <w:pPr>
              <w:kinsoku w:val="0"/>
              <w:overflowPunct w:val="0"/>
              <w:autoSpaceDE w:val="0"/>
              <w:autoSpaceDN w:val="0"/>
              <w:adjustRightInd w:val="0"/>
              <w:snapToGrid w:val="0"/>
              <w:spacing w:line="360" w:lineRule="auto"/>
              <w:jc w:val="center"/>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9</w:t>
            </w:r>
          </w:p>
        </w:tc>
        <w:tc>
          <w:tcPr>
            <w:tcW w:w="9084" w:type="dxa"/>
            <w:gridSpan w:val="2"/>
            <w:tcBorders>
              <w:top w:val="single" w:color="auto" w:sz="4" w:space="0"/>
              <w:left w:val="nil"/>
              <w:bottom w:val="single" w:color="auto" w:sz="4" w:space="0"/>
              <w:right w:val="single" w:color="auto" w:sz="4" w:space="0"/>
            </w:tcBorders>
            <w:noWrap w:val="0"/>
            <w:vAlign w:val="center"/>
          </w:tcPr>
          <w:p w14:paraId="15789DA9">
            <w:pPr>
              <w:ind w:firstLine="420" w:firstLineChars="200"/>
              <w:outlineLvl w:val="9"/>
              <w:rPr>
                <w:rFonts w:hint="eastAsia" w:ascii="宋体" w:hAnsi="宋体" w:eastAsia="宋体" w:cs="宋体"/>
                <w:color w:val="auto"/>
                <w:sz w:val="21"/>
                <w:szCs w:val="21"/>
              </w:rPr>
            </w:pPr>
            <w:r>
              <w:rPr>
                <w:rFonts w:hint="eastAsia" w:ascii="宋体" w:hAnsi="宋体" w:eastAsia="宋体" w:cs="宋体"/>
                <w:color w:val="auto"/>
                <w:sz w:val="21"/>
                <w:szCs w:val="21"/>
              </w:rPr>
              <w:t>质量保证金：不收取。</w:t>
            </w:r>
          </w:p>
        </w:tc>
      </w:tr>
      <w:tr w14:paraId="2D764C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14:paraId="6E43535F">
            <w:pPr>
              <w:kinsoku w:val="0"/>
              <w:overflowPunct w:val="0"/>
              <w:autoSpaceDE w:val="0"/>
              <w:autoSpaceDN w:val="0"/>
              <w:adjustRightInd w:val="0"/>
              <w:snapToGrid w:val="0"/>
              <w:spacing w:line="360" w:lineRule="auto"/>
              <w:jc w:val="center"/>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9084" w:type="dxa"/>
            <w:gridSpan w:val="2"/>
            <w:tcBorders>
              <w:top w:val="single" w:color="auto" w:sz="4" w:space="0"/>
              <w:left w:val="nil"/>
              <w:bottom w:val="single" w:color="auto" w:sz="4" w:space="0"/>
              <w:right w:val="single" w:color="auto" w:sz="4" w:space="0"/>
            </w:tcBorders>
            <w:noWrap w:val="0"/>
            <w:vAlign w:val="center"/>
          </w:tcPr>
          <w:p w14:paraId="252E93C5">
            <w:pPr>
              <w:ind w:firstLine="420" w:firstLineChars="200"/>
              <w:outlineLvl w:val="9"/>
              <w:rPr>
                <w:rFonts w:hint="eastAsia" w:ascii="宋体" w:hAnsi="宋体" w:eastAsia="宋体" w:cs="宋体"/>
                <w:color w:val="auto"/>
                <w:sz w:val="21"/>
                <w:szCs w:val="21"/>
              </w:rPr>
            </w:pPr>
            <w:r>
              <w:rPr>
                <w:rFonts w:hint="eastAsia" w:ascii="宋体" w:hAnsi="宋体" w:eastAsia="宋体" w:cs="宋体"/>
                <w:color w:val="auto"/>
                <w:sz w:val="21"/>
                <w:szCs w:val="21"/>
              </w:rPr>
              <w:t>投标保证金：不收取。</w:t>
            </w:r>
          </w:p>
        </w:tc>
      </w:tr>
      <w:tr w14:paraId="200F9E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14:paraId="00C33429">
            <w:pPr>
              <w:kinsoku w:val="0"/>
              <w:overflowPunct w:val="0"/>
              <w:autoSpaceDE w:val="0"/>
              <w:autoSpaceDN w:val="0"/>
              <w:adjustRightInd w:val="0"/>
              <w:snapToGrid w:val="0"/>
              <w:spacing w:line="360" w:lineRule="auto"/>
              <w:jc w:val="center"/>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w:t>
            </w:r>
          </w:p>
        </w:tc>
        <w:tc>
          <w:tcPr>
            <w:tcW w:w="9084" w:type="dxa"/>
            <w:gridSpan w:val="2"/>
            <w:tcBorders>
              <w:top w:val="single" w:color="auto" w:sz="4" w:space="0"/>
              <w:left w:val="nil"/>
              <w:bottom w:val="single" w:color="auto" w:sz="4" w:space="0"/>
              <w:right w:val="single" w:color="auto" w:sz="4" w:space="0"/>
            </w:tcBorders>
            <w:noWrap w:val="0"/>
            <w:vAlign w:val="center"/>
          </w:tcPr>
          <w:p w14:paraId="53E1A45D">
            <w:pPr>
              <w:ind w:firstLine="420" w:firstLineChars="200"/>
              <w:outlineLvl w:val="9"/>
              <w:rPr>
                <w:rFonts w:hint="eastAsia" w:ascii="宋体" w:hAnsi="宋体" w:eastAsia="宋体" w:cs="宋体"/>
                <w:color w:val="auto"/>
                <w:sz w:val="21"/>
                <w:szCs w:val="21"/>
              </w:rPr>
            </w:pPr>
            <w:r>
              <w:rPr>
                <w:rFonts w:hint="eastAsia" w:ascii="宋体" w:hAnsi="宋体" w:eastAsia="宋体" w:cs="宋体"/>
                <w:color w:val="auto"/>
                <w:sz w:val="21"/>
                <w:szCs w:val="21"/>
              </w:rPr>
              <w:t>中标或成交供应商合同签订方式可选择在线签订（在公共资源交易中心网站进行）</w:t>
            </w:r>
          </w:p>
        </w:tc>
      </w:tr>
      <w:tr w14:paraId="08FB01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8" w:type="dxa"/>
            <w:tcBorders>
              <w:top w:val="single" w:color="auto" w:sz="4" w:space="0"/>
              <w:left w:val="single" w:color="auto" w:sz="4" w:space="0"/>
              <w:bottom w:val="single" w:color="auto" w:sz="4" w:space="0"/>
              <w:right w:val="single" w:color="auto" w:sz="4" w:space="0"/>
            </w:tcBorders>
            <w:noWrap w:val="0"/>
            <w:vAlign w:val="center"/>
          </w:tcPr>
          <w:p w14:paraId="1A6C359B">
            <w:pPr>
              <w:kinsoku w:val="0"/>
              <w:overflowPunct w:val="0"/>
              <w:autoSpaceDE w:val="0"/>
              <w:autoSpaceDN w:val="0"/>
              <w:adjustRightInd w:val="0"/>
              <w:snapToGrid w:val="0"/>
              <w:spacing w:line="360" w:lineRule="auto"/>
              <w:jc w:val="center"/>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12</w:t>
            </w:r>
          </w:p>
        </w:tc>
        <w:tc>
          <w:tcPr>
            <w:tcW w:w="2704" w:type="dxa"/>
            <w:tcBorders>
              <w:top w:val="single" w:color="auto" w:sz="4" w:space="0"/>
              <w:left w:val="nil"/>
              <w:bottom w:val="single" w:color="auto" w:sz="4" w:space="0"/>
              <w:right w:val="single" w:color="auto" w:sz="4" w:space="0"/>
            </w:tcBorders>
            <w:noWrap w:val="0"/>
            <w:vAlign w:val="center"/>
          </w:tcPr>
          <w:p w14:paraId="3E211A78">
            <w:pPr>
              <w:kinsoku w:val="0"/>
              <w:overflowPunct w:val="0"/>
              <w:autoSpaceDE w:val="0"/>
              <w:autoSpaceDN w:val="0"/>
              <w:adjustRightInd w:val="0"/>
              <w:snapToGrid w:val="0"/>
              <w:spacing w:line="360" w:lineRule="auto"/>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Pr>
              <w:t>资格审查主体</w:t>
            </w:r>
          </w:p>
        </w:tc>
        <w:tc>
          <w:tcPr>
            <w:tcW w:w="6380" w:type="dxa"/>
            <w:tcBorders>
              <w:top w:val="single" w:color="auto" w:sz="4" w:space="0"/>
              <w:left w:val="single" w:color="auto" w:sz="4" w:space="0"/>
              <w:bottom w:val="single" w:color="auto" w:sz="4" w:space="0"/>
              <w:right w:val="single" w:color="auto" w:sz="4" w:space="0"/>
            </w:tcBorders>
            <w:noWrap w:val="0"/>
            <w:vAlign w:val="center"/>
          </w:tcPr>
          <w:p w14:paraId="6463A185">
            <w:pPr>
              <w:kinsoku w:val="0"/>
              <w:overflowPunct w:val="0"/>
              <w:autoSpaceDE w:val="0"/>
              <w:autoSpaceDN w:val="0"/>
              <w:adjustRightInd w:val="0"/>
              <w:snapToGrid w:val="0"/>
              <w:spacing w:line="360" w:lineRule="auto"/>
              <w:outlineLvl w:val="9"/>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公开招标（采购人和采购代理机构）。</w:t>
            </w:r>
          </w:p>
          <w:p w14:paraId="134DFAB5">
            <w:pPr>
              <w:kinsoku w:val="0"/>
              <w:overflowPunct w:val="0"/>
              <w:autoSpaceDE w:val="0"/>
              <w:autoSpaceDN w:val="0"/>
              <w:adjustRightInd w:val="0"/>
              <w:snapToGrid w:val="0"/>
              <w:spacing w:line="360" w:lineRule="auto"/>
              <w:outlineLvl w:val="9"/>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非公开招标（评标委员会）。</w:t>
            </w:r>
          </w:p>
        </w:tc>
      </w:tr>
      <w:tr w14:paraId="15F50E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14:paraId="71E11F84">
            <w:pPr>
              <w:kinsoku w:val="0"/>
              <w:overflowPunct w:val="0"/>
              <w:autoSpaceDE w:val="0"/>
              <w:autoSpaceDN w:val="0"/>
              <w:adjustRightInd w:val="0"/>
              <w:snapToGrid w:val="0"/>
              <w:spacing w:line="360" w:lineRule="auto"/>
              <w:jc w:val="center"/>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13</w:t>
            </w:r>
          </w:p>
        </w:tc>
        <w:tc>
          <w:tcPr>
            <w:tcW w:w="9084" w:type="dxa"/>
            <w:gridSpan w:val="2"/>
            <w:tcBorders>
              <w:top w:val="single" w:color="auto" w:sz="4" w:space="0"/>
              <w:left w:val="nil"/>
              <w:bottom w:val="single" w:color="auto" w:sz="4" w:space="0"/>
              <w:right w:val="single" w:color="auto" w:sz="4" w:space="0"/>
            </w:tcBorders>
            <w:noWrap w:val="0"/>
            <w:vAlign w:val="center"/>
          </w:tcPr>
          <w:p w14:paraId="03BFB656">
            <w:pPr>
              <w:kinsoku w:val="0"/>
              <w:overflowPunct w:val="0"/>
              <w:autoSpaceDE w:val="0"/>
              <w:autoSpaceDN w:val="0"/>
              <w:adjustRightInd w:val="0"/>
              <w:snapToGrid w:val="0"/>
              <w:spacing w:line="360" w:lineRule="auto"/>
              <w:ind w:firstLine="420" w:firstLineChars="200"/>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资格审查条件</w:t>
            </w:r>
            <w:r>
              <w:rPr>
                <w:rFonts w:hint="eastAsia" w:ascii="宋体" w:hAnsi="宋体" w:eastAsia="宋体" w:cs="宋体"/>
                <w:color w:val="auto"/>
                <w:kern w:val="0"/>
                <w:sz w:val="21"/>
                <w:szCs w:val="21"/>
              </w:rPr>
              <w:t>：具备招标公告“二、申请人的资格要求</w:t>
            </w:r>
            <w:r>
              <w:rPr>
                <w:rFonts w:hint="eastAsia" w:ascii="宋体" w:hAnsi="宋体" w:eastAsia="宋体" w:cs="宋体"/>
                <w:color w:val="auto"/>
                <w:sz w:val="21"/>
                <w:szCs w:val="21"/>
              </w:rPr>
              <w:t>”</w:t>
            </w:r>
            <w:r>
              <w:rPr>
                <w:rFonts w:hint="eastAsia" w:ascii="宋体" w:hAnsi="宋体" w:eastAsia="宋体" w:cs="宋体"/>
                <w:color w:val="auto"/>
                <w:kern w:val="0"/>
                <w:sz w:val="21"/>
                <w:szCs w:val="21"/>
              </w:rPr>
              <w:t>规定的条件。</w:t>
            </w:r>
          </w:p>
        </w:tc>
      </w:tr>
      <w:tr w14:paraId="69998C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14:paraId="18E5A147">
            <w:pPr>
              <w:kinsoku w:val="0"/>
              <w:overflowPunct w:val="0"/>
              <w:autoSpaceDE w:val="0"/>
              <w:autoSpaceDN w:val="0"/>
              <w:adjustRightInd w:val="0"/>
              <w:snapToGrid w:val="0"/>
              <w:spacing w:line="360" w:lineRule="auto"/>
              <w:jc w:val="center"/>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14</w:t>
            </w:r>
          </w:p>
        </w:tc>
        <w:tc>
          <w:tcPr>
            <w:tcW w:w="9084" w:type="dxa"/>
            <w:gridSpan w:val="2"/>
            <w:tcBorders>
              <w:top w:val="single" w:color="auto" w:sz="4" w:space="0"/>
              <w:left w:val="nil"/>
              <w:bottom w:val="single" w:color="auto" w:sz="4" w:space="0"/>
              <w:right w:val="single" w:color="auto" w:sz="4" w:space="0"/>
            </w:tcBorders>
            <w:noWrap w:val="0"/>
            <w:vAlign w:val="center"/>
          </w:tcPr>
          <w:p w14:paraId="7100F2F9">
            <w:pPr>
              <w:kinsoku w:val="0"/>
              <w:overflowPunct w:val="0"/>
              <w:autoSpaceDE w:val="0"/>
              <w:autoSpaceDN w:val="0"/>
              <w:adjustRightInd w:val="0"/>
              <w:snapToGrid w:val="0"/>
              <w:spacing w:line="360" w:lineRule="auto"/>
              <w:ind w:firstLine="420" w:firstLineChars="200"/>
              <w:outlineLvl w:val="9"/>
              <w:rPr>
                <w:rFonts w:hint="eastAsia" w:ascii="宋体" w:hAnsi="宋体" w:eastAsia="宋体" w:cs="宋体"/>
                <w:color w:val="auto"/>
              </w:rPr>
            </w:pPr>
            <w:r>
              <w:rPr>
                <w:rFonts w:hint="eastAsia" w:ascii="宋体" w:hAnsi="宋体" w:eastAsia="宋体" w:cs="宋体"/>
                <w:color w:val="auto"/>
                <w:lang w:val="en-US" w:eastAsia="zh-CN"/>
              </w:rPr>
              <w:t>1、</w:t>
            </w:r>
            <w:r>
              <w:rPr>
                <w:rFonts w:hint="eastAsia" w:ascii="宋体" w:hAnsi="宋体" w:eastAsia="宋体" w:cs="宋体"/>
                <w:color w:val="auto"/>
              </w:rPr>
              <w:t>投标报价及费用：</w:t>
            </w:r>
          </w:p>
          <w:p w14:paraId="2EA99711">
            <w:pPr>
              <w:kinsoku w:val="0"/>
              <w:overflowPunct w:val="0"/>
              <w:autoSpaceDE w:val="0"/>
              <w:autoSpaceDN w:val="0"/>
              <w:adjustRightInd w:val="0"/>
              <w:snapToGrid w:val="0"/>
              <w:spacing w:line="360" w:lineRule="auto"/>
              <w:ind w:firstLine="420" w:firstLineChars="200"/>
              <w:outlineLvl w:val="9"/>
              <w:rPr>
                <w:rFonts w:hint="eastAsia" w:ascii="宋体" w:hAnsi="宋体" w:eastAsia="宋体" w:cs="宋体"/>
                <w:color w:val="auto"/>
              </w:rPr>
            </w:pPr>
            <w:r>
              <w:rPr>
                <w:rFonts w:hint="eastAsia" w:ascii="宋体" w:hAnsi="宋体" w:eastAsia="宋体" w:cs="宋体"/>
                <w:color w:val="auto"/>
                <w:lang w:val="en-US" w:eastAsia="zh-CN"/>
              </w:rPr>
              <w:t>1</w:t>
            </w:r>
            <w:r>
              <w:rPr>
                <w:rFonts w:hint="eastAsia" w:ascii="宋体" w:hAnsi="宋体" w:eastAsia="宋体" w:cs="宋体"/>
                <w:color w:val="auto"/>
              </w:rPr>
              <w:t>.1</w:t>
            </w:r>
            <w:r>
              <w:rPr>
                <w:rFonts w:hint="eastAsia" w:ascii="宋体" w:hAnsi="宋体" w:eastAsia="宋体" w:cs="宋体"/>
                <w:color w:val="auto"/>
                <w:lang w:eastAsia="zh-CN"/>
              </w:rPr>
              <w:t>、</w:t>
            </w:r>
            <w:r>
              <w:rPr>
                <w:rFonts w:hint="eastAsia" w:ascii="宋体" w:hAnsi="宋体" w:eastAsia="宋体" w:cs="宋体"/>
                <w:color w:val="auto"/>
              </w:rPr>
              <w:t>本项目投标应以</w:t>
            </w:r>
            <w:r>
              <w:rPr>
                <w:rFonts w:hint="eastAsia" w:ascii="宋体" w:hAnsi="宋体" w:cs="宋体"/>
                <w:color w:val="auto"/>
                <w:lang w:eastAsia="zh-CN"/>
              </w:rPr>
              <w:t>人民币</w:t>
            </w:r>
            <w:r>
              <w:rPr>
                <w:rFonts w:hint="eastAsia" w:ascii="宋体" w:hAnsi="宋体" w:eastAsia="宋体" w:cs="宋体"/>
                <w:color w:val="auto"/>
              </w:rPr>
              <w:t>报价。</w:t>
            </w:r>
          </w:p>
          <w:p w14:paraId="703BAD5A">
            <w:pPr>
              <w:kinsoku w:val="0"/>
              <w:overflowPunct w:val="0"/>
              <w:autoSpaceDE w:val="0"/>
              <w:autoSpaceDN w:val="0"/>
              <w:adjustRightInd w:val="0"/>
              <w:snapToGrid w:val="0"/>
              <w:spacing w:line="360" w:lineRule="auto"/>
              <w:ind w:firstLine="420" w:firstLineChars="200"/>
              <w:outlineLvl w:val="9"/>
              <w:rPr>
                <w:rFonts w:hint="eastAsia" w:ascii="宋体" w:hAnsi="宋体" w:cs="宋体"/>
                <w:color w:val="auto"/>
                <w:lang w:val="en-US" w:eastAsia="zh-CN"/>
              </w:rPr>
            </w:pPr>
            <w:r>
              <w:rPr>
                <w:rFonts w:hint="eastAsia" w:ascii="宋体" w:hAnsi="宋体" w:eastAsia="宋体" w:cs="宋体"/>
                <w:color w:val="auto"/>
                <w:lang w:val="en-US" w:eastAsia="zh-CN"/>
              </w:rPr>
              <w:t>1</w:t>
            </w:r>
            <w:r>
              <w:rPr>
                <w:rFonts w:hint="eastAsia" w:ascii="宋体" w:hAnsi="宋体" w:eastAsia="宋体" w:cs="宋体"/>
                <w:color w:val="auto"/>
              </w:rPr>
              <w:t>.2</w:t>
            </w:r>
            <w:r>
              <w:rPr>
                <w:rFonts w:hint="eastAsia" w:ascii="宋体" w:hAnsi="宋体" w:eastAsia="宋体" w:cs="宋体"/>
                <w:color w:val="auto"/>
                <w:lang w:eastAsia="zh-CN"/>
              </w:rPr>
              <w:t>、</w:t>
            </w:r>
            <w:r>
              <w:rPr>
                <w:rFonts w:hint="eastAsia" w:ascii="宋体" w:hAnsi="宋体" w:eastAsia="宋体" w:cs="宋体"/>
                <w:color w:val="auto"/>
              </w:rPr>
              <w:t>最高投标限价：1056000.00</w:t>
            </w:r>
            <w:r>
              <w:rPr>
                <w:rFonts w:hint="eastAsia" w:ascii="宋体" w:hAnsi="宋体" w:cs="宋体"/>
                <w:color w:val="auto"/>
                <w:lang w:val="en-US" w:eastAsia="zh-CN"/>
              </w:rPr>
              <w:t>元</w:t>
            </w:r>
          </w:p>
          <w:p w14:paraId="3FF1FA96">
            <w:pPr>
              <w:kinsoku w:val="0"/>
              <w:overflowPunct w:val="0"/>
              <w:autoSpaceDE w:val="0"/>
              <w:autoSpaceDN w:val="0"/>
              <w:adjustRightInd w:val="0"/>
              <w:snapToGrid w:val="0"/>
              <w:spacing w:line="360" w:lineRule="auto"/>
              <w:ind w:firstLine="420" w:firstLineChars="200"/>
              <w:outlineLvl w:val="9"/>
              <w:rPr>
                <w:rFonts w:hint="eastAsia" w:ascii="宋体" w:hAnsi="宋体" w:eastAsia="宋体" w:cs="宋体"/>
                <w:color w:val="auto"/>
              </w:rPr>
            </w:pPr>
            <w:r>
              <w:rPr>
                <w:rFonts w:hint="eastAsia" w:ascii="宋体" w:hAnsi="宋体" w:eastAsia="宋体" w:cs="宋体"/>
                <w:color w:val="auto"/>
                <w:lang w:eastAsia="zh-CN"/>
              </w:rPr>
              <w:t>注：</w:t>
            </w:r>
            <w:r>
              <w:rPr>
                <w:rFonts w:hint="eastAsia" w:ascii="宋体" w:hAnsi="宋体" w:eastAsia="宋体" w:cs="宋体"/>
                <w:color w:val="auto"/>
              </w:rPr>
              <w:t>超过最高投标限价的投标报价为无效投标，供应商的投标报价均超过最高投标限价，采购人不能支付的，按废标处理。</w:t>
            </w:r>
          </w:p>
          <w:p w14:paraId="4A1B8B49">
            <w:pPr>
              <w:numPr>
                <w:ilvl w:val="0"/>
                <w:numId w:val="1"/>
              </w:numPr>
              <w:kinsoku w:val="0"/>
              <w:overflowPunct w:val="0"/>
              <w:autoSpaceDE w:val="0"/>
              <w:autoSpaceDN w:val="0"/>
              <w:adjustRightInd w:val="0"/>
              <w:snapToGrid w:val="0"/>
              <w:spacing w:line="360" w:lineRule="auto"/>
              <w:ind w:firstLine="420" w:firstLineChars="200"/>
              <w:outlineLvl w:val="9"/>
              <w:rPr>
                <w:rFonts w:hint="eastAsia" w:ascii="宋体" w:hAnsi="宋体" w:eastAsia="宋体" w:cs="宋体"/>
                <w:color w:val="auto"/>
                <w:lang w:eastAsia="zh-CN"/>
              </w:rPr>
            </w:pPr>
            <w:r>
              <w:rPr>
                <w:rFonts w:hint="eastAsia" w:ascii="宋体" w:hAnsi="宋体" w:eastAsia="宋体" w:cs="宋体"/>
                <w:color w:val="auto"/>
              </w:rPr>
              <w:t>代理服务费</w:t>
            </w:r>
            <w:r>
              <w:rPr>
                <w:rFonts w:hint="eastAsia" w:ascii="宋体" w:hAnsi="宋体" w:eastAsia="宋体" w:cs="宋体"/>
                <w:color w:val="auto"/>
                <w:lang w:eastAsia="zh-CN"/>
              </w:rPr>
              <w:t>：</w:t>
            </w:r>
          </w:p>
          <w:p w14:paraId="54D8A1E6">
            <w:pPr>
              <w:numPr>
                <w:ilvl w:val="0"/>
                <w:numId w:val="0"/>
              </w:numPr>
              <w:kinsoku w:val="0"/>
              <w:overflowPunct w:val="0"/>
              <w:autoSpaceDE w:val="0"/>
              <w:autoSpaceDN w:val="0"/>
              <w:adjustRightInd w:val="0"/>
              <w:snapToGrid w:val="0"/>
              <w:spacing w:line="360" w:lineRule="auto"/>
              <w:ind w:firstLine="420" w:firstLineChars="200"/>
              <w:outlineLvl w:val="9"/>
              <w:rPr>
                <w:rFonts w:hint="eastAsia" w:ascii="宋体" w:hAnsi="宋体" w:eastAsia="宋体" w:cs="宋体"/>
                <w:color w:val="auto"/>
              </w:rPr>
            </w:pPr>
            <w:r>
              <w:rPr>
                <w:rFonts w:hint="eastAsia" w:ascii="宋体" w:hAnsi="宋体" w:eastAsia="宋体" w:cs="宋体"/>
                <w:color w:val="auto"/>
              </w:rPr>
              <w:t>本项目代理服务费收费标准根据</w:t>
            </w:r>
            <w:r>
              <w:rPr>
                <w:rFonts w:hint="eastAsia" w:ascii="宋体" w:hAnsi="宋体" w:eastAsia="宋体" w:cs="宋体"/>
                <w:color w:val="auto"/>
                <w:lang w:val="zh-CN"/>
              </w:rPr>
              <w:t>《河南省招标代理服务收费指导意见》（豫招协【</w:t>
            </w:r>
            <w:r>
              <w:rPr>
                <w:rFonts w:hint="eastAsia" w:ascii="宋体" w:hAnsi="宋体" w:eastAsia="宋体" w:cs="宋体"/>
                <w:color w:val="auto"/>
              </w:rPr>
              <w:t>2023</w:t>
            </w:r>
            <w:r>
              <w:rPr>
                <w:rFonts w:hint="eastAsia" w:ascii="宋体" w:hAnsi="宋体" w:eastAsia="宋体" w:cs="宋体"/>
                <w:color w:val="auto"/>
                <w:lang w:val="zh-CN"/>
              </w:rPr>
              <w:t>】</w:t>
            </w:r>
            <w:r>
              <w:rPr>
                <w:rFonts w:hint="eastAsia" w:ascii="宋体" w:hAnsi="宋体" w:eastAsia="宋体" w:cs="宋体"/>
                <w:color w:val="auto"/>
              </w:rPr>
              <w:t>002</w:t>
            </w:r>
            <w:r>
              <w:rPr>
                <w:rFonts w:hint="eastAsia" w:ascii="宋体" w:hAnsi="宋体" w:eastAsia="宋体" w:cs="宋体"/>
                <w:color w:val="auto"/>
                <w:lang w:val="zh-CN"/>
              </w:rPr>
              <w:t>）号计取</w:t>
            </w:r>
            <w:r>
              <w:rPr>
                <w:rFonts w:hint="eastAsia" w:ascii="宋体" w:hAnsi="宋体" w:eastAsia="宋体" w:cs="宋体"/>
                <w:color w:val="auto"/>
                <w:lang w:val="en-US" w:eastAsia="zh-CN"/>
              </w:rPr>
              <w:t>，</w:t>
            </w:r>
            <w:r>
              <w:rPr>
                <w:rFonts w:hint="eastAsia" w:ascii="宋体" w:hAnsi="宋体" w:eastAsia="宋体" w:cs="宋体"/>
                <w:color w:val="auto"/>
              </w:rPr>
              <w:t>由中标供应商支付。请供应商参照此项费用，酌情报价。</w:t>
            </w:r>
          </w:p>
          <w:p w14:paraId="6939D80C">
            <w:pPr>
              <w:kinsoku w:val="0"/>
              <w:overflowPunct w:val="0"/>
              <w:autoSpaceDE w:val="0"/>
              <w:autoSpaceDN w:val="0"/>
              <w:adjustRightInd w:val="0"/>
              <w:snapToGrid w:val="0"/>
              <w:spacing w:line="360" w:lineRule="auto"/>
              <w:ind w:firstLine="420" w:firstLineChars="200"/>
              <w:outlineLvl w:val="9"/>
              <w:rPr>
                <w:rFonts w:hint="eastAsia" w:ascii="宋体" w:hAnsi="宋体" w:eastAsia="宋体" w:cs="宋体"/>
                <w:color w:val="auto"/>
                <w:kern w:val="0"/>
              </w:rPr>
            </w:pPr>
            <w:r>
              <w:rPr>
                <w:rFonts w:hint="eastAsia" w:ascii="宋体" w:hAnsi="宋体" w:eastAsia="宋体" w:cs="宋体"/>
                <w:color w:val="auto"/>
                <w:kern w:val="0"/>
              </w:rPr>
              <w:t>具体计算标准如下：</w:t>
            </w:r>
          </w:p>
          <w:p w14:paraId="79A7C94E">
            <w:pPr>
              <w:pStyle w:val="18"/>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drawing>
                <wp:inline distT="0" distB="0" distL="114300" distR="114300">
                  <wp:extent cx="3441700" cy="111506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2"/>
                          <a:stretch>
                            <a:fillRect/>
                          </a:stretch>
                        </pic:blipFill>
                        <pic:spPr>
                          <a:xfrm>
                            <a:off x="0" y="0"/>
                            <a:ext cx="3441700" cy="1115060"/>
                          </a:xfrm>
                          <a:prstGeom prst="rect">
                            <a:avLst/>
                          </a:prstGeom>
                          <a:noFill/>
                          <a:ln>
                            <a:noFill/>
                          </a:ln>
                        </pic:spPr>
                      </pic:pic>
                    </a:graphicData>
                  </a:graphic>
                </wp:inline>
              </w:drawing>
            </w:r>
          </w:p>
        </w:tc>
      </w:tr>
      <w:tr w14:paraId="04B92E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14:paraId="114FBD45">
            <w:pPr>
              <w:kinsoku w:val="0"/>
              <w:overflowPunct w:val="0"/>
              <w:autoSpaceDE w:val="0"/>
              <w:autoSpaceDN w:val="0"/>
              <w:adjustRightInd w:val="0"/>
              <w:snapToGrid w:val="0"/>
              <w:spacing w:line="360" w:lineRule="auto"/>
              <w:jc w:val="center"/>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15</w:t>
            </w:r>
          </w:p>
        </w:tc>
        <w:tc>
          <w:tcPr>
            <w:tcW w:w="9084" w:type="dxa"/>
            <w:gridSpan w:val="2"/>
            <w:tcBorders>
              <w:top w:val="single" w:color="auto" w:sz="4" w:space="0"/>
              <w:left w:val="nil"/>
              <w:bottom w:val="single" w:color="auto" w:sz="4" w:space="0"/>
              <w:right w:val="single" w:color="auto" w:sz="4" w:space="0"/>
            </w:tcBorders>
            <w:noWrap w:val="0"/>
            <w:vAlign w:val="center"/>
          </w:tcPr>
          <w:p w14:paraId="2EC151B9">
            <w:pPr>
              <w:kinsoku w:val="0"/>
              <w:overflowPunct w:val="0"/>
              <w:autoSpaceDE w:val="0"/>
              <w:autoSpaceDN w:val="0"/>
              <w:adjustRightInd w:val="0"/>
              <w:snapToGrid w:val="0"/>
              <w:spacing w:line="360" w:lineRule="auto"/>
              <w:ind w:firstLine="420" w:firstLineChars="200"/>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现场踏勘或标前答疑：本项目不组织现场踏勘或标前答疑会。供应商如果需要，可以自行现场踏勘。</w:t>
            </w:r>
          </w:p>
        </w:tc>
      </w:tr>
      <w:tr w14:paraId="58911D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14:paraId="3B4C5E8B">
            <w:pPr>
              <w:kinsoku w:val="0"/>
              <w:overflowPunct w:val="0"/>
              <w:autoSpaceDE w:val="0"/>
              <w:autoSpaceDN w:val="0"/>
              <w:adjustRightInd w:val="0"/>
              <w:snapToGrid w:val="0"/>
              <w:spacing w:line="360" w:lineRule="auto"/>
              <w:jc w:val="center"/>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16</w:t>
            </w:r>
          </w:p>
        </w:tc>
        <w:tc>
          <w:tcPr>
            <w:tcW w:w="9084" w:type="dxa"/>
            <w:gridSpan w:val="2"/>
            <w:tcBorders>
              <w:top w:val="single" w:color="auto" w:sz="4" w:space="0"/>
              <w:left w:val="nil"/>
              <w:bottom w:val="single" w:color="auto" w:sz="4" w:space="0"/>
              <w:right w:val="single" w:color="auto" w:sz="4" w:space="0"/>
            </w:tcBorders>
            <w:noWrap w:val="0"/>
            <w:vAlign w:val="center"/>
          </w:tcPr>
          <w:p w14:paraId="14726DEC">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textAlignment w:val="auto"/>
              <w:outlineLvl w:val="9"/>
              <w:rPr>
                <w:rFonts w:hint="eastAsia" w:ascii="宋体" w:hAnsi="宋体" w:eastAsia="宋体" w:cs="宋体"/>
                <w:color w:val="auto"/>
                <w:kern w:val="0"/>
                <w:sz w:val="21"/>
                <w:szCs w:val="21"/>
              </w:rPr>
            </w:pPr>
            <w:r>
              <w:rPr>
                <w:rFonts w:hint="eastAsia" w:ascii="宋体" w:hAnsi="宋体" w:eastAsia="宋体" w:cs="宋体"/>
                <w:color w:val="auto"/>
                <w:sz w:val="21"/>
                <w:szCs w:val="21"/>
              </w:rPr>
              <w:t>服务时间：</w:t>
            </w:r>
            <w:r>
              <w:rPr>
                <w:rFonts w:hint="eastAsia" w:ascii="宋体" w:hAnsi="宋体" w:cs="宋体"/>
                <w:color w:val="auto"/>
                <w:sz w:val="21"/>
                <w:szCs w:val="21"/>
                <w:lang w:val="en-US" w:eastAsia="zh-CN"/>
              </w:rPr>
              <w:t>2年</w:t>
            </w:r>
            <w:r>
              <w:rPr>
                <w:rFonts w:hint="eastAsia" w:ascii="宋体" w:hAnsi="宋体" w:cs="宋体"/>
                <w:color w:val="auto"/>
                <w:sz w:val="21"/>
                <w:szCs w:val="21"/>
                <w:lang w:eastAsia="zh-CN"/>
              </w:rPr>
              <w:t>。</w:t>
            </w:r>
          </w:p>
        </w:tc>
      </w:tr>
      <w:tr w14:paraId="09E303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14:paraId="5927F644">
            <w:pPr>
              <w:kinsoku w:val="0"/>
              <w:overflowPunct w:val="0"/>
              <w:autoSpaceDE w:val="0"/>
              <w:autoSpaceDN w:val="0"/>
              <w:adjustRightInd w:val="0"/>
              <w:snapToGrid w:val="0"/>
              <w:spacing w:line="360" w:lineRule="auto"/>
              <w:jc w:val="center"/>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17</w:t>
            </w:r>
          </w:p>
        </w:tc>
        <w:tc>
          <w:tcPr>
            <w:tcW w:w="9084" w:type="dxa"/>
            <w:gridSpan w:val="2"/>
            <w:tcBorders>
              <w:top w:val="single" w:color="auto" w:sz="4" w:space="0"/>
              <w:left w:val="nil"/>
              <w:bottom w:val="single" w:color="auto" w:sz="4" w:space="0"/>
              <w:right w:val="single" w:color="auto" w:sz="4" w:space="0"/>
            </w:tcBorders>
            <w:noWrap w:val="0"/>
            <w:vAlign w:val="center"/>
          </w:tcPr>
          <w:p w14:paraId="60517B99">
            <w:pPr>
              <w:kinsoku w:val="0"/>
              <w:overflowPunct w:val="0"/>
              <w:autoSpaceDE w:val="0"/>
              <w:autoSpaceDN w:val="0"/>
              <w:adjustRightInd w:val="0"/>
              <w:snapToGrid w:val="0"/>
              <w:spacing w:line="360" w:lineRule="auto"/>
              <w:ind w:firstLine="420" w:firstLineChars="200"/>
              <w:outlineLvl w:val="9"/>
              <w:rPr>
                <w:rFonts w:hint="eastAsia" w:ascii="宋体" w:hAnsi="宋体" w:eastAsia="宋体" w:cs="宋体"/>
                <w:b/>
                <w:bCs/>
                <w:color w:val="auto"/>
                <w:sz w:val="21"/>
                <w:szCs w:val="21"/>
              </w:rPr>
            </w:pPr>
            <w:r>
              <w:rPr>
                <w:rFonts w:hint="eastAsia" w:ascii="宋体" w:hAnsi="宋体" w:eastAsia="宋体" w:cs="宋体"/>
                <w:color w:val="auto"/>
                <w:sz w:val="21"/>
                <w:szCs w:val="21"/>
              </w:rPr>
              <w:t>服务</w:t>
            </w:r>
            <w:r>
              <w:rPr>
                <w:rFonts w:hint="eastAsia" w:ascii="宋体" w:hAnsi="宋体" w:cs="宋体"/>
                <w:color w:val="auto"/>
                <w:sz w:val="21"/>
                <w:szCs w:val="21"/>
                <w:lang w:val="en-US" w:eastAsia="zh-CN"/>
              </w:rPr>
              <w:t>标准</w:t>
            </w:r>
            <w:r>
              <w:rPr>
                <w:rFonts w:hint="eastAsia" w:ascii="宋体" w:hAnsi="宋体" w:eastAsia="宋体" w:cs="宋体"/>
                <w:color w:val="auto"/>
                <w:sz w:val="21"/>
                <w:szCs w:val="21"/>
              </w:rPr>
              <w:t>：</w:t>
            </w:r>
            <w:r>
              <w:rPr>
                <w:rFonts w:hint="eastAsia"/>
                <w:color w:val="auto"/>
                <w:sz w:val="21"/>
                <w:szCs w:val="21"/>
              </w:rPr>
              <w:t>符合国家相关行业标准</w:t>
            </w:r>
            <w:r>
              <w:rPr>
                <w:rFonts w:hint="eastAsia"/>
                <w:color w:val="auto"/>
                <w:sz w:val="21"/>
                <w:szCs w:val="21"/>
                <w:lang w:eastAsia="zh-CN"/>
              </w:rPr>
              <w:t>及规范，满足</w:t>
            </w:r>
            <w:r>
              <w:rPr>
                <w:rFonts w:hint="eastAsia"/>
                <w:color w:val="auto"/>
                <w:sz w:val="21"/>
                <w:szCs w:val="21"/>
              </w:rPr>
              <w:t>采购人要求</w:t>
            </w:r>
            <w:r>
              <w:rPr>
                <w:rFonts w:hint="eastAsia" w:ascii="宋体" w:hAnsi="宋体" w:eastAsia="宋体" w:cs="宋体"/>
                <w:color w:val="auto"/>
                <w:sz w:val="21"/>
                <w:szCs w:val="21"/>
              </w:rPr>
              <w:t>。</w:t>
            </w:r>
          </w:p>
        </w:tc>
      </w:tr>
      <w:tr w14:paraId="5E70FA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14:paraId="14A7AA6E">
            <w:pPr>
              <w:kinsoku w:val="0"/>
              <w:overflowPunct w:val="0"/>
              <w:autoSpaceDE w:val="0"/>
              <w:autoSpaceDN w:val="0"/>
              <w:adjustRightInd w:val="0"/>
              <w:snapToGrid w:val="0"/>
              <w:spacing w:line="360" w:lineRule="auto"/>
              <w:jc w:val="center"/>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18</w:t>
            </w:r>
          </w:p>
        </w:tc>
        <w:tc>
          <w:tcPr>
            <w:tcW w:w="9084" w:type="dxa"/>
            <w:gridSpan w:val="2"/>
            <w:tcBorders>
              <w:top w:val="single" w:color="auto" w:sz="4" w:space="0"/>
              <w:left w:val="nil"/>
              <w:bottom w:val="single" w:color="auto" w:sz="4" w:space="0"/>
              <w:right w:val="single" w:color="auto" w:sz="4" w:space="0"/>
            </w:tcBorders>
            <w:noWrap w:val="0"/>
            <w:vAlign w:val="center"/>
          </w:tcPr>
          <w:p w14:paraId="4BBCE2B3">
            <w:pPr>
              <w:kinsoku w:val="0"/>
              <w:overflowPunct w:val="0"/>
              <w:autoSpaceDE w:val="0"/>
              <w:autoSpaceDN w:val="0"/>
              <w:adjustRightInd w:val="0"/>
              <w:snapToGrid w:val="0"/>
              <w:spacing w:line="360" w:lineRule="auto"/>
              <w:textAlignment w:val="bottom"/>
              <w:outlineLvl w:val="9"/>
              <w:rPr>
                <w:rFonts w:hint="eastAsia" w:ascii="宋体" w:hAnsi="宋体" w:eastAsia="宋体" w:cs="宋体"/>
                <w:color w:val="auto"/>
                <w:sz w:val="21"/>
                <w:szCs w:val="21"/>
              </w:rPr>
            </w:pPr>
            <w:r>
              <w:rPr>
                <w:rFonts w:hint="eastAsia" w:ascii="宋体" w:hAnsi="宋体" w:eastAsia="宋体" w:cs="宋体"/>
                <w:color w:val="auto"/>
                <w:sz w:val="21"/>
                <w:szCs w:val="21"/>
              </w:rPr>
              <w:t>投标文件格式及递交方式 ：</w:t>
            </w:r>
          </w:p>
          <w:p w14:paraId="64233A26">
            <w:pPr>
              <w:kinsoku w:val="0"/>
              <w:overflowPunct w:val="0"/>
              <w:autoSpaceDE w:val="0"/>
              <w:autoSpaceDN w:val="0"/>
              <w:adjustRightInd w:val="0"/>
              <w:snapToGrid w:val="0"/>
              <w:spacing w:line="360" w:lineRule="auto"/>
              <w:ind w:firstLine="420" w:firstLineChars="200"/>
              <w:textAlignment w:val="bottom"/>
              <w:outlineLvl w:val="9"/>
              <w:rPr>
                <w:rFonts w:hint="eastAsia" w:ascii="宋体" w:hAnsi="宋体" w:eastAsia="宋体" w:cs="宋体"/>
                <w:color w:val="auto"/>
                <w:sz w:val="21"/>
                <w:szCs w:val="21"/>
              </w:rPr>
            </w:pPr>
            <w:r>
              <w:rPr>
                <w:rFonts w:hint="eastAsia" w:ascii="宋体" w:hAnsi="宋体" w:eastAsia="宋体" w:cs="宋体"/>
                <w:color w:val="auto"/>
                <w:sz w:val="21"/>
                <w:szCs w:val="21"/>
              </w:rPr>
              <w:t>1、生成的电子版投标文件中的主文件（项目文件格式为：xxx公司_ 项目名称.file）上传至平顶山市公共资源交易中心交易系统。</w:t>
            </w:r>
          </w:p>
          <w:p w14:paraId="5B91EA28">
            <w:pPr>
              <w:kinsoku w:val="0"/>
              <w:overflowPunct w:val="0"/>
              <w:autoSpaceDE w:val="0"/>
              <w:autoSpaceDN w:val="0"/>
              <w:adjustRightInd w:val="0"/>
              <w:snapToGrid w:val="0"/>
              <w:spacing w:line="360" w:lineRule="auto"/>
              <w:ind w:firstLine="420" w:firstLineChars="200"/>
              <w:textAlignment w:val="bottom"/>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2、开标时，由供应商使用CA证书，在规定时间内对其电子化投标文件进行解密。</w:t>
            </w:r>
          </w:p>
          <w:p w14:paraId="6BE103DF">
            <w:pPr>
              <w:kinsoku w:val="0"/>
              <w:overflowPunct w:val="0"/>
              <w:autoSpaceDE w:val="0"/>
              <w:autoSpaceDN w:val="0"/>
              <w:adjustRightInd w:val="0"/>
              <w:snapToGrid w:val="0"/>
              <w:spacing w:line="360" w:lineRule="auto"/>
              <w:ind w:firstLine="422" w:firstLineChars="200"/>
              <w:outlineLvl w:val="9"/>
              <w:rPr>
                <w:rFonts w:hint="eastAsia" w:ascii="宋体" w:hAnsi="宋体" w:eastAsia="宋体" w:cs="宋体"/>
                <w:color w:val="auto"/>
                <w:kern w:val="0"/>
                <w:sz w:val="21"/>
                <w:szCs w:val="21"/>
              </w:rPr>
            </w:pPr>
            <w:r>
              <w:rPr>
                <w:rFonts w:hint="eastAsia" w:ascii="宋体" w:hAnsi="宋体" w:eastAsia="宋体" w:cs="宋体"/>
                <w:b/>
                <w:bCs/>
                <w:color w:val="auto"/>
                <w:sz w:val="21"/>
                <w:szCs w:val="21"/>
              </w:rPr>
              <w:t>注：如按照电子化投标操作教材制作完成的电子化投标文件无法上传的，供应商应在投标截止时间前尽早的联系中心技术人员，以便有充分的时间进行处理。供应商应充分考虑到处理技术问题和上传数据等工作所需的时间问题，投标文件未在投标截止时间前成功上传的，其投标文件不予接收。</w:t>
            </w:r>
          </w:p>
        </w:tc>
      </w:tr>
      <w:tr w14:paraId="37E27C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14:paraId="1B38D895">
            <w:pPr>
              <w:kinsoku w:val="0"/>
              <w:overflowPunct w:val="0"/>
              <w:autoSpaceDE w:val="0"/>
              <w:autoSpaceDN w:val="0"/>
              <w:adjustRightInd w:val="0"/>
              <w:snapToGrid w:val="0"/>
              <w:spacing w:line="360" w:lineRule="auto"/>
              <w:jc w:val="center"/>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19</w:t>
            </w:r>
          </w:p>
        </w:tc>
        <w:tc>
          <w:tcPr>
            <w:tcW w:w="9084" w:type="dxa"/>
            <w:gridSpan w:val="2"/>
            <w:tcBorders>
              <w:top w:val="single" w:color="auto" w:sz="4" w:space="0"/>
              <w:left w:val="nil"/>
              <w:bottom w:val="single" w:color="auto" w:sz="4" w:space="0"/>
              <w:right w:val="single" w:color="auto" w:sz="4" w:space="0"/>
            </w:tcBorders>
            <w:noWrap w:val="0"/>
            <w:vAlign w:val="center"/>
          </w:tcPr>
          <w:p w14:paraId="17F7B434">
            <w:pPr>
              <w:pStyle w:val="9"/>
              <w:kinsoku w:val="0"/>
              <w:overflowPunct w:val="0"/>
              <w:autoSpaceDE w:val="0"/>
              <w:autoSpaceDN w:val="0"/>
              <w:adjustRightInd w:val="0"/>
              <w:snapToGrid w:val="0"/>
              <w:spacing w:line="360" w:lineRule="auto"/>
              <w:ind w:left="0" w:leftChars="0" w:firstLine="420" w:firstLineChars="200"/>
              <w:outlineLvl w:val="9"/>
              <w:rPr>
                <w:rFonts w:hint="eastAsia" w:ascii="宋体" w:hAnsi="宋体" w:eastAsia="宋体" w:cs="宋体"/>
                <w:color w:val="auto"/>
                <w:sz w:val="21"/>
                <w:szCs w:val="21"/>
              </w:rPr>
            </w:pPr>
            <w:r>
              <w:rPr>
                <w:rFonts w:hint="eastAsia" w:ascii="宋体" w:hAnsi="宋体" w:eastAsia="宋体" w:cs="宋体"/>
                <w:color w:val="auto"/>
                <w:sz w:val="21"/>
                <w:szCs w:val="21"/>
              </w:rPr>
              <w:t>投标文件上传截止时间：</w:t>
            </w:r>
            <w:r>
              <w:rPr>
                <w:rFonts w:hint="eastAsia" w:ascii="宋体" w:hAnsi="宋体" w:eastAsia="宋体" w:cs="宋体"/>
                <w:color w:val="auto"/>
                <w:sz w:val="24"/>
                <w:szCs w:val="24"/>
                <w:highlight w:val="none"/>
              </w:rPr>
              <w:t>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时</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r>
      <w:tr w14:paraId="42FD5D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14:paraId="077C2744">
            <w:pPr>
              <w:kinsoku w:val="0"/>
              <w:overflowPunct w:val="0"/>
              <w:autoSpaceDE w:val="0"/>
              <w:autoSpaceDN w:val="0"/>
              <w:adjustRightInd w:val="0"/>
              <w:snapToGrid w:val="0"/>
              <w:spacing w:line="360" w:lineRule="auto"/>
              <w:jc w:val="center"/>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w:t>
            </w:r>
          </w:p>
        </w:tc>
        <w:tc>
          <w:tcPr>
            <w:tcW w:w="9084" w:type="dxa"/>
            <w:gridSpan w:val="2"/>
            <w:tcBorders>
              <w:top w:val="single" w:color="auto" w:sz="4" w:space="0"/>
              <w:left w:val="nil"/>
              <w:bottom w:val="single" w:color="auto" w:sz="4" w:space="0"/>
              <w:right w:val="single" w:color="auto" w:sz="4" w:space="0"/>
            </w:tcBorders>
            <w:noWrap w:val="0"/>
            <w:vAlign w:val="center"/>
          </w:tcPr>
          <w:p w14:paraId="69179E7B">
            <w:pPr>
              <w:pStyle w:val="9"/>
              <w:kinsoku w:val="0"/>
              <w:overflowPunct w:val="0"/>
              <w:autoSpaceDE w:val="0"/>
              <w:autoSpaceDN w:val="0"/>
              <w:adjustRightInd w:val="0"/>
              <w:snapToGrid w:val="0"/>
              <w:spacing w:line="360" w:lineRule="auto"/>
              <w:ind w:left="0" w:leftChars="0" w:firstLine="420" w:firstLineChars="200"/>
              <w:outlineLvl w:val="9"/>
              <w:rPr>
                <w:rFonts w:hint="eastAsia" w:ascii="宋体" w:hAnsi="宋体" w:eastAsia="宋体" w:cs="宋体"/>
                <w:color w:val="auto"/>
                <w:sz w:val="21"/>
                <w:szCs w:val="21"/>
              </w:rPr>
            </w:pPr>
            <w:r>
              <w:rPr>
                <w:rFonts w:hint="eastAsia" w:ascii="宋体" w:hAnsi="宋体" w:eastAsia="宋体" w:cs="宋体"/>
                <w:color w:val="auto"/>
                <w:sz w:val="21"/>
                <w:szCs w:val="21"/>
              </w:rPr>
              <w:t>投标文件上传地点：《全国公共资源交易平台(河南省▪平顶山市)》公共资源交易系统</w:t>
            </w:r>
          </w:p>
        </w:tc>
      </w:tr>
      <w:tr w14:paraId="024063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14:paraId="577B2B92">
            <w:pPr>
              <w:kinsoku w:val="0"/>
              <w:overflowPunct w:val="0"/>
              <w:autoSpaceDE w:val="0"/>
              <w:autoSpaceDN w:val="0"/>
              <w:adjustRightInd w:val="0"/>
              <w:snapToGrid w:val="0"/>
              <w:spacing w:line="360" w:lineRule="auto"/>
              <w:jc w:val="center"/>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21</w:t>
            </w:r>
          </w:p>
        </w:tc>
        <w:tc>
          <w:tcPr>
            <w:tcW w:w="9084" w:type="dxa"/>
            <w:gridSpan w:val="2"/>
            <w:tcBorders>
              <w:top w:val="single" w:color="auto" w:sz="4" w:space="0"/>
              <w:left w:val="nil"/>
              <w:bottom w:val="single" w:color="auto" w:sz="4" w:space="0"/>
              <w:right w:val="single" w:color="auto" w:sz="4" w:space="0"/>
            </w:tcBorders>
            <w:noWrap w:val="0"/>
            <w:vAlign w:val="center"/>
          </w:tcPr>
          <w:p w14:paraId="347584C7">
            <w:pPr>
              <w:shd w:val="clear" w:color="auto" w:fill="FFFFFF"/>
              <w:kinsoku w:val="0"/>
              <w:overflowPunct w:val="0"/>
              <w:autoSpaceDE w:val="0"/>
              <w:autoSpaceDN w:val="0"/>
              <w:adjustRightInd w:val="0"/>
              <w:snapToGrid w:val="0"/>
              <w:spacing w:line="360" w:lineRule="auto"/>
              <w:ind w:firstLine="420" w:firstLineChars="200"/>
              <w:outlineLvl w:val="9"/>
              <w:rPr>
                <w:rFonts w:hint="eastAsia" w:ascii="宋体" w:hAnsi="宋体" w:eastAsia="宋体" w:cs="宋体"/>
                <w:color w:val="auto"/>
                <w:sz w:val="21"/>
                <w:szCs w:val="21"/>
              </w:rPr>
            </w:pPr>
            <w:r>
              <w:rPr>
                <w:rFonts w:hint="eastAsia" w:ascii="宋体" w:hAnsi="宋体" w:eastAsia="宋体" w:cs="宋体"/>
                <w:color w:val="auto"/>
                <w:sz w:val="21"/>
                <w:szCs w:val="21"/>
              </w:rPr>
              <w:t>开标时间：</w:t>
            </w:r>
            <w:r>
              <w:rPr>
                <w:rFonts w:hint="eastAsia" w:ascii="宋体" w:hAnsi="宋体" w:eastAsia="宋体" w:cs="宋体"/>
                <w:color w:val="auto"/>
                <w:sz w:val="24"/>
                <w:szCs w:val="24"/>
                <w:highlight w:val="none"/>
              </w:rPr>
              <w:t>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时</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p w14:paraId="3FEA63B6">
            <w:pPr>
              <w:shd w:val="clear" w:color="auto" w:fill="FFFFFF"/>
              <w:kinsoku w:val="0"/>
              <w:overflowPunct w:val="0"/>
              <w:autoSpaceDE w:val="0"/>
              <w:autoSpaceDN w:val="0"/>
              <w:adjustRightInd w:val="0"/>
              <w:snapToGrid w:val="0"/>
              <w:spacing w:line="360" w:lineRule="auto"/>
              <w:ind w:firstLine="420" w:firstLineChars="200"/>
              <w:outlineLvl w:val="9"/>
              <w:rPr>
                <w:rFonts w:hint="eastAsia" w:ascii="宋体" w:hAnsi="宋体" w:eastAsia="宋体" w:cs="宋体"/>
                <w:color w:val="auto"/>
                <w:spacing w:val="8"/>
                <w:kern w:val="0"/>
                <w:sz w:val="21"/>
                <w:szCs w:val="21"/>
              </w:rPr>
            </w:pPr>
            <w:r>
              <w:rPr>
                <w:rFonts w:hint="eastAsia" w:ascii="宋体" w:hAnsi="宋体" w:eastAsia="宋体" w:cs="宋体"/>
                <w:bCs/>
                <w:color w:val="auto"/>
                <w:sz w:val="21"/>
                <w:szCs w:val="21"/>
              </w:rPr>
              <w:t>开标地点：</w:t>
            </w:r>
            <w:r>
              <w:rPr>
                <w:rFonts w:hint="eastAsia" w:ascii="宋体" w:hAnsi="宋体" w:eastAsia="宋体" w:cs="宋体"/>
                <w:color w:val="auto"/>
                <w:spacing w:val="8"/>
                <w:kern w:val="0"/>
                <w:sz w:val="21"/>
                <w:szCs w:val="21"/>
              </w:rPr>
              <w:t>平顶山市公共资源交易中心电子交易系统中。</w:t>
            </w:r>
          </w:p>
          <w:p w14:paraId="620646DB">
            <w:pPr>
              <w:shd w:val="clear" w:color="auto" w:fill="FFFFFF"/>
              <w:kinsoku w:val="0"/>
              <w:overflowPunct w:val="0"/>
              <w:autoSpaceDE w:val="0"/>
              <w:autoSpaceDN w:val="0"/>
              <w:adjustRightInd w:val="0"/>
              <w:snapToGrid w:val="0"/>
              <w:spacing w:line="360" w:lineRule="auto"/>
              <w:ind w:firstLine="454" w:firstLineChars="200"/>
              <w:outlineLvl w:val="9"/>
              <w:rPr>
                <w:rFonts w:hint="eastAsia" w:ascii="宋体" w:hAnsi="宋体" w:eastAsia="宋体" w:cs="宋体"/>
                <w:color w:val="auto"/>
                <w:sz w:val="21"/>
                <w:szCs w:val="21"/>
              </w:rPr>
            </w:pPr>
            <w:r>
              <w:rPr>
                <w:rFonts w:hint="eastAsia" w:ascii="宋体" w:hAnsi="宋体" w:eastAsia="宋体" w:cs="宋体"/>
                <w:b/>
                <w:color w:val="auto"/>
                <w:spacing w:val="8"/>
                <w:kern w:val="0"/>
                <w:sz w:val="21"/>
                <w:szCs w:val="21"/>
              </w:rPr>
              <w:t>注：</w:t>
            </w:r>
            <w:r>
              <w:rPr>
                <w:rFonts w:hint="eastAsia" w:ascii="宋体" w:hAnsi="宋体" w:eastAsia="宋体" w:cs="宋体"/>
                <w:b/>
                <w:color w:val="auto"/>
                <w:sz w:val="21"/>
                <w:szCs w:val="21"/>
              </w:rPr>
              <w:t>全面实行在线“不见面”开标，投标人远程在线解密投标文件，不再到开标现场，投标人开标前应仔细阅读《“不见面”开标注意事项及操作流程》。</w:t>
            </w:r>
          </w:p>
        </w:tc>
      </w:tr>
      <w:tr w14:paraId="36AE4B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14:paraId="22CA5D47">
            <w:pPr>
              <w:kinsoku w:val="0"/>
              <w:overflowPunct w:val="0"/>
              <w:autoSpaceDE w:val="0"/>
              <w:autoSpaceDN w:val="0"/>
              <w:adjustRightInd w:val="0"/>
              <w:snapToGrid w:val="0"/>
              <w:spacing w:line="360" w:lineRule="auto"/>
              <w:jc w:val="center"/>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22</w:t>
            </w:r>
          </w:p>
        </w:tc>
        <w:tc>
          <w:tcPr>
            <w:tcW w:w="9084" w:type="dxa"/>
            <w:gridSpan w:val="2"/>
            <w:tcBorders>
              <w:top w:val="single" w:color="auto" w:sz="4" w:space="0"/>
              <w:left w:val="nil"/>
              <w:bottom w:val="single" w:color="auto" w:sz="4" w:space="0"/>
              <w:right w:val="single" w:color="auto" w:sz="4" w:space="0"/>
            </w:tcBorders>
            <w:noWrap w:val="0"/>
            <w:vAlign w:val="center"/>
          </w:tcPr>
          <w:p w14:paraId="23B2EF1B">
            <w:pPr>
              <w:kinsoku w:val="0"/>
              <w:overflowPunct w:val="0"/>
              <w:autoSpaceDE w:val="0"/>
              <w:autoSpaceDN w:val="0"/>
              <w:adjustRightInd w:val="0"/>
              <w:snapToGrid w:val="0"/>
              <w:spacing w:line="360" w:lineRule="auto"/>
              <w:ind w:firstLine="315" w:firstLineChars="150"/>
              <w:textAlignment w:val="bottom"/>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评标办法：采用综合评分法。</w:t>
            </w:r>
          </w:p>
        </w:tc>
      </w:tr>
      <w:tr w14:paraId="15832A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14:paraId="55045854">
            <w:pPr>
              <w:kinsoku w:val="0"/>
              <w:overflowPunct w:val="0"/>
              <w:autoSpaceDE w:val="0"/>
              <w:autoSpaceDN w:val="0"/>
              <w:adjustRightInd w:val="0"/>
              <w:snapToGrid w:val="0"/>
              <w:spacing w:line="360" w:lineRule="auto"/>
              <w:jc w:val="center"/>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23</w:t>
            </w:r>
          </w:p>
        </w:tc>
        <w:tc>
          <w:tcPr>
            <w:tcW w:w="9084" w:type="dxa"/>
            <w:gridSpan w:val="2"/>
            <w:tcBorders>
              <w:top w:val="single" w:color="auto" w:sz="4" w:space="0"/>
              <w:left w:val="nil"/>
              <w:bottom w:val="single" w:color="auto" w:sz="4" w:space="0"/>
              <w:right w:val="single" w:color="auto" w:sz="4" w:space="0"/>
            </w:tcBorders>
            <w:noWrap w:val="0"/>
            <w:vAlign w:val="center"/>
          </w:tcPr>
          <w:p w14:paraId="1259EE9D">
            <w:pPr>
              <w:kinsoku w:val="0"/>
              <w:overflowPunct w:val="0"/>
              <w:autoSpaceDE w:val="0"/>
              <w:autoSpaceDN w:val="0"/>
              <w:adjustRightInd w:val="0"/>
              <w:snapToGrid w:val="0"/>
              <w:spacing w:line="360" w:lineRule="auto"/>
              <w:ind w:firstLine="420" w:firstLineChars="200"/>
              <w:textAlignment w:val="bottom"/>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成交</w:t>
            </w:r>
            <w:r>
              <w:rPr>
                <w:rFonts w:hint="eastAsia" w:ascii="宋体" w:hAnsi="宋体" w:eastAsia="宋体" w:cs="宋体"/>
                <w:color w:val="auto"/>
                <w:kern w:val="0"/>
                <w:sz w:val="21"/>
                <w:szCs w:val="21"/>
              </w:rPr>
              <w:t>公告及</w:t>
            </w:r>
            <w:r>
              <w:rPr>
                <w:rFonts w:hint="eastAsia" w:ascii="宋体" w:hAnsi="宋体" w:eastAsia="宋体" w:cs="宋体"/>
                <w:color w:val="auto"/>
                <w:kern w:val="0"/>
                <w:sz w:val="21"/>
                <w:szCs w:val="21"/>
                <w:lang w:val="en-US" w:eastAsia="zh-CN"/>
              </w:rPr>
              <w:t>成交</w:t>
            </w:r>
            <w:r>
              <w:rPr>
                <w:rFonts w:hint="eastAsia" w:ascii="宋体" w:hAnsi="宋体" w:eastAsia="宋体" w:cs="宋体"/>
                <w:color w:val="auto"/>
                <w:kern w:val="0"/>
                <w:sz w:val="21"/>
                <w:szCs w:val="21"/>
              </w:rPr>
              <w:t>通知书：由采购人授权评标委员会直接确定3名</w:t>
            </w:r>
            <w:r>
              <w:rPr>
                <w:rFonts w:hint="eastAsia" w:ascii="宋体" w:hAnsi="宋体" w:eastAsia="宋体" w:cs="宋体"/>
                <w:color w:val="auto"/>
                <w:kern w:val="0"/>
                <w:sz w:val="21"/>
                <w:szCs w:val="21"/>
                <w:lang w:val="en-US" w:eastAsia="zh-CN"/>
              </w:rPr>
              <w:t>成交</w:t>
            </w:r>
            <w:r>
              <w:rPr>
                <w:rFonts w:hint="eastAsia" w:ascii="宋体" w:hAnsi="宋体" w:eastAsia="宋体" w:cs="宋体"/>
                <w:color w:val="auto"/>
                <w:kern w:val="0"/>
                <w:sz w:val="21"/>
                <w:szCs w:val="21"/>
              </w:rPr>
              <w:t>候选供应商。评审结束后，采购代理机构在</w:t>
            </w:r>
            <w:r>
              <w:rPr>
                <w:rFonts w:hint="eastAsia" w:ascii="宋体" w:hAnsi="宋体" w:eastAsia="宋体" w:cs="宋体"/>
                <w:color w:val="auto"/>
                <w:sz w:val="21"/>
                <w:szCs w:val="21"/>
              </w:rPr>
              <w:t>《河南省政府采购网》、《平顶山市政府采购网》、《全国公共资源交易平台（河南省•平顶山市）》</w:t>
            </w:r>
            <w:r>
              <w:rPr>
                <w:rFonts w:hint="eastAsia" w:ascii="宋体" w:hAnsi="宋体" w:eastAsia="宋体" w:cs="宋体"/>
                <w:color w:val="auto"/>
                <w:kern w:val="0"/>
                <w:sz w:val="21"/>
                <w:szCs w:val="21"/>
              </w:rPr>
              <w:t>发布</w:t>
            </w:r>
            <w:r>
              <w:rPr>
                <w:rFonts w:hint="eastAsia" w:ascii="宋体" w:hAnsi="宋体" w:eastAsia="宋体" w:cs="宋体"/>
                <w:color w:val="auto"/>
                <w:kern w:val="0"/>
                <w:sz w:val="21"/>
                <w:szCs w:val="21"/>
                <w:lang w:val="en-US" w:eastAsia="zh-CN"/>
              </w:rPr>
              <w:t>成交</w:t>
            </w:r>
            <w:r>
              <w:rPr>
                <w:rFonts w:hint="eastAsia" w:ascii="宋体" w:hAnsi="宋体" w:eastAsia="宋体" w:cs="宋体"/>
                <w:color w:val="auto"/>
                <w:kern w:val="0"/>
                <w:sz w:val="21"/>
                <w:szCs w:val="21"/>
              </w:rPr>
              <w:t>公告。</w:t>
            </w:r>
          </w:p>
        </w:tc>
      </w:tr>
      <w:tr w14:paraId="363BCC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14:paraId="70C1FBDF">
            <w:pPr>
              <w:kinsoku w:val="0"/>
              <w:overflowPunct w:val="0"/>
              <w:autoSpaceDE w:val="0"/>
              <w:autoSpaceDN w:val="0"/>
              <w:adjustRightInd w:val="0"/>
              <w:snapToGrid w:val="0"/>
              <w:spacing w:line="360" w:lineRule="auto"/>
              <w:jc w:val="center"/>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24</w:t>
            </w:r>
          </w:p>
        </w:tc>
        <w:tc>
          <w:tcPr>
            <w:tcW w:w="9084" w:type="dxa"/>
            <w:gridSpan w:val="2"/>
            <w:tcBorders>
              <w:top w:val="single" w:color="auto" w:sz="4" w:space="0"/>
              <w:left w:val="nil"/>
              <w:bottom w:val="single" w:color="auto" w:sz="4" w:space="0"/>
              <w:right w:val="single" w:color="auto" w:sz="4" w:space="0"/>
            </w:tcBorders>
            <w:noWrap w:val="0"/>
            <w:vAlign w:val="center"/>
          </w:tcPr>
          <w:p w14:paraId="64C29EC0">
            <w:pPr>
              <w:kinsoku w:val="0"/>
              <w:overflowPunct w:val="0"/>
              <w:autoSpaceDE w:val="0"/>
              <w:autoSpaceDN w:val="0"/>
              <w:adjustRightInd w:val="0"/>
              <w:snapToGrid w:val="0"/>
              <w:spacing w:line="360" w:lineRule="auto"/>
              <w:ind w:firstLine="420" w:firstLineChars="200"/>
              <w:textAlignment w:val="bottom"/>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签订合同：</w:t>
            </w:r>
            <w:r>
              <w:rPr>
                <w:rFonts w:hint="eastAsia" w:ascii="宋体" w:hAnsi="宋体" w:eastAsia="宋体" w:cs="宋体"/>
                <w:color w:val="auto"/>
                <w:kern w:val="0"/>
                <w:sz w:val="21"/>
                <w:szCs w:val="21"/>
                <w:lang w:val="en-US" w:eastAsia="zh-CN"/>
              </w:rPr>
              <w:t>成交</w:t>
            </w:r>
            <w:r>
              <w:rPr>
                <w:rFonts w:hint="eastAsia" w:ascii="宋体" w:hAnsi="宋体" w:eastAsia="宋体" w:cs="宋体"/>
                <w:color w:val="auto"/>
                <w:kern w:val="0"/>
                <w:sz w:val="21"/>
                <w:szCs w:val="21"/>
              </w:rPr>
              <w:t>通知书发出后</w:t>
            </w:r>
            <w:r>
              <w:rPr>
                <w:rFonts w:hint="eastAsia" w:ascii="宋体" w:hAnsi="宋体" w:eastAsia="宋体" w:cs="宋体"/>
                <w:color w:val="auto"/>
                <w:kern w:val="0"/>
                <w:sz w:val="21"/>
                <w:szCs w:val="21"/>
                <w:u w:val="single"/>
              </w:rPr>
              <w:t xml:space="preserve"> </w:t>
            </w:r>
            <w:r>
              <w:rPr>
                <w:rFonts w:hint="eastAsia" w:ascii="宋体" w:hAnsi="宋体" w:cs="宋体"/>
                <w:color w:val="auto"/>
                <w:kern w:val="0"/>
                <w:sz w:val="21"/>
                <w:szCs w:val="21"/>
                <w:u w:val="single"/>
                <w:lang w:val="en-US" w:eastAsia="zh-CN"/>
              </w:rPr>
              <w:t>30</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日内。</w:t>
            </w:r>
          </w:p>
        </w:tc>
      </w:tr>
      <w:tr w14:paraId="5389E4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14:paraId="677305FE">
            <w:pPr>
              <w:kinsoku w:val="0"/>
              <w:overflowPunct w:val="0"/>
              <w:autoSpaceDE w:val="0"/>
              <w:autoSpaceDN w:val="0"/>
              <w:adjustRightInd w:val="0"/>
              <w:snapToGrid w:val="0"/>
              <w:spacing w:line="360" w:lineRule="auto"/>
              <w:jc w:val="center"/>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25</w:t>
            </w:r>
          </w:p>
        </w:tc>
        <w:tc>
          <w:tcPr>
            <w:tcW w:w="9084" w:type="dxa"/>
            <w:gridSpan w:val="2"/>
            <w:tcBorders>
              <w:top w:val="single" w:color="auto" w:sz="4" w:space="0"/>
              <w:left w:val="nil"/>
              <w:bottom w:val="single" w:color="auto" w:sz="4" w:space="0"/>
              <w:right w:val="single" w:color="auto" w:sz="4" w:space="0"/>
            </w:tcBorders>
            <w:noWrap w:val="0"/>
            <w:vAlign w:val="center"/>
          </w:tcPr>
          <w:p w14:paraId="66FBB23C">
            <w:pPr>
              <w:kinsoku w:val="0"/>
              <w:overflowPunct w:val="0"/>
              <w:autoSpaceDE w:val="0"/>
              <w:autoSpaceDN w:val="0"/>
              <w:adjustRightInd w:val="0"/>
              <w:snapToGrid w:val="0"/>
              <w:spacing w:line="360" w:lineRule="auto"/>
              <w:ind w:firstLine="420" w:firstLineChars="200"/>
              <w:textAlignment w:val="bottom"/>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采购资金来源：</w:t>
            </w:r>
            <w:r>
              <w:rPr>
                <w:rFonts w:hint="eastAsia" w:ascii="宋体" w:hAnsi="宋体" w:eastAsia="宋体" w:cs="宋体"/>
                <w:color w:val="auto"/>
                <w:sz w:val="21"/>
                <w:szCs w:val="21"/>
              </w:rPr>
              <w:t>财政资金。</w:t>
            </w:r>
          </w:p>
        </w:tc>
      </w:tr>
      <w:tr w14:paraId="20AEFD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2"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14:paraId="7CB4C5E8">
            <w:pPr>
              <w:kinsoku w:val="0"/>
              <w:overflowPunct w:val="0"/>
              <w:autoSpaceDE w:val="0"/>
              <w:autoSpaceDN w:val="0"/>
              <w:adjustRightInd w:val="0"/>
              <w:snapToGrid w:val="0"/>
              <w:spacing w:line="360" w:lineRule="auto"/>
              <w:jc w:val="center"/>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26</w:t>
            </w:r>
          </w:p>
        </w:tc>
        <w:tc>
          <w:tcPr>
            <w:tcW w:w="9084" w:type="dxa"/>
            <w:gridSpan w:val="2"/>
            <w:tcBorders>
              <w:top w:val="single" w:color="auto" w:sz="4" w:space="0"/>
              <w:left w:val="nil"/>
              <w:bottom w:val="single" w:color="auto" w:sz="4" w:space="0"/>
              <w:right w:val="single" w:color="auto" w:sz="4" w:space="0"/>
            </w:tcBorders>
            <w:noWrap w:val="0"/>
            <w:vAlign w:val="center"/>
          </w:tcPr>
          <w:p w14:paraId="1C0461A0">
            <w:pPr>
              <w:kinsoku w:val="0"/>
              <w:overflowPunct w:val="0"/>
              <w:autoSpaceDE w:val="0"/>
              <w:autoSpaceDN w:val="0"/>
              <w:adjustRightInd w:val="0"/>
              <w:snapToGrid w:val="0"/>
              <w:spacing w:line="360" w:lineRule="auto"/>
              <w:ind w:firstLine="420" w:firstLineChars="200"/>
              <w:textAlignment w:val="bottom"/>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付款方式：本服务项目无预付款，按月支付，供应商每月月初向采购人开具上个月服务费用的正式发票，经甲方评价考核合格后，支付上月的服务费，依此类推。</w:t>
            </w:r>
          </w:p>
          <w:p w14:paraId="6DC5B09E">
            <w:pPr>
              <w:kinsoku w:val="0"/>
              <w:overflowPunct w:val="0"/>
              <w:autoSpaceDE w:val="0"/>
              <w:autoSpaceDN w:val="0"/>
              <w:adjustRightInd w:val="0"/>
              <w:snapToGrid w:val="0"/>
              <w:spacing w:line="360" w:lineRule="auto"/>
              <w:ind w:firstLine="420" w:firstLineChars="200"/>
              <w:textAlignment w:val="bottom"/>
              <w:outlineLvl w:val="9"/>
              <w:rPr>
                <w:rFonts w:hint="default" w:ascii="宋体" w:hAnsi="宋体" w:eastAsia="宋体" w:cs="宋体"/>
                <w:color w:val="auto"/>
                <w:sz w:val="21"/>
                <w:szCs w:val="21"/>
                <w:lang w:val="en-US" w:eastAsia="zh-CN"/>
              </w:rPr>
            </w:pPr>
            <w:r>
              <w:rPr>
                <w:rFonts w:hint="eastAsia" w:ascii="宋体" w:hAnsi="宋体" w:eastAsia="宋体" w:cs="宋体"/>
                <w:color w:val="auto"/>
                <w:kern w:val="0"/>
                <w:sz w:val="21"/>
                <w:szCs w:val="21"/>
              </w:rPr>
              <w:t>每月保安服务费=最终磋商报价（即合同总金额）÷24个月；</w:t>
            </w:r>
          </w:p>
        </w:tc>
      </w:tr>
      <w:tr w14:paraId="6BD163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2"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14:paraId="245F7A75">
            <w:pPr>
              <w:kinsoku w:val="0"/>
              <w:overflowPunct w:val="0"/>
              <w:autoSpaceDE w:val="0"/>
              <w:autoSpaceDN w:val="0"/>
              <w:adjustRightInd w:val="0"/>
              <w:snapToGrid w:val="0"/>
              <w:spacing w:line="360" w:lineRule="auto"/>
              <w:jc w:val="center"/>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27</w:t>
            </w:r>
          </w:p>
        </w:tc>
        <w:tc>
          <w:tcPr>
            <w:tcW w:w="9084" w:type="dxa"/>
            <w:gridSpan w:val="2"/>
            <w:tcBorders>
              <w:top w:val="single" w:color="auto" w:sz="4" w:space="0"/>
              <w:left w:val="nil"/>
              <w:bottom w:val="single" w:color="auto" w:sz="4" w:space="0"/>
              <w:right w:val="single" w:color="auto" w:sz="4" w:space="0"/>
            </w:tcBorders>
            <w:noWrap w:val="0"/>
            <w:vAlign w:val="center"/>
          </w:tcPr>
          <w:p w14:paraId="657BC06E">
            <w:pPr>
              <w:kinsoku w:val="0"/>
              <w:overflowPunct w:val="0"/>
              <w:autoSpaceDE w:val="0"/>
              <w:autoSpaceDN w:val="0"/>
              <w:adjustRightInd w:val="0"/>
              <w:snapToGrid w:val="0"/>
              <w:spacing w:line="360" w:lineRule="auto"/>
              <w:ind w:firstLine="420" w:firstLineChars="200"/>
              <w:textAlignment w:val="bottom"/>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竞争性磋商响应</w:t>
            </w:r>
            <w:r>
              <w:rPr>
                <w:rFonts w:hint="eastAsia" w:ascii="宋体" w:hAnsi="宋体" w:eastAsia="宋体" w:cs="宋体"/>
                <w:color w:val="auto"/>
                <w:kern w:val="0"/>
                <w:sz w:val="21"/>
                <w:szCs w:val="21"/>
              </w:rPr>
              <w:t>文件有效期：</w:t>
            </w:r>
            <w:bookmarkStart w:id="31" w:name="OLE_LINK7"/>
            <w:r>
              <w:rPr>
                <w:rFonts w:hint="eastAsia" w:ascii="宋体" w:hAnsi="宋体" w:eastAsia="宋体" w:cs="宋体"/>
                <w:color w:val="auto"/>
                <w:kern w:val="0"/>
                <w:sz w:val="21"/>
                <w:szCs w:val="21"/>
              </w:rPr>
              <w:t>投标截止期结束后90日。</w:t>
            </w:r>
            <w:r>
              <w:rPr>
                <w:rFonts w:hint="eastAsia" w:ascii="宋体" w:hAnsi="宋体" w:eastAsia="宋体" w:cs="宋体"/>
                <w:color w:val="auto"/>
                <w:kern w:val="0"/>
                <w:sz w:val="21"/>
                <w:szCs w:val="21"/>
                <w:lang w:val="en-US" w:eastAsia="zh-CN"/>
              </w:rPr>
              <w:t>成交</w:t>
            </w:r>
            <w:r>
              <w:rPr>
                <w:rFonts w:hint="eastAsia" w:ascii="宋体" w:hAnsi="宋体" w:eastAsia="宋体" w:cs="宋体"/>
                <w:color w:val="auto"/>
                <w:kern w:val="0"/>
                <w:sz w:val="21"/>
                <w:szCs w:val="21"/>
              </w:rPr>
              <w:t>供应商的</w:t>
            </w:r>
            <w:r>
              <w:rPr>
                <w:rFonts w:hint="eastAsia" w:ascii="宋体" w:hAnsi="宋体" w:eastAsia="宋体" w:cs="宋体"/>
                <w:color w:val="auto"/>
                <w:kern w:val="0"/>
                <w:sz w:val="21"/>
                <w:szCs w:val="21"/>
                <w:lang w:val="en-US" w:eastAsia="zh-CN"/>
              </w:rPr>
              <w:t>响应</w:t>
            </w:r>
            <w:r>
              <w:rPr>
                <w:rFonts w:hint="eastAsia" w:ascii="宋体" w:hAnsi="宋体" w:eastAsia="宋体" w:cs="宋体"/>
                <w:color w:val="auto"/>
                <w:kern w:val="0"/>
                <w:sz w:val="21"/>
                <w:szCs w:val="21"/>
              </w:rPr>
              <w:t>文件是合同的组成部分,有效期至合同完全履行止。</w:t>
            </w:r>
            <w:bookmarkEnd w:id="31"/>
          </w:p>
        </w:tc>
      </w:tr>
      <w:tr w14:paraId="49E018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14:paraId="4533E685">
            <w:pPr>
              <w:kinsoku w:val="0"/>
              <w:overflowPunct w:val="0"/>
              <w:autoSpaceDE w:val="0"/>
              <w:autoSpaceDN w:val="0"/>
              <w:adjustRightInd w:val="0"/>
              <w:snapToGrid w:val="0"/>
              <w:spacing w:line="360" w:lineRule="auto"/>
              <w:jc w:val="center"/>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28</w:t>
            </w:r>
          </w:p>
        </w:tc>
        <w:tc>
          <w:tcPr>
            <w:tcW w:w="9084" w:type="dxa"/>
            <w:gridSpan w:val="2"/>
            <w:tcBorders>
              <w:top w:val="single" w:color="auto" w:sz="4" w:space="0"/>
              <w:left w:val="nil"/>
              <w:bottom w:val="single" w:color="auto" w:sz="4" w:space="0"/>
              <w:right w:val="single" w:color="auto" w:sz="4" w:space="0"/>
            </w:tcBorders>
            <w:noWrap w:val="0"/>
            <w:vAlign w:val="center"/>
          </w:tcPr>
          <w:p w14:paraId="200D4983">
            <w:pPr>
              <w:adjustRightInd w:val="0"/>
              <w:spacing w:line="380" w:lineRule="exact"/>
              <w:ind w:firstLine="420" w:firstLineChars="200"/>
              <w:jc w:val="left"/>
              <w:textAlignment w:val="baseline"/>
              <w:outlineLvl w:val="9"/>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对中小微、监狱、残福企业的优惠政策：</w:t>
            </w:r>
          </w:p>
          <w:p w14:paraId="4EF23C69">
            <w:pPr>
              <w:adjustRightInd w:val="0"/>
              <w:spacing w:line="380" w:lineRule="exact"/>
              <w:ind w:firstLine="420" w:firstLineChars="200"/>
              <w:jc w:val="left"/>
              <w:textAlignment w:val="baseline"/>
              <w:outlineLvl w:val="9"/>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根据财政部、工信部关于印发《政府采购促进中小企业发展管理办法》的通知(财库(2020)46号)文件、关于进一步加大政府采购支持中小企业力度的通知</w:t>
            </w:r>
            <w:r>
              <w:rPr>
                <w:rFonts w:hint="eastAsia" w:ascii="宋体" w:hAnsi="宋体" w:cs="宋体"/>
                <w:color w:val="auto"/>
                <w:sz w:val="21"/>
                <w:szCs w:val="21"/>
                <w:lang w:val="en-US" w:eastAsia="zh-CN" w:bidi="ar"/>
              </w:rPr>
              <w:t xml:space="preserve"> </w:t>
            </w:r>
            <w:r>
              <w:rPr>
                <w:rFonts w:hint="eastAsia" w:ascii="宋体" w:hAnsi="宋体" w:eastAsia="宋体" w:cs="宋体"/>
                <w:color w:val="auto"/>
                <w:sz w:val="21"/>
                <w:szCs w:val="21"/>
                <w:lang w:bidi="ar"/>
              </w:rPr>
              <w:t>财库〔2022〕19</w:t>
            </w:r>
            <w:r>
              <w:rPr>
                <w:rFonts w:hint="eastAsia" w:ascii="宋体" w:hAnsi="宋体" w:eastAsia="宋体" w:cs="宋体"/>
                <w:color w:val="auto"/>
                <w:sz w:val="21"/>
                <w:szCs w:val="21"/>
              </w:rPr>
              <w:t>号</w:t>
            </w:r>
            <w:r>
              <w:rPr>
                <w:rFonts w:hint="eastAsia" w:ascii="宋体" w:hAnsi="宋体" w:eastAsia="宋体" w:cs="宋体"/>
                <w:color w:val="auto"/>
                <w:sz w:val="21"/>
                <w:szCs w:val="21"/>
                <w:lang w:bidi="ar"/>
              </w:rPr>
              <w:t>规定</w:t>
            </w:r>
          </w:p>
          <w:p w14:paraId="40A0341F">
            <w:pPr>
              <w:adjustRightInd w:val="0"/>
              <w:spacing w:line="380" w:lineRule="exact"/>
              <w:ind w:firstLine="420" w:firstLineChars="200"/>
              <w:jc w:val="left"/>
              <w:textAlignment w:val="baseline"/>
              <w:outlineLvl w:val="9"/>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1、对符合规定的小微企业报价给20%的扣除。（适用于非单独面向中小企业采购项目）</w:t>
            </w:r>
          </w:p>
          <w:p w14:paraId="07FDF1F3">
            <w:pPr>
              <w:adjustRightInd w:val="0"/>
              <w:spacing w:line="380" w:lineRule="exact"/>
              <w:ind w:firstLine="420" w:firstLineChars="200"/>
              <w:jc w:val="left"/>
              <w:textAlignment w:val="baseline"/>
              <w:outlineLvl w:val="9"/>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2、本办法所称中小企业(含中型、小型、微型企业，下同)应当同时符合以下条件</w:t>
            </w:r>
          </w:p>
          <w:p w14:paraId="216474D9">
            <w:pPr>
              <w:adjustRightInd w:val="0"/>
              <w:spacing w:line="380" w:lineRule="exact"/>
              <w:ind w:firstLine="420" w:firstLineChars="200"/>
              <w:jc w:val="left"/>
              <w:textAlignment w:val="baseline"/>
              <w:outlineLvl w:val="9"/>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(1)符合中小企业划分标准;</w:t>
            </w:r>
          </w:p>
          <w:p w14:paraId="790B6AEE">
            <w:pPr>
              <w:adjustRightInd w:val="0"/>
              <w:spacing w:line="380" w:lineRule="exact"/>
              <w:ind w:firstLine="420" w:firstLineChars="200"/>
              <w:jc w:val="left"/>
              <w:textAlignment w:val="baseline"/>
              <w:outlineLvl w:val="9"/>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(2)提供本企业制造的货物、承担的工程或者服务，或者提供其他中小企业制造的货物。本项所称货物不包括使用大型企业注册商标的货物。</w:t>
            </w:r>
          </w:p>
          <w:p w14:paraId="7E468EA2">
            <w:pPr>
              <w:adjustRightInd w:val="0"/>
              <w:spacing w:line="380" w:lineRule="exact"/>
              <w:ind w:firstLine="420" w:firstLineChars="200"/>
              <w:jc w:val="left"/>
              <w:textAlignment w:val="baseline"/>
              <w:outlineLvl w:val="9"/>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本办法所称中小企业划分标准，是指国务院有关部门根据企业从业人员、营业收入、资产总额制定的中小企业划型标准</w:t>
            </w:r>
          </w:p>
          <w:p w14:paraId="23CAE6EB">
            <w:pPr>
              <w:adjustRightInd w:val="0"/>
              <w:spacing w:line="380" w:lineRule="exact"/>
              <w:ind w:firstLine="420" w:firstLineChars="200"/>
              <w:jc w:val="left"/>
              <w:textAlignment w:val="baseline"/>
              <w:outlineLvl w:val="9"/>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3、小型、微型企业提供中型企业制造的货物的，视同为中型企业。</w:t>
            </w:r>
          </w:p>
          <w:p w14:paraId="359DD8C4">
            <w:pPr>
              <w:adjustRightInd w:val="0"/>
              <w:spacing w:line="380" w:lineRule="exact"/>
              <w:ind w:firstLine="420" w:firstLineChars="200"/>
              <w:jc w:val="left"/>
              <w:textAlignment w:val="baseline"/>
              <w:outlineLvl w:val="9"/>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4、供应商应在分项报价表中写明符合上述条件的属于小型和微型企业产品的单价、合价和小计，并如实填写“小微企业声明函”，否则在价格评审时不予考虑价格扣除。</w:t>
            </w:r>
          </w:p>
          <w:p w14:paraId="233770A1">
            <w:pPr>
              <w:adjustRightInd w:val="0"/>
              <w:spacing w:line="380" w:lineRule="exact"/>
              <w:ind w:firstLine="420" w:firstLineChars="200"/>
              <w:jc w:val="left"/>
              <w:textAlignment w:val="baseline"/>
              <w:outlineLvl w:val="9"/>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5、关于监狱企业：视同小微企业。须提供由省级以上监狱管理局、戒毒管理局(含新疆生产建设兵团)出具的属于监狱企业的证明文件，否则不考虑价格扣除。</w:t>
            </w:r>
          </w:p>
          <w:p w14:paraId="68CB2235">
            <w:pPr>
              <w:kinsoku w:val="0"/>
              <w:overflowPunct w:val="0"/>
              <w:autoSpaceDE w:val="0"/>
              <w:autoSpaceDN w:val="0"/>
              <w:adjustRightInd w:val="0"/>
              <w:snapToGrid w:val="0"/>
              <w:spacing w:line="360" w:lineRule="auto"/>
              <w:ind w:firstLine="420" w:firstLineChars="200"/>
              <w:textAlignment w:val="bottom"/>
              <w:outlineLvl w:val="9"/>
              <w:rPr>
                <w:rFonts w:hint="eastAsia" w:ascii="宋体" w:hAnsi="宋体" w:eastAsia="宋体" w:cs="宋体"/>
                <w:color w:val="auto"/>
                <w:kern w:val="0"/>
                <w:sz w:val="21"/>
                <w:szCs w:val="21"/>
                <w:lang w:eastAsia="zh-CN"/>
              </w:rPr>
            </w:pPr>
            <w:r>
              <w:rPr>
                <w:rFonts w:hint="eastAsia" w:ascii="宋体" w:hAnsi="宋体" w:eastAsia="宋体" w:cs="宋体"/>
                <w:color w:val="auto"/>
                <w:sz w:val="21"/>
                <w:szCs w:val="21"/>
                <w:lang w:bidi="ar"/>
              </w:rPr>
              <w:t>6、关于残疾人福利性单位：视同小微企业。须提供完整的“残疾人福利性单位声明函”，否则在价格评审时不予考虑价格扣除。残疾人福利性单位属于小型、微型企业的，不重复享受政策。</w:t>
            </w:r>
          </w:p>
        </w:tc>
      </w:tr>
      <w:tr w14:paraId="3D4C1A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2"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14:paraId="197B674C">
            <w:pPr>
              <w:kinsoku w:val="0"/>
              <w:overflowPunct w:val="0"/>
              <w:autoSpaceDE w:val="0"/>
              <w:autoSpaceDN w:val="0"/>
              <w:adjustRightInd w:val="0"/>
              <w:snapToGrid w:val="0"/>
              <w:spacing w:line="360" w:lineRule="auto"/>
              <w:jc w:val="center"/>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29</w:t>
            </w:r>
          </w:p>
        </w:tc>
        <w:tc>
          <w:tcPr>
            <w:tcW w:w="9084" w:type="dxa"/>
            <w:gridSpan w:val="2"/>
            <w:tcBorders>
              <w:top w:val="single" w:color="auto" w:sz="4" w:space="0"/>
              <w:left w:val="nil"/>
              <w:bottom w:val="single" w:color="auto" w:sz="4" w:space="0"/>
              <w:right w:val="single" w:color="auto" w:sz="4" w:space="0"/>
            </w:tcBorders>
            <w:noWrap w:val="0"/>
            <w:vAlign w:val="center"/>
          </w:tcPr>
          <w:p w14:paraId="2D6E87F7">
            <w:pPr>
              <w:kinsoku w:val="0"/>
              <w:overflowPunct w:val="0"/>
              <w:autoSpaceDE w:val="0"/>
              <w:autoSpaceDN w:val="0"/>
              <w:adjustRightInd w:val="0"/>
              <w:snapToGrid w:val="0"/>
              <w:spacing w:line="360" w:lineRule="auto"/>
              <w:ind w:firstLine="420" w:firstLineChars="200"/>
              <w:outlineLvl w:val="9"/>
              <w:rPr>
                <w:rFonts w:hint="eastAsia" w:ascii="宋体" w:hAnsi="宋体" w:eastAsia="宋体" w:cs="宋体"/>
                <w:color w:val="auto"/>
                <w:sz w:val="21"/>
                <w:szCs w:val="21"/>
              </w:rPr>
            </w:pPr>
            <w:r>
              <w:rPr>
                <w:rFonts w:hint="eastAsia" w:ascii="宋体" w:hAnsi="宋体" w:eastAsia="宋体" w:cs="宋体"/>
                <w:color w:val="auto"/>
                <w:sz w:val="21"/>
                <w:szCs w:val="21"/>
              </w:rPr>
              <w:t>河南省政府采购合同融资政策告知函</w:t>
            </w:r>
          </w:p>
          <w:p w14:paraId="71E82881">
            <w:pPr>
              <w:kinsoku w:val="0"/>
              <w:overflowPunct w:val="0"/>
              <w:autoSpaceDE w:val="0"/>
              <w:autoSpaceDN w:val="0"/>
              <w:adjustRightInd w:val="0"/>
              <w:snapToGrid w:val="0"/>
              <w:spacing w:line="360" w:lineRule="auto"/>
              <w:ind w:firstLine="420" w:firstLineChars="200"/>
              <w:outlineLvl w:val="9"/>
              <w:rPr>
                <w:rFonts w:hint="eastAsia" w:ascii="宋体" w:hAnsi="宋体" w:eastAsia="宋体" w:cs="宋体"/>
                <w:color w:val="auto"/>
                <w:sz w:val="21"/>
                <w:szCs w:val="21"/>
              </w:rPr>
            </w:pPr>
            <w:r>
              <w:rPr>
                <w:rFonts w:hint="eastAsia" w:ascii="宋体" w:hAnsi="宋体" w:eastAsia="宋体" w:cs="宋体"/>
                <w:color w:val="auto"/>
                <w:sz w:val="21"/>
                <w:szCs w:val="21"/>
              </w:rPr>
              <w:t>各供应商：</w:t>
            </w:r>
          </w:p>
          <w:p w14:paraId="56953A21">
            <w:pPr>
              <w:kinsoku w:val="0"/>
              <w:overflowPunct w:val="0"/>
              <w:autoSpaceDE w:val="0"/>
              <w:autoSpaceDN w:val="0"/>
              <w:adjustRightInd w:val="0"/>
              <w:snapToGrid w:val="0"/>
              <w:spacing w:line="360" w:lineRule="auto"/>
              <w:ind w:firstLine="420" w:firstLineChars="200"/>
              <w:outlineLvl w:val="9"/>
              <w:rPr>
                <w:rFonts w:hint="eastAsia" w:ascii="宋体" w:hAnsi="宋体" w:eastAsia="宋体" w:cs="宋体"/>
                <w:color w:val="auto"/>
                <w:sz w:val="21"/>
                <w:szCs w:val="21"/>
              </w:rPr>
            </w:pPr>
            <w:r>
              <w:rPr>
                <w:rFonts w:hint="eastAsia" w:ascii="宋体" w:hAnsi="宋体" w:eastAsia="宋体" w:cs="宋体"/>
                <w:color w:val="auto"/>
                <w:sz w:val="21"/>
                <w:szCs w:val="21"/>
              </w:rPr>
              <w:t>欢迎贵公司参与河南省政府采购活动！</w:t>
            </w:r>
          </w:p>
          <w:p w14:paraId="32437FF0">
            <w:pPr>
              <w:kinsoku w:val="0"/>
              <w:overflowPunct w:val="0"/>
              <w:autoSpaceDE w:val="0"/>
              <w:autoSpaceDN w:val="0"/>
              <w:adjustRightInd w:val="0"/>
              <w:snapToGrid w:val="0"/>
              <w:spacing w:line="360" w:lineRule="auto"/>
              <w:ind w:firstLine="420" w:firstLineChars="200"/>
              <w:outlineLvl w:val="9"/>
              <w:rPr>
                <w:rFonts w:hint="eastAsia" w:ascii="宋体" w:hAnsi="宋体" w:eastAsia="宋体" w:cs="宋体"/>
                <w:color w:val="auto"/>
                <w:sz w:val="21"/>
                <w:szCs w:val="21"/>
              </w:rPr>
            </w:pPr>
            <w:r>
              <w:rPr>
                <w:rFonts w:hint="eastAsia" w:ascii="宋体" w:hAnsi="宋体" w:eastAsia="宋体" w:cs="宋体"/>
                <w:color w:val="auto"/>
                <w:sz w:val="21"/>
                <w:szCs w:val="21"/>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2F7F81F3">
            <w:pPr>
              <w:kinsoku w:val="0"/>
              <w:overflowPunct w:val="0"/>
              <w:autoSpaceDE w:val="0"/>
              <w:autoSpaceDN w:val="0"/>
              <w:adjustRightInd w:val="0"/>
              <w:snapToGrid w:val="0"/>
              <w:spacing w:line="360" w:lineRule="auto"/>
              <w:ind w:firstLine="420" w:firstLineChars="200"/>
              <w:outlineLvl w:val="9"/>
              <w:rPr>
                <w:rFonts w:hint="eastAsia" w:ascii="宋体" w:hAnsi="宋体" w:eastAsia="宋体" w:cs="宋体"/>
                <w:color w:val="auto"/>
                <w:sz w:val="21"/>
                <w:szCs w:val="21"/>
                <w:lang w:bidi="ar"/>
              </w:rPr>
            </w:pPr>
            <w:r>
              <w:rPr>
                <w:rFonts w:hint="eastAsia" w:ascii="宋体" w:hAnsi="宋体" w:eastAsia="宋体" w:cs="宋体"/>
                <w:color w:val="auto"/>
                <w:sz w:val="21"/>
                <w:szCs w:val="21"/>
              </w:rPr>
              <w:t>贷款渠道和提供贷款的金融机构，可在河南省政府采购网“河南省政府采购合同融资平台”查询联系。</w:t>
            </w:r>
          </w:p>
        </w:tc>
      </w:tr>
      <w:tr w14:paraId="4B501D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14:paraId="1451B659">
            <w:pPr>
              <w:kinsoku w:val="0"/>
              <w:overflowPunct w:val="0"/>
              <w:autoSpaceDE w:val="0"/>
              <w:autoSpaceDN w:val="0"/>
              <w:adjustRightInd w:val="0"/>
              <w:snapToGrid w:val="0"/>
              <w:spacing w:line="360" w:lineRule="auto"/>
              <w:jc w:val="center"/>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w:t>
            </w:r>
          </w:p>
        </w:tc>
        <w:tc>
          <w:tcPr>
            <w:tcW w:w="9084" w:type="dxa"/>
            <w:gridSpan w:val="2"/>
            <w:tcBorders>
              <w:top w:val="single" w:color="auto" w:sz="4" w:space="0"/>
              <w:left w:val="nil"/>
              <w:bottom w:val="single" w:color="auto" w:sz="4" w:space="0"/>
              <w:right w:val="single" w:color="auto" w:sz="4" w:space="0"/>
            </w:tcBorders>
            <w:noWrap w:val="0"/>
            <w:vAlign w:val="center"/>
          </w:tcPr>
          <w:p w14:paraId="4961B406">
            <w:pPr>
              <w:kinsoku w:val="0"/>
              <w:overflowPunct w:val="0"/>
              <w:autoSpaceDE w:val="0"/>
              <w:autoSpaceDN w:val="0"/>
              <w:adjustRightInd w:val="0"/>
              <w:snapToGrid w:val="0"/>
              <w:spacing w:line="360" w:lineRule="auto"/>
              <w:outlineLvl w:val="9"/>
              <w:rPr>
                <w:rFonts w:hint="eastAsia" w:ascii="宋体" w:hAnsi="宋体" w:eastAsia="宋体" w:cs="宋体"/>
                <w:b/>
                <w:bCs/>
                <w:color w:val="auto"/>
                <w:sz w:val="21"/>
                <w:szCs w:val="21"/>
              </w:rPr>
            </w:pPr>
            <w:r>
              <w:rPr>
                <w:rFonts w:hint="eastAsia" w:ascii="宋体" w:hAnsi="宋体" w:cs="宋体"/>
                <w:b/>
                <w:bCs/>
                <w:color w:val="auto"/>
                <w:sz w:val="21"/>
                <w:szCs w:val="21"/>
                <w:lang w:val="en-US" w:eastAsia="zh-CN"/>
              </w:rPr>
              <w:t>一</w:t>
            </w:r>
            <w:r>
              <w:rPr>
                <w:rFonts w:hint="eastAsia" w:ascii="宋体" w:hAnsi="宋体" w:eastAsia="宋体" w:cs="宋体"/>
                <w:b/>
                <w:bCs/>
                <w:color w:val="auto"/>
                <w:sz w:val="21"/>
                <w:szCs w:val="21"/>
              </w:rPr>
              <w:t>、维护企业在政府采购活动中的知情权</w:t>
            </w:r>
          </w:p>
          <w:p w14:paraId="451F1BFB">
            <w:pPr>
              <w:kinsoku w:val="0"/>
              <w:overflowPunct w:val="0"/>
              <w:autoSpaceDE w:val="0"/>
              <w:autoSpaceDN w:val="0"/>
              <w:adjustRightInd w:val="0"/>
              <w:snapToGrid w:val="0"/>
              <w:spacing w:line="360" w:lineRule="auto"/>
              <w:ind w:firstLine="420" w:firstLineChars="200"/>
              <w:outlineLvl w:val="9"/>
              <w:rPr>
                <w:rFonts w:hint="eastAsia" w:ascii="宋体" w:hAnsi="宋体" w:eastAsia="宋体" w:cs="宋体"/>
                <w:color w:val="auto"/>
                <w:sz w:val="21"/>
                <w:szCs w:val="21"/>
              </w:rPr>
            </w:pPr>
            <w:r>
              <w:rPr>
                <w:rFonts w:hint="eastAsia" w:ascii="宋体" w:hAnsi="宋体" w:eastAsia="宋体" w:cs="宋体"/>
                <w:color w:val="auto"/>
                <w:sz w:val="21"/>
                <w:szCs w:val="21"/>
              </w:rPr>
              <w:t>采用公开招标采购方式的政府采购项目，在公告中标结果的同时，对未通过资格审查的投标人，采购人或者采购代理机构应告知其未通过的原因；采用综合评分法评审的，还应当告知未中标人本人的评审得分与排序。采用竞争性谈判、竞争性磋商、询价、单一来源采购方式的政府采购项目，对供应商未实质性响应的文件按无效响应处理的，采购人或者采购代理机构应当告知供应商原因。</w:t>
            </w:r>
          </w:p>
          <w:p w14:paraId="5AE097CD">
            <w:pPr>
              <w:kinsoku w:val="0"/>
              <w:overflowPunct w:val="0"/>
              <w:autoSpaceDE w:val="0"/>
              <w:autoSpaceDN w:val="0"/>
              <w:adjustRightInd w:val="0"/>
              <w:snapToGrid w:val="0"/>
              <w:spacing w:line="360" w:lineRule="auto"/>
              <w:outlineLvl w:val="9"/>
              <w:rPr>
                <w:rFonts w:hint="eastAsia" w:ascii="宋体" w:hAnsi="宋体" w:eastAsia="宋体" w:cs="宋体"/>
                <w:b/>
                <w:bCs/>
                <w:color w:val="auto"/>
                <w:sz w:val="21"/>
                <w:szCs w:val="21"/>
              </w:rPr>
            </w:pPr>
            <w:r>
              <w:rPr>
                <w:rFonts w:hint="eastAsia" w:ascii="宋体" w:hAnsi="宋体" w:cs="宋体"/>
                <w:b/>
                <w:bCs/>
                <w:color w:val="auto"/>
                <w:sz w:val="21"/>
                <w:szCs w:val="21"/>
                <w:lang w:val="en-US" w:eastAsia="zh-CN"/>
              </w:rPr>
              <w:t>二</w:t>
            </w:r>
            <w:r>
              <w:rPr>
                <w:rFonts w:hint="eastAsia" w:ascii="宋体" w:hAnsi="宋体" w:eastAsia="宋体" w:cs="宋体"/>
                <w:b/>
                <w:bCs/>
                <w:color w:val="auto"/>
                <w:sz w:val="21"/>
                <w:szCs w:val="21"/>
              </w:rPr>
              <w:t>、提供中小企业声明函格式</w:t>
            </w:r>
          </w:p>
          <w:p w14:paraId="70228E8E">
            <w:pPr>
              <w:kinsoku w:val="0"/>
              <w:overflowPunct w:val="0"/>
              <w:autoSpaceDE w:val="0"/>
              <w:autoSpaceDN w:val="0"/>
              <w:adjustRightInd w:val="0"/>
              <w:snapToGrid w:val="0"/>
              <w:spacing w:line="360" w:lineRule="auto"/>
              <w:ind w:firstLine="420" w:firstLineChars="200"/>
              <w:outlineLvl w:val="9"/>
              <w:rPr>
                <w:rFonts w:hint="eastAsia" w:ascii="宋体" w:hAnsi="宋体" w:eastAsia="宋体" w:cs="宋体"/>
                <w:color w:val="auto"/>
                <w:sz w:val="21"/>
                <w:szCs w:val="21"/>
              </w:rPr>
            </w:pPr>
            <w:r>
              <w:rPr>
                <w:rFonts w:hint="eastAsia" w:ascii="宋体" w:hAnsi="宋体" w:eastAsia="宋体" w:cs="宋体"/>
                <w:color w:val="auto"/>
                <w:sz w:val="21"/>
                <w:szCs w:val="21"/>
              </w:rPr>
              <w:t>在采购文件中，采购代理机构应按照财政部、工信部印发的《政府采购促进中小企业发展管理办法》的通知精神（财库〔2020〕46号）提供中小企业声明函格式。详见“政府采购政策：中小企业声明函”</w:t>
            </w:r>
          </w:p>
          <w:p w14:paraId="092D5E3E">
            <w:pPr>
              <w:kinsoku w:val="0"/>
              <w:overflowPunct w:val="0"/>
              <w:autoSpaceDE w:val="0"/>
              <w:autoSpaceDN w:val="0"/>
              <w:adjustRightInd w:val="0"/>
              <w:snapToGrid w:val="0"/>
              <w:spacing w:line="360" w:lineRule="auto"/>
              <w:outlineLvl w:val="9"/>
              <w:rPr>
                <w:rFonts w:hint="eastAsia" w:ascii="宋体" w:hAnsi="宋体" w:eastAsia="宋体" w:cs="宋体"/>
                <w:b/>
                <w:bCs/>
                <w:color w:val="auto"/>
                <w:sz w:val="21"/>
                <w:szCs w:val="21"/>
              </w:rPr>
            </w:pPr>
            <w:r>
              <w:rPr>
                <w:rFonts w:hint="eastAsia" w:ascii="宋体" w:hAnsi="宋体" w:cs="宋体"/>
                <w:b/>
                <w:bCs/>
                <w:color w:val="auto"/>
                <w:sz w:val="21"/>
                <w:szCs w:val="21"/>
                <w:lang w:val="en-US" w:eastAsia="zh-CN"/>
              </w:rPr>
              <w:t>三</w:t>
            </w:r>
            <w:r>
              <w:rPr>
                <w:rFonts w:hint="eastAsia" w:ascii="宋体" w:hAnsi="宋体" w:eastAsia="宋体" w:cs="宋体"/>
                <w:b/>
                <w:bCs/>
                <w:color w:val="auto"/>
                <w:sz w:val="21"/>
                <w:szCs w:val="21"/>
              </w:rPr>
              <w:t>、推广政府采购合同融资</w:t>
            </w:r>
          </w:p>
          <w:p w14:paraId="1124F505">
            <w:pPr>
              <w:kinsoku w:val="0"/>
              <w:overflowPunct w:val="0"/>
              <w:autoSpaceDE w:val="0"/>
              <w:autoSpaceDN w:val="0"/>
              <w:adjustRightInd w:val="0"/>
              <w:snapToGrid w:val="0"/>
              <w:spacing w:line="360" w:lineRule="auto"/>
              <w:ind w:firstLine="420" w:firstLineChars="200"/>
              <w:outlineLvl w:val="9"/>
              <w:rPr>
                <w:rFonts w:hint="eastAsia" w:ascii="宋体" w:hAnsi="宋体" w:eastAsia="宋体" w:cs="宋体"/>
                <w:color w:val="auto"/>
                <w:sz w:val="21"/>
                <w:szCs w:val="21"/>
              </w:rPr>
            </w:pPr>
            <w:r>
              <w:rPr>
                <w:rFonts w:hint="eastAsia" w:ascii="宋体" w:hAnsi="宋体" w:eastAsia="宋体" w:cs="宋体"/>
                <w:color w:val="auto"/>
                <w:sz w:val="21"/>
                <w:szCs w:val="21"/>
              </w:rPr>
              <w:t>要求采购人和代理机构将“政府采购合同融资告知函”写入招标文件，鼓励中标供应商凭借采购合同申请贷款，助力解决中小企业融资难、融资贵的问题。详见“11、政府采购政策：六、河南省政府采购合同融资政策告知函”</w:t>
            </w:r>
          </w:p>
          <w:p w14:paraId="5638D29E">
            <w:pPr>
              <w:kinsoku w:val="0"/>
              <w:overflowPunct w:val="0"/>
              <w:autoSpaceDE w:val="0"/>
              <w:autoSpaceDN w:val="0"/>
              <w:adjustRightInd w:val="0"/>
              <w:snapToGrid w:val="0"/>
              <w:spacing w:line="360" w:lineRule="auto"/>
              <w:jc w:val="left"/>
              <w:outlineLvl w:val="9"/>
              <w:rPr>
                <w:rFonts w:hint="eastAsia" w:ascii="宋体" w:hAnsi="宋体" w:eastAsia="宋体" w:cs="宋体"/>
                <w:b/>
                <w:bCs/>
                <w:color w:val="auto"/>
                <w:sz w:val="21"/>
                <w:szCs w:val="21"/>
              </w:rPr>
            </w:pPr>
            <w:r>
              <w:rPr>
                <w:rFonts w:hint="eastAsia" w:ascii="宋体" w:hAnsi="宋体" w:cs="宋体"/>
                <w:b/>
                <w:bCs/>
                <w:color w:val="auto"/>
                <w:sz w:val="21"/>
                <w:szCs w:val="21"/>
                <w:lang w:val="en-US" w:eastAsia="zh-CN"/>
              </w:rPr>
              <w:t>四</w:t>
            </w:r>
            <w:r>
              <w:rPr>
                <w:rFonts w:hint="eastAsia" w:ascii="宋体" w:hAnsi="宋体" w:eastAsia="宋体" w:cs="宋体"/>
                <w:b/>
                <w:bCs/>
                <w:color w:val="auto"/>
                <w:sz w:val="21"/>
                <w:szCs w:val="21"/>
              </w:rPr>
              <w:t>、落实预留采购份额</w:t>
            </w:r>
          </w:p>
          <w:p w14:paraId="1E970624">
            <w:pPr>
              <w:kinsoku w:val="0"/>
              <w:overflowPunct w:val="0"/>
              <w:autoSpaceDE w:val="0"/>
              <w:autoSpaceDN w:val="0"/>
              <w:adjustRightInd w:val="0"/>
              <w:snapToGrid w:val="0"/>
              <w:spacing w:line="360" w:lineRule="auto"/>
              <w:ind w:firstLine="420" w:firstLineChars="200"/>
              <w:outlineLvl w:val="9"/>
              <w:rPr>
                <w:rFonts w:hint="eastAsia" w:ascii="宋体" w:hAnsi="宋体" w:eastAsia="宋体" w:cs="宋体"/>
                <w:color w:val="auto"/>
                <w:sz w:val="21"/>
                <w:szCs w:val="21"/>
              </w:rPr>
            </w:pPr>
            <w:r>
              <w:rPr>
                <w:rFonts w:hint="eastAsia" w:ascii="宋体" w:hAnsi="宋体" w:eastAsia="宋体" w:cs="宋体"/>
                <w:color w:val="auto"/>
                <w:sz w:val="21"/>
                <w:szCs w:val="21"/>
              </w:rPr>
              <w:t>采购人应当按照财政部、工信部印发的《政府采购促进中小企业发展管理办法》的通知精神（财库〔2020〕46号）组织评估本部门及所属单位政府采购项目，统筹制定面向中小企业预留采购份额的具体方案，对适宜由中小企业提供的采购项目和采购包，预留采购份额专门面向中小企业采购，并在政府采购预算中单独列示。采购限额标准以上，200万元以下的货物和服务采购项目、400万元以下的工程采购项目，适宜由中小企业提供的，采购单位应当专门面向中小企业采购。超过200万元的货物和服务采购项目、超过400万元的工程采购项目中适宜由中小企业提供的，预留该部分采购项目预算总额的30%以上专门面向中小企业采购，其中预留给小微企业的比例不低于60%。确实不适宜由中小企业提供的，应当参照《政府采购促进中小企业发展管理办法》第六条在采购文件中说明理由。按照平顶山市财政局出台的《平顶山市财政局关于进一步加大政府采购支持中小企业力度的通知》（平财购〔2022〕8号）的规定：超过400万元的工程采购项目中适宜由中小企业提供的，采购人在坚持公开公正、公平竞争原则和统一质量标准的前提下，2022年下半年面向中小企业的预留份额由30%以上阶段性提高至40%以上，其中预留给小微企业的比例不低于60%。</w:t>
            </w:r>
          </w:p>
          <w:p w14:paraId="64107200">
            <w:pPr>
              <w:numPr>
                <w:ilvl w:val="0"/>
                <w:numId w:val="0"/>
              </w:numPr>
              <w:spacing w:line="460" w:lineRule="exact"/>
              <w:outlineLvl w:val="9"/>
              <w:rPr>
                <w:rFonts w:hint="eastAsia" w:ascii="宋体" w:hAnsi="宋体" w:eastAsia="宋体" w:cs="宋体"/>
                <w:b w:val="0"/>
                <w:bCs/>
                <w:color w:val="auto"/>
                <w:sz w:val="21"/>
                <w:szCs w:val="21"/>
              </w:rPr>
            </w:pPr>
            <w:r>
              <w:rPr>
                <w:rFonts w:hint="eastAsia" w:ascii="宋体" w:hAnsi="宋体" w:cs="宋体"/>
                <w:b w:val="0"/>
                <w:bCs/>
                <w:color w:val="auto"/>
                <w:sz w:val="21"/>
                <w:szCs w:val="21"/>
                <w:lang w:val="en-US" w:eastAsia="zh-CN"/>
              </w:rPr>
              <w:t>五、</w:t>
            </w:r>
            <w:r>
              <w:rPr>
                <w:rFonts w:hint="eastAsia" w:ascii="宋体" w:hAnsi="宋体" w:eastAsia="宋体" w:cs="宋体"/>
                <w:b w:val="0"/>
                <w:bCs/>
                <w:color w:val="auto"/>
                <w:sz w:val="21"/>
                <w:szCs w:val="21"/>
              </w:rPr>
              <w:t>落实价格评审优惠政策</w:t>
            </w:r>
          </w:p>
          <w:p w14:paraId="629A8E73">
            <w:pPr>
              <w:kinsoku w:val="0"/>
              <w:overflowPunct w:val="0"/>
              <w:autoSpaceDE w:val="0"/>
              <w:autoSpaceDN w:val="0"/>
              <w:adjustRightInd w:val="0"/>
              <w:snapToGrid w:val="0"/>
              <w:spacing w:line="360" w:lineRule="auto"/>
              <w:ind w:firstLine="420" w:firstLineChars="200"/>
              <w:outlineLvl w:val="9"/>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对于未预留份额专门面向中小企业采购的采购项目，以及预留份额项目中的非预留部分采购包，采购人、采购代理机构应当对符合《政府采购促进中小企业发展管理办法》（财库〔2020〕46号）规定的小微企业报价给予6%—10%（工程项目为 3%—5%）的扣除，用扣除后的价格参加评审。大中型企业与小微企业组成联合体或者大中型企业向小微企业分包的（联合协议或者分包意向协议约定小微企业的合同份额应占合同总金额的30%以上），给予联合体或大中型企业2%—3%（工程项目为1%—2%）的价格扣除优惠，用扣除后的价格参加评审。按照平顶山市财政局出台的《平顶山市财政局关于进一步加大政府采购支持中小企业力度的通知》（平财购〔2022〕8号）的规定：采购人在货物和服务采购项目中， 对于经主管预算单位统筹后未预留份额专门面向中小企业的采购项目，以及预留份额项目中的非预留部分采购包，给予小微企业10%—20%的价格扣除优惠。大中型企业与小微企业组成联合体或者大中型企业向小微企业分包的（联合协议或者分包意向协议约定小微企业的合同份额应占合同总金额的30%以上），给予联合体或大中型企业4%—6%的价格扣除优惠，用扣除后的价格参加评审。鼓励采购人结合采购标的相关行业平均利润率、市场竞争状况等从高选择价格扣除比例和评审优惠幅度，支持中小企业发展。上述政策应当在评审办法中注明确定值。</w:t>
            </w:r>
          </w:p>
        </w:tc>
      </w:tr>
      <w:tr w14:paraId="0D026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14:paraId="01155830">
            <w:pPr>
              <w:kinsoku w:val="0"/>
              <w:overflowPunct w:val="0"/>
              <w:autoSpaceDE w:val="0"/>
              <w:autoSpaceDN w:val="0"/>
              <w:adjustRightInd w:val="0"/>
              <w:snapToGrid w:val="0"/>
              <w:spacing w:line="360" w:lineRule="auto"/>
              <w:jc w:val="center"/>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31</w:t>
            </w:r>
          </w:p>
        </w:tc>
        <w:tc>
          <w:tcPr>
            <w:tcW w:w="9084" w:type="dxa"/>
            <w:gridSpan w:val="2"/>
            <w:tcBorders>
              <w:top w:val="single" w:color="auto" w:sz="4" w:space="0"/>
              <w:left w:val="nil"/>
              <w:bottom w:val="single" w:color="auto" w:sz="4" w:space="0"/>
              <w:right w:val="single" w:color="auto" w:sz="4" w:space="0"/>
            </w:tcBorders>
            <w:noWrap w:val="0"/>
            <w:vAlign w:val="center"/>
          </w:tcPr>
          <w:p w14:paraId="66429A91">
            <w:pPr>
              <w:kinsoku w:val="0"/>
              <w:overflowPunct w:val="0"/>
              <w:autoSpaceDE w:val="0"/>
              <w:autoSpaceDN w:val="0"/>
              <w:adjustRightInd w:val="0"/>
              <w:snapToGrid w:val="0"/>
              <w:spacing w:line="360" w:lineRule="auto"/>
              <w:ind w:firstLine="420" w:firstLineChars="200"/>
              <w:outlineLvl w:val="9"/>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本项目为全流程电子化交易项目，请认真阅读招标文件，并注意以下事项。</w:t>
            </w:r>
          </w:p>
          <w:p w14:paraId="6C9E3DD2">
            <w:pPr>
              <w:kinsoku w:val="0"/>
              <w:overflowPunct w:val="0"/>
              <w:autoSpaceDE w:val="0"/>
              <w:autoSpaceDN w:val="0"/>
              <w:adjustRightInd w:val="0"/>
              <w:snapToGrid w:val="0"/>
              <w:spacing w:line="360" w:lineRule="auto"/>
              <w:ind w:firstLine="420" w:firstLineChars="200"/>
              <w:outlineLvl w:val="9"/>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1.投标人应按招标文件规定编制、提交电子投标文件。</w:t>
            </w:r>
          </w:p>
          <w:p w14:paraId="656C83E0">
            <w:pPr>
              <w:kinsoku w:val="0"/>
              <w:overflowPunct w:val="0"/>
              <w:autoSpaceDE w:val="0"/>
              <w:autoSpaceDN w:val="0"/>
              <w:adjustRightInd w:val="0"/>
              <w:snapToGrid w:val="0"/>
              <w:spacing w:line="360" w:lineRule="auto"/>
              <w:ind w:firstLine="420" w:firstLineChars="200"/>
              <w:outlineLvl w:val="9"/>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2.本项目投标人不用再提供纸质投标文件。</w:t>
            </w:r>
          </w:p>
          <w:p w14:paraId="5682A986">
            <w:pPr>
              <w:kinsoku w:val="0"/>
              <w:overflowPunct w:val="0"/>
              <w:autoSpaceDE w:val="0"/>
              <w:autoSpaceDN w:val="0"/>
              <w:adjustRightInd w:val="0"/>
              <w:snapToGrid w:val="0"/>
              <w:spacing w:line="360" w:lineRule="auto"/>
              <w:ind w:firstLine="420" w:firstLineChars="200"/>
              <w:outlineLvl w:val="9"/>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3.电子文件下载、制作、提交期间和开标（电子投标文件的解密）环节，投标人须使用CA数字证书（证书须在有效期内）。</w:t>
            </w:r>
          </w:p>
          <w:p w14:paraId="2E1A518C">
            <w:pPr>
              <w:kinsoku w:val="0"/>
              <w:overflowPunct w:val="0"/>
              <w:autoSpaceDE w:val="0"/>
              <w:autoSpaceDN w:val="0"/>
              <w:adjustRightInd w:val="0"/>
              <w:snapToGrid w:val="0"/>
              <w:spacing w:line="360" w:lineRule="auto"/>
              <w:ind w:firstLine="420" w:firstLineChars="200"/>
              <w:outlineLvl w:val="9"/>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4.电子投标文件的制作</w:t>
            </w:r>
          </w:p>
          <w:p w14:paraId="0D9D982E">
            <w:pPr>
              <w:kinsoku w:val="0"/>
              <w:overflowPunct w:val="0"/>
              <w:autoSpaceDE w:val="0"/>
              <w:autoSpaceDN w:val="0"/>
              <w:adjustRightInd w:val="0"/>
              <w:snapToGrid w:val="0"/>
              <w:spacing w:line="360" w:lineRule="auto"/>
              <w:ind w:firstLine="420" w:firstLineChars="200"/>
              <w:outlineLvl w:val="9"/>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4.1 投标人登录《全国公共资源交易平台(河南省▪平顶山市)》公共资源交易系统下载“平顶山投标文件制作系统”，按招标文件要求制作电子投标文件。</w:t>
            </w:r>
          </w:p>
          <w:p w14:paraId="5B55E9A5">
            <w:pPr>
              <w:kinsoku w:val="0"/>
              <w:overflowPunct w:val="0"/>
              <w:autoSpaceDE w:val="0"/>
              <w:autoSpaceDN w:val="0"/>
              <w:adjustRightInd w:val="0"/>
              <w:snapToGrid w:val="0"/>
              <w:spacing w:line="360" w:lineRule="auto"/>
              <w:ind w:firstLine="420" w:firstLineChars="200"/>
              <w:outlineLvl w:val="9"/>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电子投标文件的制作，参考《全国公共资源交易平台(河南省▪平顶山市)》公共资源交易系统——组件下载——交易系统操作手册（投标人、投标人）。</w:t>
            </w:r>
          </w:p>
          <w:p w14:paraId="706743DF">
            <w:pPr>
              <w:kinsoku w:val="0"/>
              <w:overflowPunct w:val="0"/>
              <w:autoSpaceDE w:val="0"/>
              <w:autoSpaceDN w:val="0"/>
              <w:adjustRightInd w:val="0"/>
              <w:snapToGrid w:val="0"/>
              <w:spacing w:line="360" w:lineRule="auto"/>
              <w:ind w:firstLine="420" w:firstLineChars="200"/>
              <w:outlineLvl w:val="9"/>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4.2 投标人须将招标文件要求的资质、业绩、荣誉及相关人员证明材料等资料原件扫描件（或图片）制作到所提交的电子投标文件中。</w:t>
            </w:r>
          </w:p>
          <w:p w14:paraId="719BA677">
            <w:pPr>
              <w:kinsoku w:val="0"/>
              <w:overflowPunct w:val="0"/>
              <w:autoSpaceDE w:val="0"/>
              <w:autoSpaceDN w:val="0"/>
              <w:adjustRightInd w:val="0"/>
              <w:snapToGrid w:val="0"/>
              <w:spacing w:line="360" w:lineRule="auto"/>
              <w:ind w:firstLine="420" w:firstLineChars="200"/>
              <w:outlineLvl w:val="9"/>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4.3投标人对同一项目多个标段进行投标的，应分别下载所投标段的招标文件，按标段制作电子投标文件，并按招标文件要求在相应位置加盖投标人电子印章和法人电子印章。</w:t>
            </w:r>
          </w:p>
          <w:p w14:paraId="3927BC28">
            <w:pPr>
              <w:kinsoku w:val="0"/>
              <w:overflowPunct w:val="0"/>
              <w:autoSpaceDE w:val="0"/>
              <w:autoSpaceDN w:val="0"/>
              <w:adjustRightInd w:val="0"/>
              <w:snapToGrid w:val="0"/>
              <w:spacing w:line="360" w:lineRule="auto"/>
              <w:ind w:firstLine="420" w:firstLineChars="200"/>
              <w:outlineLvl w:val="9"/>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5.加密电子投标文件的提交</w:t>
            </w:r>
          </w:p>
          <w:p w14:paraId="4BC9C0B6">
            <w:pPr>
              <w:kinsoku w:val="0"/>
              <w:overflowPunct w:val="0"/>
              <w:autoSpaceDE w:val="0"/>
              <w:autoSpaceDN w:val="0"/>
              <w:adjustRightInd w:val="0"/>
              <w:snapToGrid w:val="0"/>
              <w:spacing w:line="360" w:lineRule="auto"/>
              <w:ind w:firstLine="420" w:firstLineChars="200"/>
              <w:outlineLvl w:val="9"/>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5.1加密电子投标文件应在招标文件规定的投标截止时间（开标时间）之前成功提交至《全国公共资源交易平台(河南省▪平顶山市)》公共资源交易系统。投标人应充分考虑并预留技术处理和上传数据所需时间。</w:t>
            </w:r>
          </w:p>
          <w:p w14:paraId="7B94FEB6">
            <w:pPr>
              <w:kinsoku w:val="0"/>
              <w:overflowPunct w:val="0"/>
              <w:autoSpaceDE w:val="0"/>
              <w:autoSpaceDN w:val="0"/>
              <w:adjustRightInd w:val="0"/>
              <w:snapToGrid w:val="0"/>
              <w:spacing w:line="360" w:lineRule="auto"/>
              <w:ind w:firstLine="420" w:firstLineChars="200"/>
              <w:outlineLvl w:val="9"/>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5.2 投标人对同一项目多个标段进行投标的，加密电子投标文件应按标段分别提交。</w:t>
            </w:r>
          </w:p>
          <w:p w14:paraId="59010FE1">
            <w:pPr>
              <w:kinsoku w:val="0"/>
              <w:overflowPunct w:val="0"/>
              <w:autoSpaceDE w:val="0"/>
              <w:autoSpaceDN w:val="0"/>
              <w:adjustRightInd w:val="0"/>
              <w:snapToGrid w:val="0"/>
              <w:spacing w:line="360" w:lineRule="auto"/>
              <w:ind w:firstLine="420" w:firstLineChars="200"/>
              <w:outlineLvl w:val="9"/>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“不见面”开标注意事项：</w:t>
            </w:r>
          </w:p>
          <w:p w14:paraId="1E7F2A47">
            <w:pPr>
              <w:kinsoku w:val="0"/>
              <w:overflowPunct w:val="0"/>
              <w:autoSpaceDE w:val="0"/>
              <w:autoSpaceDN w:val="0"/>
              <w:adjustRightInd w:val="0"/>
              <w:snapToGrid w:val="0"/>
              <w:spacing w:line="360" w:lineRule="auto"/>
              <w:ind w:firstLine="420" w:firstLineChars="200"/>
              <w:outlineLvl w:val="9"/>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1、招标人和代理机构应当提前做好各项准备工作，准时开标。</w:t>
            </w:r>
          </w:p>
          <w:p w14:paraId="04A3BC7B">
            <w:pPr>
              <w:kinsoku w:val="0"/>
              <w:overflowPunct w:val="0"/>
              <w:autoSpaceDE w:val="0"/>
              <w:autoSpaceDN w:val="0"/>
              <w:adjustRightInd w:val="0"/>
              <w:snapToGrid w:val="0"/>
              <w:spacing w:line="360" w:lineRule="auto"/>
              <w:ind w:firstLine="420" w:firstLineChars="200"/>
              <w:outlineLvl w:val="9"/>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2、开标时，投标人采用网上远程异地解密时，请用CA证书登录平顶山市公共资源交易中心业务系统，进入本项目开标大厅点击解密来完成投标文件的解密工作。每位投标人的解密时间从开标时间起60分钟内完成，超过规定时间解密的投标文件不予接收。</w:t>
            </w:r>
          </w:p>
          <w:p w14:paraId="26338AC3">
            <w:pPr>
              <w:kinsoku w:val="0"/>
              <w:overflowPunct w:val="0"/>
              <w:autoSpaceDE w:val="0"/>
              <w:autoSpaceDN w:val="0"/>
              <w:adjustRightInd w:val="0"/>
              <w:snapToGrid w:val="0"/>
              <w:spacing w:line="360" w:lineRule="auto"/>
              <w:ind w:firstLine="420" w:firstLineChars="200"/>
              <w:outlineLvl w:val="9"/>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3、如出现投标人的电子投标文件无法解密的情况，投标人应及时联系招标人（代理机构）进行说明。投标文件解密异常，按以下步骤进行处理：</w:t>
            </w:r>
          </w:p>
          <w:p w14:paraId="14165C20">
            <w:pPr>
              <w:kinsoku w:val="0"/>
              <w:overflowPunct w:val="0"/>
              <w:autoSpaceDE w:val="0"/>
              <w:autoSpaceDN w:val="0"/>
              <w:adjustRightInd w:val="0"/>
              <w:snapToGrid w:val="0"/>
              <w:spacing w:line="360" w:lineRule="auto"/>
              <w:ind w:firstLine="420" w:firstLineChars="200"/>
              <w:outlineLvl w:val="9"/>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（1）如果是投标文件自身问题导致投标文件无法解密的，该投标文件将不予接收、解密。</w:t>
            </w:r>
          </w:p>
          <w:p w14:paraId="37AFDCB4">
            <w:pPr>
              <w:kinsoku w:val="0"/>
              <w:overflowPunct w:val="0"/>
              <w:autoSpaceDE w:val="0"/>
              <w:autoSpaceDN w:val="0"/>
              <w:adjustRightInd w:val="0"/>
              <w:snapToGrid w:val="0"/>
              <w:spacing w:line="360" w:lineRule="auto"/>
              <w:ind w:firstLine="420" w:firstLineChars="200"/>
              <w:outlineLvl w:val="9"/>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（2）如果是电子化交易系统问题造成投标文件无法解密的，将由技术人员进行排查处理。如短时间内问题无法解决的，将由招标人（代理机构）联系监督部门申请暂停开标，待问题解决后继续开标。</w:t>
            </w:r>
          </w:p>
          <w:p w14:paraId="58B9ED6E">
            <w:pPr>
              <w:kinsoku w:val="0"/>
              <w:overflowPunct w:val="0"/>
              <w:autoSpaceDE w:val="0"/>
              <w:autoSpaceDN w:val="0"/>
              <w:adjustRightInd w:val="0"/>
              <w:snapToGrid w:val="0"/>
              <w:spacing w:line="360" w:lineRule="auto"/>
              <w:ind w:firstLine="420" w:firstLineChars="200"/>
              <w:outlineLvl w:val="9"/>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4、所有投标文件解密完成后，由招标人（代理机构）操作，对开标结果进行公示。</w:t>
            </w:r>
          </w:p>
          <w:p w14:paraId="0668B6D3">
            <w:pPr>
              <w:kinsoku w:val="0"/>
              <w:overflowPunct w:val="0"/>
              <w:autoSpaceDE w:val="0"/>
              <w:autoSpaceDN w:val="0"/>
              <w:adjustRightInd w:val="0"/>
              <w:snapToGrid w:val="0"/>
              <w:spacing w:line="360" w:lineRule="auto"/>
              <w:ind w:firstLine="420" w:firstLineChars="200"/>
              <w:outlineLvl w:val="9"/>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5、投标人应保证在开标期间电话、电脑、网络等能够正常使用，投标人因停电、电脑病毒、网络堵塞等原因，未在规定的解密时间内对投标文件进行解密的，其投标文件不予接收。</w:t>
            </w:r>
          </w:p>
          <w:p w14:paraId="4D375A0B">
            <w:pPr>
              <w:kinsoku w:val="0"/>
              <w:overflowPunct w:val="0"/>
              <w:autoSpaceDE w:val="0"/>
              <w:autoSpaceDN w:val="0"/>
              <w:adjustRightInd w:val="0"/>
              <w:snapToGrid w:val="0"/>
              <w:spacing w:line="360" w:lineRule="auto"/>
              <w:ind w:firstLine="420" w:firstLineChars="200"/>
              <w:textAlignment w:val="bottom"/>
              <w:outlineLvl w:val="9"/>
              <w:rPr>
                <w:rFonts w:hint="eastAsia" w:ascii="宋体" w:hAnsi="宋体" w:eastAsia="宋体" w:cs="宋体"/>
                <w:color w:val="auto"/>
                <w:kern w:val="0"/>
                <w:sz w:val="21"/>
                <w:szCs w:val="21"/>
              </w:rPr>
            </w:pPr>
            <w:r>
              <w:rPr>
                <w:rFonts w:hint="eastAsia" w:ascii="宋体" w:hAnsi="宋体" w:eastAsia="宋体" w:cs="宋体"/>
                <w:color w:val="auto"/>
                <w:sz w:val="21"/>
                <w:szCs w:val="21"/>
                <w:shd w:val="clear" w:color="auto" w:fill="FFFFFF"/>
              </w:rPr>
              <w:t>6、解密完成后，投标人可登录到交易系统查看自己的投标报价。如对自己的报价内容有异议的，应在报价内容显示后20分钟内联系招标人（代理机构）进行质疑，投标人未在规定时间内提出质疑的，视为认可开标结果显示内容。</w:t>
            </w:r>
          </w:p>
        </w:tc>
      </w:tr>
      <w:tr w14:paraId="39D07A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14:paraId="556D72CF">
            <w:pPr>
              <w:kinsoku w:val="0"/>
              <w:overflowPunct w:val="0"/>
              <w:autoSpaceDE w:val="0"/>
              <w:autoSpaceDN w:val="0"/>
              <w:adjustRightInd w:val="0"/>
              <w:snapToGrid w:val="0"/>
              <w:spacing w:line="360" w:lineRule="auto"/>
              <w:jc w:val="center"/>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32</w:t>
            </w:r>
          </w:p>
        </w:tc>
        <w:tc>
          <w:tcPr>
            <w:tcW w:w="9084" w:type="dxa"/>
            <w:gridSpan w:val="2"/>
            <w:tcBorders>
              <w:top w:val="single" w:color="auto" w:sz="4" w:space="0"/>
              <w:left w:val="nil"/>
              <w:bottom w:val="single" w:color="auto" w:sz="4" w:space="0"/>
              <w:right w:val="single" w:color="auto" w:sz="4" w:space="0"/>
            </w:tcBorders>
            <w:noWrap w:val="0"/>
            <w:vAlign w:val="center"/>
          </w:tcPr>
          <w:p w14:paraId="079F4B6B">
            <w:pPr>
              <w:kinsoku w:val="0"/>
              <w:overflowPunct w:val="0"/>
              <w:autoSpaceDE w:val="0"/>
              <w:autoSpaceDN w:val="0"/>
              <w:adjustRightInd w:val="0"/>
              <w:snapToGrid w:val="0"/>
              <w:spacing w:line="360" w:lineRule="auto"/>
              <w:ind w:firstLine="420" w:firstLineChars="200"/>
              <w:outlineLvl w:val="9"/>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根据政府采购相关规定，文件中明确不接受进口产品的设备，不得投报进口产品。</w:t>
            </w:r>
          </w:p>
        </w:tc>
      </w:tr>
      <w:tr w14:paraId="607668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14:paraId="298EFA7F">
            <w:pPr>
              <w:kinsoku w:val="0"/>
              <w:overflowPunct w:val="0"/>
              <w:autoSpaceDE w:val="0"/>
              <w:autoSpaceDN w:val="0"/>
              <w:adjustRightInd w:val="0"/>
              <w:snapToGrid w:val="0"/>
              <w:spacing w:line="360" w:lineRule="auto"/>
              <w:jc w:val="center"/>
              <w:outlineLvl w:val="9"/>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33</w:t>
            </w:r>
          </w:p>
        </w:tc>
        <w:tc>
          <w:tcPr>
            <w:tcW w:w="9084" w:type="dxa"/>
            <w:gridSpan w:val="2"/>
            <w:tcBorders>
              <w:top w:val="single" w:color="auto" w:sz="4" w:space="0"/>
              <w:left w:val="nil"/>
              <w:bottom w:val="single" w:color="auto" w:sz="4" w:space="0"/>
              <w:right w:val="single" w:color="auto" w:sz="4" w:space="0"/>
            </w:tcBorders>
            <w:noWrap w:val="0"/>
            <w:vAlign w:val="center"/>
          </w:tcPr>
          <w:p w14:paraId="17D4B2CD">
            <w:pPr>
              <w:kinsoku w:val="0"/>
              <w:overflowPunct w:val="0"/>
              <w:autoSpaceDE w:val="0"/>
              <w:autoSpaceDN w:val="0"/>
              <w:adjustRightInd w:val="0"/>
              <w:snapToGrid w:val="0"/>
              <w:spacing w:line="360" w:lineRule="auto"/>
              <w:ind w:firstLine="420" w:firstLineChars="200"/>
              <w:outlineLvl w:val="9"/>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投标人或其他利害关系人对本次公告如有异议，请按中华人民共和国财政部令第94号《政府采购质疑和投诉办法》的相关规定，在规定时间内，向采购人、采购代理机构、政府采购监督部门提出质疑、投诉等事宜。逾期未提交或未按照要求提交的质疑、投诉将不予受理。</w:t>
            </w:r>
          </w:p>
          <w:p w14:paraId="6DA58D3E">
            <w:pPr>
              <w:kinsoku w:val="0"/>
              <w:overflowPunct w:val="0"/>
              <w:autoSpaceDE w:val="0"/>
              <w:autoSpaceDN w:val="0"/>
              <w:adjustRightInd w:val="0"/>
              <w:snapToGrid w:val="0"/>
              <w:spacing w:line="360" w:lineRule="auto"/>
              <w:ind w:firstLine="420" w:firstLineChars="200"/>
              <w:outlineLvl w:val="9"/>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联系方式如下：</w:t>
            </w:r>
          </w:p>
          <w:p w14:paraId="47FF26BD">
            <w:pPr>
              <w:kinsoku w:val="0"/>
              <w:overflowPunct w:val="0"/>
              <w:autoSpaceDE w:val="0"/>
              <w:autoSpaceDN w:val="0"/>
              <w:adjustRightInd w:val="0"/>
              <w:snapToGrid w:val="0"/>
              <w:spacing w:line="360" w:lineRule="auto"/>
              <w:ind w:firstLine="420" w:firstLineChars="200"/>
              <w:outlineLvl w:val="9"/>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采购人</w:t>
            </w:r>
            <w:r>
              <w:rPr>
                <w:rFonts w:hint="eastAsia" w:ascii="宋体" w:hAnsi="宋体" w:eastAsia="宋体" w:cs="宋体"/>
                <w:color w:val="auto"/>
                <w:kern w:val="0"/>
                <w:sz w:val="21"/>
                <w:szCs w:val="21"/>
              </w:rPr>
              <w:t>联系人：户先生</w:t>
            </w:r>
            <w:r>
              <w:rPr>
                <w:rFonts w:hint="eastAsia" w:ascii="宋体" w:hAnsi="宋体" w:cs="宋体"/>
                <w:color w:val="auto"/>
                <w:kern w:val="0"/>
                <w:sz w:val="21"/>
                <w:szCs w:val="21"/>
                <w:lang w:val="en-US" w:eastAsia="zh-CN"/>
              </w:rPr>
              <w:t xml:space="preserve">   </w:t>
            </w:r>
            <w:r>
              <w:rPr>
                <w:rFonts w:hint="eastAsia" w:ascii="宋体" w:hAnsi="宋体" w:eastAsia="宋体" w:cs="宋体"/>
                <w:color w:val="auto"/>
                <w:kern w:val="0"/>
                <w:sz w:val="21"/>
                <w:szCs w:val="21"/>
              </w:rPr>
              <w:t>联系方式：15716556161</w:t>
            </w:r>
          </w:p>
          <w:p w14:paraId="65D93C06">
            <w:pPr>
              <w:kinsoku w:val="0"/>
              <w:overflowPunct w:val="0"/>
              <w:autoSpaceDE w:val="0"/>
              <w:autoSpaceDN w:val="0"/>
              <w:adjustRightInd w:val="0"/>
              <w:snapToGrid w:val="0"/>
              <w:spacing w:line="360" w:lineRule="auto"/>
              <w:ind w:firstLine="420" w:firstLineChars="200"/>
              <w:outlineLvl w:val="9"/>
              <w:rPr>
                <w:rFonts w:hint="default"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代理机构</w:t>
            </w:r>
            <w:r>
              <w:rPr>
                <w:rFonts w:hint="eastAsia" w:ascii="宋体" w:hAnsi="宋体" w:eastAsia="宋体" w:cs="宋体"/>
                <w:color w:val="auto"/>
                <w:kern w:val="0"/>
                <w:sz w:val="21"/>
                <w:szCs w:val="21"/>
              </w:rPr>
              <w:t>联系</w:t>
            </w:r>
            <w:r>
              <w:rPr>
                <w:rFonts w:hint="eastAsia" w:ascii="宋体" w:hAnsi="宋体" w:eastAsia="宋体" w:cs="宋体"/>
                <w:color w:val="auto"/>
                <w:kern w:val="0"/>
                <w:sz w:val="21"/>
                <w:szCs w:val="21"/>
                <w:lang w:eastAsia="zh-CN"/>
              </w:rPr>
              <w:t>人</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 xml:space="preserve">张士奇 </w:t>
            </w:r>
            <w:r>
              <w:rPr>
                <w:rFonts w:hint="eastAsia" w:ascii="宋体" w:hAnsi="宋体" w:eastAsia="宋体" w:cs="宋体"/>
                <w:color w:val="auto"/>
                <w:kern w:val="0"/>
                <w:sz w:val="21"/>
                <w:szCs w:val="21"/>
                <w:lang w:val="en-US" w:eastAsia="zh-CN"/>
              </w:rPr>
              <w:t xml:space="preserve">  联系电话：</w:t>
            </w:r>
            <w:r>
              <w:rPr>
                <w:rFonts w:hint="eastAsia" w:ascii="宋体" w:hAnsi="宋体" w:cs="宋体"/>
                <w:color w:val="auto"/>
                <w:kern w:val="0"/>
                <w:sz w:val="21"/>
                <w:szCs w:val="21"/>
                <w:lang w:val="en-US" w:eastAsia="zh-CN"/>
              </w:rPr>
              <w:t>17303909991</w:t>
            </w:r>
          </w:p>
          <w:p w14:paraId="4D81E39D">
            <w:pPr>
              <w:kinsoku w:val="0"/>
              <w:overflowPunct w:val="0"/>
              <w:autoSpaceDE w:val="0"/>
              <w:autoSpaceDN w:val="0"/>
              <w:adjustRightInd w:val="0"/>
              <w:snapToGrid w:val="0"/>
              <w:spacing w:line="360" w:lineRule="auto"/>
              <w:ind w:firstLine="420" w:firstLineChars="200"/>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对供应商提出的质疑，采购人、采购代理机构应当依法及时答复和处理，不得推诿扯皮故意刁难，须进行实质性回应。</w:t>
            </w:r>
          </w:p>
        </w:tc>
      </w:tr>
      <w:tr w14:paraId="7943C1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14:paraId="459CD305">
            <w:pPr>
              <w:kinsoku w:val="0"/>
              <w:overflowPunct w:val="0"/>
              <w:autoSpaceDE w:val="0"/>
              <w:autoSpaceDN w:val="0"/>
              <w:adjustRightInd w:val="0"/>
              <w:snapToGrid w:val="0"/>
              <w:spacing w:line="360" w:lineRule="auto"/>
              <w:jc w:val="center"/>
              <w:outlineLvl w:val="9"/>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3</w:t>
            </w:r>
            <w:r>
              <w:rPr>
                <w:rFonts w:hint="eastAsia" w:ascii="宋体" w:hAnsi="宋体" w:eastAsia="宋体" w:cs="宋体"/>
                <w:color w:val="auto"/>
                <w:kern w:val="0"/>
                <w:sz w:val="21"/>
                <w:szCs w:val="21"/>
                <w:lang w:val="en-US" w:eastAsia="zh-CN"/>
              </w:rPr>
              <w:t>4</w:t>
            </w:r>
          </w:p>
        </w:tc>
        <w:tc>
          <w:tcPr>
            <w:tcW w:w="9084" w:type="dxa"/>
            <w:gridSpan w:val="2"/>
            <w:tcBorders>
              <w:top w:val="single" w:color="auto" w:sz="4" w:space="0"/>
              <w:left w:val="nil"/>
              <w:bottom w:val="single" w:color="auto" w:sz="4" w:space="0"/>
              <w:right w:val="single" w:color="auto" w:sz="4" w:space="0"/>
            </w:tcBorders>
            <w:noWrap w:val="0"/>
            <w:vAlign w:val="center"/>
          </w:tcPr>
          <w:p w14:paraId="3FC21C09">
            <w:pPr>
              <w:kinsoku w:val="0"/>
              <w:overflowPunct w:val="0"/>
              <w:autoSpaceDE w:val="0"/>
              <w:autoSpaceDN w:val="0"/>
              <w:adjustRightInd w:val="0"/>
              <w:snapToGrid w:val="0"/>
              <w:spacing w:line="360" w:lineRule="auto"/>
              <w:ind w:firstLine="420" w:firstLineChars="200"/>
              <w:textAlignment w:val="bottom"/>
              <w:outlineLvl w:val="9"/>
              <w:rPr>
                <w:rFonts w:hint="eastAsia" w:ascii="宋体" w:hAnsi="宋体" w:eastAsia="宋体" w:cs="宋体"/>
                <w:color w:val="auto"/>
                <w:kern w:val="0"/>
                <w:sz w:val="21"/>
                <w:szCs w:val="21"/>
              </w:rPr>
            </w:pPr>
            <w:r>
              <w:rPr>
                <w:rFonts w:hint="eastAsia" w:ascii="宋体" w:hAnsi="宋体" w:eastAsia="宋体" w:cs="宋体"/>
                <w:b w:val="0"/>
                <w:bCs w:val="0"/>
                <w:color w:val="auto"/>
                <w:kern w:val="0"/>
                <w:sz w:val="21"/>
                <w:szCs w:val="21"/>
              </w:rPr>
              <w:t>解释：构成本招标文件的各个组成文件应互为解释，互为说明；如有不明确或不一致，构成合同文件组成内容的，以合同文件约定内容为准；除招标文件中有特殊规定外，仅适用于招标投标阶段的规定，按招标公告、供应商须知、评标办法、投标文件格式的先后顺序解释；同一组成文件中就同一事项的规定或约定不一致的，以编排顺序在后者为准；当招标文件与招标文件的澄清、修改或补充通知就同一内容的表述不一致时，以最后发出的书面文件为准。合同文件约定或后者明显错误的除外。按本款前述规定仍不能形成结论的，由采购人（或采购代理机构）负责解释。</w:t>
            </w:r>
          </w:p>
        </w:tc>
      </w:tr>
      <w:tr w14:paraId="447F7C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14:paraId="50827185">
            <w:pPr>
              <w:kinsoku w:val="0"/>
              <w:overflowPunct w:val="0"/>
              <w:autoSpaceDE w:val="0"/>
              <w:autoSpaceDN w:val="0"/>
              <w:adjustRightInd w:val="0"/>
              <w:snapToGrid w:val="0"/>
              <w:spacing w:line="360" w:lineRule="auto"/>
              <w:jc w:val="center"/>
              <w:outlineLvl w:val="9"/>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35</w:t>
            </w:r>
          </w:p>
        </w:tc>
        <w:tc>
          <w:tcPr>
            <w:tcW w:w="9084" w:type="dxa"/>
            <w:gridSpan w:val="2"/>
            <w:tcBorders>
              <w:top w:val="single" w:color="auto" w:sz="4" w:space="0"/>
              <w:left w:val="nil"/>
              <w:bottom w:val="single" w:color="auto" w:sz="4" w:space="0"/>
              <w:right w:val="single" w:color="auto" w:sz="4" w:space="0"/>
            </w:tcBorders>
            <w:noWrap w:val="0"/>
            <w:vAlign w:val="center"/>
          </w:tcPr>
          <w:p w14:paraId="50D3113B">
            <w:pPr>
              <w:keepNext w:val="0"/>
              <w:keepLines w:val="0"/>
              <w:widowControl/>
              <w:suppressLineNumbers w:val="0"/>
              <w:spacing w:before="0" w:beforeLines="0" w:beforeAutospacing="0" w:after="0" w:afterLines="0" w:afterAutospacing="0" w:line="360" w:lineRule="auto"/>
              <w:ind w:left="0" w:right="0" w:firstLine="316" w:firstLineChars="150"/>
              <w:outlineLvl w:val="9"/>
              <w:rPr>
                <w:rFonts w:hint="eastAsia"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bidi="ar"/>
              </w:rPr>
              <w:t>四方信用评价</w:t>
            </w:r>
          </w:p>
          <w:p w14:paraId="668E747E">
            <w:pPr>
              <w:keepNext w:val="0"/>
              <w:keepLines w:val="0"/>
              <w:widowControl/>
              <w:suppressLineNumbers w:val="0"/>
              <w:spacing w:before="0" w:beforeLines="0" w:beforeAutospacing="0" w:after="0" w:afterLines="0" w:afterAutospacing="0" w:line="360" w:lineRule="auto"/>
              <w:ind w:left="0" w:right="0" w:firstLine="315" w:firstLineChars="150"/>
              <w:outlineLvl w:val="9"/>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我市政府采购项目已实行四方信用评价功能，各方主体请登录“平顶山市政府采购网”按照评价要求进行客观公正的评价。</w:t>
            </w:r>
          </w:p>
          <w:p w14:paraId="79477D20">
            <w:pPr>
              <w:keepNext w:val="0"/>
              <w:keepLines w:val="0"/>
              <w:widowControl/>
              <w:suppressLineNumbers w:val="0"/>
              <w:spacing w:before="0" w:beforeLines="0" w:beforeAutospacing="0" w:after="0" w:afterLines="0" w:afterAutospacing="0" w:line="360" w:lineRule="auto"/>
              <w:ind w:left="0" w:right="0" w:firstLine="315" w:firstLineChars="150"/>
              <w:outlineLvl w:val="9"/>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1.对采购人评价指标评价主体:中标、成交供应商</w:t>
            </w:r>
          </w:p>
          <w:p w14:paraId="329566AA">
            <w:pPr>
              <w:keepNext w:val="0"/>
              <w:keepLines w:val="0"/>
              <w:widowControl/>
              <w:suppressLineNumbers w:val="0"/>
              <w:spacing w:before="0" w:beforeLines="0" w:beforeAutospacing="0" w:after="0" w:afterLines="0" w:afterAutospacing="0" w:line="360" w:lineRule="auto"/>
              <w:ind w:left="0" w:right="0" w:firstLine="315" w:firstLineChars="150"/>
              <w:outlineLvl w:val="9"/>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评价节点:合同履约完成后</w:t>
            </w:r>
          </w:p>
          <w:p w14:paraId="133CCF6A">
            <w:pPr>
              <w:keepNext w:val="0"/>
              <w:keepLines w:val="0"/>
              <w:widowControl/>
              <w:suppressLineNumbers w:val="0"/>
              <w:spacing w:before="0" w:beforeLines="0" w:beforeAutospacing="0" w:after="0" w:afterLines="0" w:afterAutospacing="0" w:line="360" w:lineRule="auto"/>
              <w:ind w:left="0" w:right="0" w:firstLine="315" w:firstLineChars="150"/>
              <w:outlineLvl w:val="9"/>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2.对中标、成交供应商评价指标评价主体为:采购人</w:t>
            </w:r>
          </w:p>
          <w:p w14:paraId="40996D5C">
            <w:pPr>
              <w:keepNext w:val="0"/>
              <w:keepLines w:val="0"/>
              <w:widowControl/>
              <w:suppressLineNumbers w:val="0"/>
              <w:spacing w:before="0" w:beforeLines="0" w:beforeAutospacing="0" w:after="0" w:afterLines="0" w:afterAutospacing="0" w:line="360" w:lineRule="auto"/>
              <w:ind w:left="0" w:right="0" w:firstLine="315" w:firstLineChars="150"/>
              <w:outlineLvl w:val="9"/>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评价节点:合同履约完成后</w:t>
            </w:r>
          </w:p>
          <w:p w14:paraId="3E5B9D68">
            <w:pPr>
              <w:keepNext w:val="0"/>
              <w:keepLines w:val="0"/>
              <w:widowControl/>
              <w:suppressLineNumbers w:val="0"/>
              <w:spacing w:before="0" w:beforeLines="0" w:beforeAutospacing="0" w:after="0" w:afterLines="0" w:afterAutospacing="0" w:line="360" w:lineRule="auto"/>
              <w:ind w:left="0" w:right="0" w:firstLine="315" w:firstLineChars="150"/>
              <w:outlineLvl w:val="9"/>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3.对评审专家评价指标评价主体为:采购人、代理机构</w:t>
            </w:r>
          </w:p>
          <w:p w14:paraId="0BDE0FA5">
            <w:pPr>
              <w:keepNext w:val="0"/>
              <w:keepLines w:val="0"/>
              <w:widowControl/>
              <w:suppressLineNumbers w:val="0"/>
              <w:spacing w:before="0" w:beforeLines="0" w:beforeAutospacing="0" w:after="0" w:afterLines="0" w:afterAutospacing="0" w:line="360" w:lineRule="auto"/>
              <w:ind w:left="0" w:right="0" w:firstLine="315" w:firstLineChars="150"/>
              <w:outlineLvl w:val="9"/>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评价节点:项目评审结束后</w:t>
            </w:r>
          </w:p>
          <w:p w14:paraId="55754C14">
            <w:pPr>
              <w:keepNext w:val="0"/>
              <w:keepLines w:val="0"/>
              <w:widowControl/>
              <w:suppressLineNumbers w:val="0"/>
              <w:spacing w:before="0" w:beforeLines="0" w:beforeAutospacing="0" w:after="0" w:afterLines="0" w:afterAutospacing="0" w:line="360" w:lineRule="auto"/>
              <w:ind w:left="0" w:right="0" w:firstLine="315" w:firstLineChars="150"/>
              <w:outlineLvl w:val="9"/>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4.对代理机构评价指标评价主体为:采购人、评审专家、供应商</w:t>
            </w:r>
          </w:p>
          <w:p w14:paraId="53C94385">
            <w:pPr>
              <w:kinsoku w:val="0"/>
              <w:overflowPunct w:val="0"/>
              <w:autoSpaceDE w:val="0"/>
              <w:autoSpaceDN w:val="0"/>
              <w:adjustRightInd w:val="0"/>
              <w:snapToGrid w:val="0"/>
              <w:spacing w:line="360" w:lineRule="auto"/>
              <w:ind w:firstLine="420" w:firstLineChars="200"/>
              <w:textAlignment w:val="bottom"/>
              <w:outlineLvl w:val="9"/>
              <w:rPr>
                <w:rFonts w:hint="eastAsia" w:ascii="宋体" w:hAnsi="宋体" w:eastAsia="宋体" w:cs="宋体"/>
                <w:b w:val="0"/>
                <w:bCs w:val="0"/>
                <w:color w:val="auto"/>
                <w:kern w:val="0"/>
                <w:sz w:val="21"/>
                <w:szCs w:val="21"/>
              </w:rPr>
            </w:pPr>
            <w:r>
              <w:rPr>
                <w:rFonts w:hint="eastAsia" w:ascii="宋体" w:hAnsi="宋体" w:eastAsia="宋体" w:cs="宋体"/>
                <w:color w:val="auto"/>
                <w:kern w:val="0"/>
                <w:szCs w:val="21"/>
                <w:highlight w:val="none"/>
                <w:lang w:bidi="ar"/>
              </w:rPr>
              <w:t>评价节点:项目评审结束后</w:t>
            </w:r>
          </w:p>
        </w:tc>
      </w:tr>
    </w:tbl>
    <w:p w14:paraId="6E55BF77">
      <w:pPr>
        <w:spacing w:line="360" w:lineRule="auto"/>
        <w:outlineLvl w:val="9"/>
        <w:rPr>
          <w:rFonts w:hint="eastAsia" w:ascii="宋体" w:hAnsi="宋体" w:eastAsia="宋体" w:cs="宋体"/>
          <w:b/>
          <w:bCs/>
          <w:color w:val="auto"/>
          <w:sz w:val="21"/>
          <w:szCs w:val="21"/>
          <w:lang w:val="en-US" w:eastAsia="zh-CN"/>
        </w:rPr>
      </w:pPr>
    </w:p>
    <w:p w14:paraId="53163300">
      <w:pPr>
        <w:spacing w:line="360" w:lineRule="auto"/>
        <w:outlineLvl w:val="1"/>
        <w:rPr>
          <w:rFonts w:hint="eastAsia" w:ascii="宋体" w:hAnsi="宋体" w:eastAsia="宋体" w:cs="宋体"/>
          <w:b/>
          <w:bCs/>
          <w:color w:val="auto"/>
          <w:sz w:val="21"/>
          <w:szCs w:val="21"/>
          <w:lang w:val="en-US" w:eastAsia="zh-CN"/>
        </w:rPr>
      </w:pPr>
      <w:bookmarkStart w:id="32" w:name="_Toc28788"/>
      <w:r>
        <w:rPr>
          <w:rFonts w:hint="eastAsia" w:ascii="宋体" w:hAnsi="宋体" w:eastAsia="宋体" w:cs="宋体"/>
          <w:b/>
          <w:bCs/>
          <w:color w:val="auto"/>
          <w:sz w:val="21"/>
          <w:szCs w:val="21"/>
          <w:lang w:val="en-US" w:eastAsia="zh-CN"/>
        </w:rPr>
        <w:t>一、总则</w:t>
      </w:r>
      <w:bookmarkEnd w:id="32"/>
    </w:p>
    <w:p w14:paraId="55386ED5">
      <w:pPr>
        <w:spacing w:line="360" w:lineRule="auto"/>
        <w:outlineLvl w:val="9"/>
        <w:rPr>
          <w:rFonts w:hint="eastAsia" w:ascii="宋体" w:hAnsi="宋体" w:eastAsia="宋体" w:cs="宋体"/>
          <w:color w:val="auto"/>
          <w:sz w:val="21"/>
          <w:szCs w:val="21"/>
          <w:lang w:val="en-US" w:eastAsia="zh-CN"/>
        </w:rPr>
      </w:pPr>
      <w:r>
        <w:rPr>
          <w:rFonts w:hint="eastAsia" w:ascii="宋体" w:hAnsi="宋体" w:eastAsia="宋体" w:cs="宋体"/>
          <w:b/>
          <w:bCs/>
          <w:color w:val="auto"/>
          <w:sz w:val="21"/>
          <w:szCs w:val="21"/>
        </w:rPr>
        <w:t>1、项目</w:t>
      </w:r>
      <w:r>
        <w:rPr>
          <w:rFonts w:hint="eastAsia" w:ascii="宋体" w:hAnsi="宋体" w:eastAsia="宋体" w:cs="宋体"/>
          <w:b/>
          <w:bCs/>
          <w:color w:val="auto"/>
          <w:sz w:val="21"/>
          <w:szCs w:val="21"/>
          <w:lang w:val="en-US" w:eastAsia="zh-CN"/>
        </w:rPr>
        <w:t>概况</w:t>
      </w:r>
    </w:p>
    <w:p w14:paraId="2B5F3639">
      <w:pPr>
        <w:spacing w:line="360" w:lineRule="auto"/>
        <w:ind w:firstLine="420" w:firstLineChars="200"/>
        <w:outlineLvl w:val="9"/>
        <w:rPr>
          <w:rFonts w:hint="eastAsia" w:ascii="宋体" w:hAnsi="宋体" w:eastAsia="宋体" w:cs="宋体"/>
          <w:color w:val="auto"/>
          <w:sz w:val="21"/>
          <w:szCs w:val="21"/>
        </w:rPr>
      </w:pPr>
      <w:r>
        <w:rPr>
          <w:rFonts w:hint="eastAsia" w:ascii="宋体" w:hAnsi="宋体" w:eastAsia="宋体" w:cs="宋体"/>
          <w:color w:val="auto"/>
          <w:sz w:val="21"/>
          <w:szCs w:val="21"/>
        </w:rPr>
        <w:t>1.1项目名称：平顶山市第一高级中学2026-2027年度安全管理服务项目</w:t>
      </w:r>
    </w:p>
    <w:p w14:paraId="5F21AE75">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textAlignment w:val="auto"/>
        <w:outlineLvl w:val="9"/>
        <w:rPr>
          <w:rFonts w:hint="eastAsia"/>
          <w:color w:val="auto"/>
          <w:sz w:val="21"/>
          <w:szCs w:val="21"/>
          <w:highlight w:val="none"/>
        </w:rPr>
      </w:pP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rPr>
        <w:t>采购</w:t>
      </w:r>
      <w:r>
        <w:rPr>
          <w:rFonts w:hint="eastAsia" w:ascii="宋体" w:hAnsi="宋体" w:eastAsia="宋体" w:cs="宋体"/>
          <w:color w:val="auto"/>
          <w:sz w:val="21"/>
          <w:szCs w:val="21"/>
          <w:lang w:val="en-US" w:eastAsia="zh-CN"/>
        </w:rPr>
        <w:t>内容</w:t>
      </w:r>
      <w:r>
        <w:rPr>
          <w:rFonts w:hint="eastAsia" w:ascii="宋体" w:hAnsi="宋体" w:eastAsia="宋体" w:cs="宋体"/>
          <w:color w:val="auto"/>
          <w:sz w:val="21"/>
          <w:szCs w:val="21"/>
        </w:rPr>
        <w:t>：平顶山市第一高级中学2026-2027年度安全管理服务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服务内容包含：</w:t>
      </w:r>
      <w:r>
        <w:rPr>
          <w:rFonts w:hint="eastAsia" w:ascii="宋体" w:hAnsi="宋体" w:eastAsia="宋体" w:cs="宋体"/>
          <w:color w:val="auto"/>
          <w:sz w:val="21"/>
          <w:szCs w:val="21"/>
        </w:rPr>
        <w:t>来人来访的通报、证件检验、登记等</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防盗防火报警监控设备运行维修管理，门卫、守护和巡逻，公共秩序维护，治安及其它突发事件处理等</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楼区道路交通管理机动车和非机动车停放管理等，甲方安排的其他工作任务等。具体</w:t>
      </w:r>
      <w:r>
        <w:rPr>
          <w:rFonts w:hint="eastAsia" w:ascii="宋体" w:hAnsi="宋体" w:eastAsia="宋体" w:cs="宋体"/>
          <w:color w:val="auto"/>
          <w:sz w:val="21"/>
          <w:szCs w:val="21"/>
          <w:lang w:val="en-US" w:eastAsia="zh-CN"/>
        </w:rPr>
        <w:t>内容详见采购文件</w:t>
      </w:r>
      <w:r>
        <w:rPr>
          <w:rFonts w:hint="eastAsia" w:ascii="宋体" w:hAnsi="宋体" w:eastAsia="宋体" w:cs="宋体"/>
          <w:color w:val="auto"/>
          <w:sz w:val="21"/>
          <w:szCs w:val="21"/>
        </w:rPr>
        <w:t>。</w:t>
      </w:r>
    </w:p>
    <w:p w14:paraId="467BD35E">
      <w:pPr>
        <w:spacing w:line="360" w:lineRule="auto"/>
        <w:ind w:firstLine="420" w:firstLineChars="200"/>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1.3资金来源：财政资金</w:t>
      </w:r>
      <w:r>
        <w:rPr>
          <w:rFonts w:hint="eastAsia" w:ascii="宋体" w:hAnsi="宋体" w:eastAsia="宋体" w:cs="宋体"/>
          <w:color w:val="auto"/>
          <w:sz w:val="21"/>
          <w:szCs w:val="21"/>
          <w:highlight w:val="none"/>
          <w:lang w:eastAsia="zh-CN"/>
        </w:rPr>
        <w:t>。</w:t>
      </w:r>
    </w:p>
    <w:p w14:paraId="154CDCD0">
      <w:pPr>
        <w:spacing w:line="360" w:lineRule="auto"/>
        <w:outlineLvl w:val="9"/>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rPr>
        <w:t>2、采购方式及</w:t>
      </w:r>
      <w:r>
        <w:rPr>
          <w:rFonts w:hint="eastAsia" w:ascii="宋体" w:hAnsi="宋体" w:eastAsia="宋体" w:cs="宋体"/>
          <w:b/>
          <w:bCs/>
          <w:color w:val="auto"/>
          <w:sz w:val="21"/>
          <w:szCs w:val="21"/>
          <w:lang w:val="en-US" w:eastAsia="zh-CN"/>
        </w:rPr>
        <w:t>标包划分</w:t>
      </w:r>
    </w:p>
    <w:p w14:paraId="5DB55A9E">
      <w:pPr>
        <w:spacing w:line="360" w:lineRule="auto"/>
        <w:ind w:firstLine="420" w:firstLineChars="200"/>
        <w:outlineLvl w:val="9"/>
        <w:rPr>
          <w:rFonts w:hint="eastAsia" w:ascii="宋体" w:hAnsi="宋体" w:eastAsia="宋体" w:cs="宋体"/>
          <w:color w:val="auto"/>
          <w:sz w:val="21"/>
          <w:szCs w:val="21"/>
        </w:rPr>
      </w:pPr>
      <w:r>
        <w:rPr>
          <w:rFonts w:hint="eastAsia" w:ascii="宋体" w:hAnsi="宋体" w:eastAsia="宋体" w:cs="宋体"/>
          <w:color w:val="auto"/>
          <w:sz w:val="21"/>
          <w:szCs w:val="21"/>
        </w:rPr>
        <w:t>2.1 采购方式：见供应商须知前附表</w:t>
      </w:r>
    </w:p>
    <w:p w14:paraId="2213A758">
      <w:pPr>
        <w:spacing w:line="360" w:lineRule="auto"/>
        <w:ind w:firstLine="420" w:firstLineChars="200"/>
        <w:outlineLvl w:val="9"/>
        <w:rPr>
          <w:rFonts w:hint="eastAsia" w:ascii="宋体" w:hAnsi="宋体" w:eastAsia="宋体" w:cs="宋体"/>
          <w:color w:val="auto"/>
          <w:sz w:val="21"/>
          <w:szCs w:val="21"/>
        </w:rPr>
      </w:pPr>
      <w:r>
        <w:rPr>
          <w:rFonts w:hint="eastAsia" w:ascii="宋体" w:hAnsi="宋体" w:eastAsia="宋体" w:cs="宋体"/>
          <w:color w:val="auto"/>
          <w:sz w:val="21"/>
          <w:szCs w:val="21"/>
        </w:rPr>
        <w:t>2.2 标包划分：见供应商须知前附表</w:t>
      </w:r>
    </w:p>
    <w:p w14:paraId="2DDFA10A">
      <w:pPr>
        <w:spacing w:line="360" w:lineRule="auto"/>
        <w:outlineLvl w:val="9"/>
        <w:rPr>
          <w:rFonts w:ascii="宋体" w:hAnsi="宋体" w:eastAsia="宋体" w:cs="宋体"/>
          <w:b/>
          <w:bCs/>
          <w:color w:val="auto"/>
          <w:sz w:val="24"/>
          <w:szCs w:val="24"/>
        </w:rPr>
      </w:pPr>
      <w:r>
        <w:rPr>
          <w:rFonts w:hint="eastAsia" w:ascii="宋体" w:hAnsi="宋体" w:eastAsia="宋体" w:cs="宋体"/>
          <w:b/>
          <w:bCs/>
          <w:color w:val="auto"/>
          <w:sz w:val="24"/>
          <w:szCs w:val="24"/>
        </w:rPr>
        <w:t>3、服务期限与质量要求</w:t>
      </w:r>
    </w:p>
    <w:p w14:paraId="47727C3A">
      <w:pPr>
        <w:spacing w:line="360" w:lineRule="auto"/>
        <w:ind w:firstLine="420" w:firstLineChars="200"/>
        <w:outlineLvl w:val="9"/>
        <w:rPr>
          <w:rFonts w:ascii="宋体" w:hAnsi="宋体" w:eastAsia="宋体" w:cs="宋体"/>
          <w:color w:val="auto"/>
          <w:szCs w:val="21"/>
        </w:rPr>
      </w:pPr>
      <w:r>
        <w:rPr>
          <w:rFonts w:hint="eastAsia" w:ascii="宋体" w:hAnsi="宋体" w:eastAsia="宋体" w:cs="宋体"/>
          <w:color w:val="auto"/>
          <w:szCs w:val="21"/>
        </w:rPr>
        <w:t>3.1 服务时间：见供应商须知前附表</w:t>
      </w:r>
    </w:p>
    <w:p w14:paraId="126A8341">
      <w:pPr>
        <w:spacing w:line="360" w:lineRule="auto"/>
        <w:ind w:firstLine="420" w:firstLineChars="200"/>
        <w:outlineLvl w:val="9"/>
        <w:rPr>
          <w:rFonts w:ascii="宋体" w:hAnsi="宋体" w:eastAsia="宋体" w:cs="宋体"/>
          <w:color w:val="auto"/>
          <w:szCs w:val="21"/>
        </w:rPr>
      </w:pPr>
      <w:r>
        <w:rPr>
          <w:rFonts w:hint="eastAsia" w:ascii="宋体" w:hAnsi="宋体" w:eastAsia="宋体" w:cs="宋体"/>
          <w:color w:val="auto"/>
          <w:szCs w:val="21"/>
        </w:rPr>
        <w:t>3.2 服务</w:t>
      </w:r>
      <w:r>
        <w:rPr>
          <w:rFonts w:hint="eastAsia" w:ascii="宋体" w:hAnsi="宋体" w:cs="宋体"/>
          <w:color w:val="auto"/>
          <w:szCs w:val="21"/>
          <w:lang w:val="en-US" w:eastAsia="zh-CN"/>
        </w:rPr>
        <w:t>标准</w:t>
      </w:r>
      <w:r>
        <w:rPr>
          <w:rFonts w:hint="eastAsia" w:ascii="宋体" w:hAnsi="宋体" w:eastAsia="宋体" w:cs="宋体"/>
          <w:color w:val="auto"/>
          <w:szCs w:val="21"/>
        </w:rPr>
        <w:t>：见供应商须知前附表</w:t>
      </w:r>
    </w:p>
    <w:p w14:paraId="3F7EFFC0">
      <w:pPr>
        <w:spacing w:line="360" w:lineRule="auto"/>
        <w:outlineLvl w:val="9"/>
        <w:rPr>
          <w:rFonts w:ascii="宋体" w:hAnsi="宋体" w:eastAsia="宋体" w:cs="宋体"/>
          <w:b/>
          <w:bCs/>
          <w:color w:val="auto"/>
          <w:sz w:val="24"/>
          <w:szCs w:val="24"/>
        </w:rPr>
      </w:pPr>
      <w:r>
        <w:rPr>
          <w:rFonts w:hint="eastAsia" w:ascii="宋体" w:hAnsi="宋体" w:eastAsia="宋体" w:cs="宋体"/>
          <w:b/>
          <w:bCs/>
          <w:color w:val="auto"/>
          <w:sz w:val="24"/>
          <w:szCs w:val="24"/>
        </w:rPr>
        <w:t>4、供应商资格要求</w:t>
      </w:r>
    </w:p>
    <w:p w14:paraId="1A346C14">
      <w:pPr>
        <w:spacing w:line="360" w:lineRule="auto"/>
        <w:ind w:firstLine="420" w:firstLineChars="200"/>
        <w:outlineLvl w:val="9"/>
        <w:rPr>
          <w:rFonts w:ascii="宋体" w:hAnsi="宋体" w:eastAsia="宋体" w:cs="宋体"/>
          <w:color w:val="auto"/>
          <w:szCs w:val="21"/>
        </w:rPr>
      </w:pPr>
      <w:r>
        <w:rPr>
          <w:rFonts w:hint="eastAsia" w:ascii="宋体" w:hAnsi="宋体" w:eastAsia="宋体" w:cs="宋体"/>
          <w:color w:val="auto"/>
          <w:szCs w:val="21"/>
        </w:rPr>
        <w:t>4.1供应商应具备承担本项目的资格条件：具备</w:t>
      </w:r>
      <w:r>
        <w:rPr>
          <w:rFonts w:hint="eastAsia" w:ascii="宋体" w:hAnsi="宋体" w:cs="宋体"/>
          <w:color w:val="auto"/>
          <w:szCs w:val="21"/>
          <w:lang w:val="en-US" w:eastAsia="zh-CN"/>
        </w:rPr>
        <w:t>竞争性磋商公告</w:t>
      </w:r>
      <w:r>
        <w:rPr>
          <w:rFonts w:hint="eastAsia" w:ascii="宋体" w:hAnsi="宋体" w:eastAsia="宋体" w:cs="宋体"/>
          <w:color w:val="auto"/>
          <w:szCs w:val="21"/>
        </w:rPr>
        <w:t>“二、申请人的资格要求”规定的条件。</w:t>
      </w:r>
    </w:p>
    <w:p w14:paraId="3FDC64BB">
      <w:pPr>
        <w:spacing w:line="360" w:lineRule="auto"/>
        <w:ind w:firstLine="420" w:firstLineChars="200"/>
        <w:outlineLvl w:val="9"/>
        <w:rPr>
          <w:rFonts w:ascii="宋体" w:hAnsi="宋体" w:eastAsia="宋体" w:cs="宋体"/>
          <w:color w:val="auto"/>
          <w:szCs w:val="21"/>
        </w:rPr>
      </w:pPr>
      <w:r>
        <w:rPr>
          <w:rFonts w:hint="eastAsia" w:ascii="宋体" w:hAnsi="宋体" w:eastAsia="宋体" w:cs="宋体"/>
          <w:color w:val="auto"/>
          <w:szCs w:val="21"/>
        </w:rPr>
        <w:t>4.2 供应商不得存在下列情形：</w:t>
      </w:r>
    </w:p>
    <w:p w14:paraId="56098F75">
      <w:pPr>
        <w:spacing w:line="360" w:lineRule="auto"/>
        <w:ind w:firstLine="420" w:firstLineChars="200"/>
        <w:outlineLvl w:val="9"/>
        <w:rPr>
          <w:rFonts w:hint="eastAsia" w:ascii="宋体" w:hAnsi="宋体" w:eastAsia="宋体" w:cs="宋体"/>
          <w:color w:val="auto"/>
          <w:szCs w:val="21"/>
        </w:rPr>
      </w:pPr>
      <w:r>
        <w:rPr>
          <w:rFonts w:hint="eastAsia" w:ascii="宋体" w:hAnsi="宋体" w:eastAsia="宋体" w:cs="宋体"/>
          <w:color w:val="auto"/>
          <w:szCs w:val="21"/>
          <w:lang w:val="en-US" w:eastAsia="zh-CN"/>
        </w:rPr>
        <w:t xml:space="preserve">4.2.1 </w:t>
      </w:r>
      <w:r>
        <w:rPr>
          <w:rFonts w:hint="eastAsia" w:ascii="宋体" w:hAnsi="宋体" w:eastAsia="宋体" w:cs="宋体"/>
          <w:color w:val="auto"/>
          <w:szCs w:val="21"/>
        </w:rPr>
        <w:t>与采购人存在利害关系且可能影响磋商公正性；</w:t>
      </w:r>
    </w:p>
    <w:p w14:paraId="1902C491">
      <w:pPr>
        <w:spacing w:line="360" w:lineRule="auto"/>
        <w:ind w:firstLine="420" w:firstLineChars="200"/>
        <w:outlineLvl w:val="9"/>
        <w:rPr>
          <w:rFonts w:hint="eastAsia" w:ascii="宋体" w:hAnsi="宋体" w:eastAsia="宋体" w:cs="宋体"/>
          <w:color w:val="auto"/>
          <w:szCs w:val="21"/>
        </w:rPr>
      </w:pPr>
      <w:r>
        <w:rPr>
          <w:rFonts w:hint="eastAsia" w:ascii="宋体" w:hAnsi="宋体" w:eastAsia="宋体" w:cs="宋体"/>
          <w:color w:val="auto"/>
          <w:szCs w:val="21"/>
          <w:lang w:val="en-US" w:eastAsia="zh-CN"/>
        </w:rPr>
        <w:t xml:space="preserve">4.2.2 </w:t>
      </w:r>
      <w:r>
        <w:rPr>
          <w:rFonts w:hint="eastAsia" w:ascii="宋体" w:hAnsi="宋体" w:eastAsia="宋体" w:cs="宋体"/>
          <w:color w:val="auto"/>
          <w:szCs w:val="21"/>
        </w:rPr>
        <w:t>与本磋商项目的其他供应商为同一个单位负责人；</w:t>
      </w:r>
    </w:p>
    <w:p w14:paraId="4A3FF9D2">
      <w:pPr>
        <w:spacing w:line="360" w:lineRule="auto"/>
        <w:ind w:firstLine="420" w:firstLineChars="200"/>
        <w:outlineLvl w:val="9"/>
        <w:rPr>
          <w:rFonts w:hint="eastAsia" w:ascii="宋体" w:hAnsi="宋体" w:eastAsia="宋体" w:cs="宋体"/>
          <w:color w:val="auto"/>
          <w:szCs w:val="21"/>
        </w:rPr>
      </w:pPr>
      <w:r>
        <w:rPr>
          <w:rFonts w:hint="eastAsia" w:ascii="宋体" w:hAnsi="宋体" w:eastAsia="宋体" w:cs="宋体"/>
          <w:color w:val="auto"/>
          <w:szCs w:val="21"/>
          <w:lang w:val="en-US" w:eastAsia="zh-CN"/>
        </w:rPr>
        <w:t xml:space="preserve">4.2.3 </w:t>
      </w:r>
      <w:r>
        <w:rPr>
          <w:rFonts w:hint="eastAsia" w:ascii="宋体" w:hAnsi="宋体" w:eastAsia="宋体" w:cs="宋体"/>
          <w:color w:val="auto"/>
          <w:szCs w:val="21"/>
        </w:rPr>
        <w:t>与本磋商项目的其他供应商存在控股、管理关系；</w:t>
      </w:r>
    </w:p>
    <w:p w14:paraId="4D1D8A35">
      <w:pPr>
        <w:spacing w:line="360" w:lineRule="auto"/>
        <w:ind w:firstLine="420" w:firstLineChars="200"/>
        <w:outlineLvl w:val="9"/>
        <w:rPr>
          <w:rFonts w:hint="eastAsia" w:ascii="宋体" w:hAnsi="宋体" w:eastAsia="宋体" w:cs="宋体"/>
          <w:color w:val="auto"/>
          <w:szCs w:val="21"/>
        </w:rPr>
      </w:pPr>
      <w:r>
        <w:rPr>
          <w:rFonts w:hint="eastAsia" w:ascii="宋体" w:hAnsi="宋体" w:eastAsia="宋体" w:cs="宋体"/>
          <w:color w:val="auto"/>
          <w:szCs w:val="21"/>
          <w:lang w:val="en-US" w:eastAsia="zh-CN"/>
        </w:rPr>
        <w:t xml:space="preserve">4.2.4 </w:t>
      </w:r>
      <w:r>
        <w:rPr>
          <w:rFonts w:hint="eastAsia" w:ascii="宋体" w:hAnsi="宋体" w:eastAsia="宋体" w:cs="宋体"/>
          <w:color w:val="auto"/>
          <w:szCs w:val="21"/>
        </w:rPr>
        <w:t>为本磋商项目提供过整体设计、规范编制或者项目管理、监理、检测等服务；</w:t>
      </w:r>
    </w:p>
    <w:p w14:paraId="7A588E36">
      <w:pPr>
        <w:spacing w:line="360" w:lineRule="auto"/>
        <w:ind w:firstLine="420" w:firstLineChars="200"/>
        <w:outlineLvl w:val="9"/>
        <w:rPr>
          <w:rFonts w:hint="eastAsia" w:ascii="宋体" w:hAnsi="宋体" w:eastAsia="宋体" w:cs="宋体"/>
          <w:color w:val="auto"/>
          <w:szCs w:val="21"/>
        </w:rPr>
      </w:pPr>
      <w:r>
        <w:rPr>
          <w:rFonts w:hint="eastAsia" w:ascii="宋体" w:hAnsi="宋体" w:eastAsia="宋体" w:cs="宋体"/>
          <w:color w:val="auto"/>
          <w:szCs w:val="21"/>
          <w:lang w:val="en-US" w:eastAsia="zh-CN"/>
        </w:rPr>
        <w:t xml:space="preserve">4.2.5 </w:t>
      </w:r>
      <w:r>
        <w:rPr>
          <w:rFonts w:hint="eastAsia" w:ascii="宋体" w:hAnsi="宋体" w:eastAsia="宋体" w:cs="宋体"/>
          <w:color w:val="auto"/>
          <w:szCs w:val="21"/>
        </w:rPr>
        <w:t>为本磋商项目的采购代理机构；</w:t>
      </w:r>
    </w:p>
    <w:p w14:paraId="17EA1D67">
      <w:pPr>
        <w:spacing w:line="360" w:lineRule="auto"/>
        <w:ind w:firstLine="420" w:firstLineChars="200"/>
        <w:outlineLvl w:val="9"/>
        <w:rPr>
          <w:rFonts w:hint="eastAsia" w:ascii="宋体" w:hAnsi="宋体" w:eastAsia="宋体" w:cs="宋体"/>
          <w:color w:val="auto"/>
          <w:szCs w:val="21"/>
        </w:rPr>
      </w:pPr>
      <w:r>
        <w:rPr>
          <w:rFonts w:hint="eastAsia" w:ascii="宋体" w:hAnsi="宋体" w:eastAsia="宋体" w:cs="宋体"/>
          <w:color w:val="auto"/>
          <w:szCs w:val="21"/>
          <w:lang w:val="en-US" w:eastAsia="zh-CN"/>
        </w:rPr>
        <w:t xml:space="preserve">4.2.6 </w:t>
      </w:r>
      <w:r>
        <w:rPr>
          <w:rFonts w:hint="eastAsia" w:ascii="宋体" w:hAnsi="宋体" w:eastAsia="宋体" w:cs="宋体"/>
          <w:color w:val="auto"/>
          <w:szCs w:val="21"/>
        </w:rPr>
        <w:t>供应商以他人名义投标、串通投标、以行贿手段牟取中标，或在投标中弄虚作假的；</w:t>
      </w:r>
    </w:p>
    <w:p w14:paraId="7BAED98F">
      <w:pPr>
        <w:spacing w:line="360" w:lineRule="auto"/>
        <w:ind w:firstLine="420" w:firstLineChars="200"/>
        <w:outlineLvl w:val="9"/>
        <w:rPr>
          <w:rFonts w:ascii="宋体" w:hAnsi="宋体" w:eastAsia="宋体" w:cs="宋体"/>
          <w:color w:val="auto"/>
          <w:szCs w:val="21"/>
        </w:rPr>
      </w:pPr>
      <w:r>
        <w:rPr>
          <w:rFonts w:hint="eastAsia" w:ascii="宋体" w:hAnsi="宋体" w:eastAsia="宋体" w:cs="宋体"/>
          <w:color w:val="auto"/>
          <w:szCs w:val="21"/>
          <w:lang w:val="en-US" w:eastAsia="zh-CN"/>
        </w:rPr>
        <w:t xml:space="preserve">4.2.7 </w:t>
      </w:r>
      <w:r>
        <w:rPr>
          <w:rFonts w:hint="eastAsia" w:ascii="宋体" w:hAnsi="宋体" w:eastAsia="宋体" w:cs="宋体"/>
          <w:color w:val="auto"/>
          <w:szCs w:val="21"/>
        </w:rPr>
        <w:t>法律法规规定的其他情形。</w:t>
      </w:r>
    </w:p>
    <w:p w14:paraId="23D99798">
      <w:pPr>
        <w:spacing w:line="360" w:lineRule="auto"/>
        <w:outlineLvl w:val="9"/>
        <w:rPr>
          <w:rFonts w:ascii="宋体" w:hAnsi="宋体" w:eastAsia="宋体" w:cs="宋体"/>
          <w:b/>
          <w:bCs/>
          <w:color w:val="auto"/>
          <w:sz w:val="24"/>
          <w:szCs w:val="24"/>
        </w:rPr>
      </w:pPr>
      <w:r>
        <w:rPr>
          <w:rFonts w:hint="eastAsia" w:ascii="宋体" w:hAnsi="宋体" w:eastAsia="宋体" w:cs="宋体"/>
          <w:b/>
          <w:bCs/>
          <w:color w:val="auto"/>
          <w:sz w:val="24"/>
          <w:szCs w:val="24"/>
        </w:rPr>
        <w:t>5、</w:t>
      </w:r>
      <w:r>
        <w:rPr>
          <w:rFonts w:hint="eastAsia" w:ascii="宋体" w:hAnsi="宋体" w:eastAsia="宋体" w:cs="宋体"/>
          <w:b/>
          <w:bCs/>
          <w:color w:val="auto"/>
          <w:szCs w:val="21"/>
        </w:rPr>
        <w:t xml:space="preserve"> </w:t>
      </w:r>
      <w:bookmarkStart w:id="33" w:name="_Toc25764"/>
      <w:bookmarkEnd w:id="33"/>
      <w:bookmarkStart w:id="34" w:name="_Toc5811"/>
      <w:r>
        <w:rPr>
          <w:rFonts w:hint="eastAsia" w:ascii="宋体" w:hAnsi="宋体" w:eastAsia="宋体" w:cs="宋体"/>
          <w:b/>
          <w:bCs/>
          <w:color w:val="auto"/>
          <w:sz w:val="24"/>
          <w:szCs w:val="24"/>
        </w:rPr>
        <w:t>磋商报价</w:t>
      </w:r>
      <w:bookmarkEnd w:id="34"/>
    </w:p>
    <w:p w14:paraId="5C93BA01">
      <w:pPr>
        <w:spacing w:line="360" w:lineRule="auto"/>
        <w:ind w:firstLine="420" w:firstLineChars="200"/>
        <w:outlineLvl w:val="9"/>
        <w:rPr>
          <w:rFonts w:ascii="宋体" w:hAnsi="宋体" w:eastAsia="宋体" w:cs="宋体"/>
          <w:color w:val="auto"/>
          <w:szCs w:val="21"/>
        </w:rPr>
      </w:pPr>
      <w:r>
        <w:rPr>
          <w:rFonts w:hint="eastAsia" w:ascii="宋体" w:hAnsi="宋体" w:eastAsia="宋体" w:cs="宋体"/>
          <w:color w:val="auto"/>
          <w:szCs w:val="21"/>
        </w:rPr>
        <w:t>5.1供应商可根据企业具体情况及本磋商文件规定的</w:t>
      </w:r>
      <w:r>
        <w:rPr>
          <w:rFonts w:hint="eastAsia" w:ascii="宋体" w:hAnsi="宋体" w:eastAsia="宋体" w:cs="宋体"/>
          <w:color w:val="auto"/>
          <w:szCs w:val="21"/>
          <w:lang w:val="en-US" w:eastAsia="zh-CN"/>
        </w:rPr>
        <w:t>服务</w:t>
      </w:r>
      <w:r>
        <w:rPr>
          <w:rFonts w:hint="eastAsia" w:ascii="宋体" w:hAnsi="宋体" w:eastAsia="宋体" w:cs="宋体"/>
          <w:color w:val="auto"/>
          <w:szCs w:val="21"/>
        </w:rPr>
        <w:t>内容在合理范围内进行报价。本项目的磋商报价为综合价格，所有磋商文件中列出的及隐含的为完成合同所需要的一切责任和义务等费用都应在内。包括</w:t>
      </w:r>
      <w:r>
        <w:rPr>
          <w:color w:val="auto"/>
          <w:spacing w:val="-12"/>
        </w:rPr>
        <w:t>合同实施过程中不可预见的各项费用</w:t>
      </w:r>
      <w:r>
        <w:rPr>
          <w:rFonts w:hint="eastAsia" w:ascii="宋体" w:hAnsi="宋体" w:eastAsia="宋体" w:cs="宋体"/>
          <w:color w:val="auto"/>
          <w:szCs w:val="21"/>
        </w:rPr>
        <w:t>及可能的风险，不再有报价以外的任何附加费用。未列入或者没有填写的项目费用视为已在相关项目的价格中。</w:t>
      </w:r>
    </w:p>
    <w:p w14:paraId="40EB669C">
      <w:pPr>
        <w:spacing w:line="360" w:lineRule="auto"/>
        <w:ind w:firstLine="420" w:firstLineChars="200"/>
        <w:outlineLvl w:val="9"/>
        <w:rPr>
          <w:rFonts w:ascii="宋体" w:hAnsi="宋体" w:eastAsia="宋体" w:cs="宋体"/>
          <w:color w:val="auto"/>
          <w:szCs w:val="21"/>
        </w:rPr>
      </w:pPr>
      <w:r>
        <w:rPr>
          <w:rFonts w:hint="eastAsia" w:ascii="宋体" w:hAnsi="宋体" w:eastAsia="宋体" w:cs="宋体"/>
          <w:color w:val="auto"/>
          <w:szCs w:val="21"/>
        </w:rPr>
        <w:t>5.2如报价表中的大写</w:t>
      </w:r>
      <w:r>
        <w:rPr>
          <w:rFonts w:hint="eastAsia" w:ascii="宋体" w:hAnsi="宋体" w:eastAsia="宋体" w:cs="宋体"/>
          <w:color w:val="auto"/>
          <w:szCs w:val="21"/>
          <w:lang w:val="en-US" w:eastAsia="zh-CN"/>
        </w:rPr>
        <w:t>报价</w:t>
      </w:r>
      <w:r>
        <w:rPr>
          <w:rFonts w:hint="eastAsia" w:ascii="宋体" w:hAnsi="宋体" w:eastAsia="宋体" w:cs="宋体"/>
          <w:color w:val="auto"/>
          <w:szCs w:val="21"/>
        </w:rPr>
        <w:t>和小写</w:t>
      </w:r>
      <w:r>
        <w:rPr>
          <w:rFonts w:hint="eastAsia" w:ascii="宋体" w:hAnsi="宋体" w:eastAsia="宋体" w:cs="宋体"/>
          <w:color w:val="auto"/>
          <w:szCs w:val="21"/>
          <w:lang w:val="en-US" w:eastAsia="zh-CN"/>
        </w:rPr>
        <w:t>报价</w:t>
      </w:r>
      <w:r>
        <w:rPr>
          <w:rFonts w:hint="eastAsia" w:ascii="宋体" w:hAnsi="宋体" w:eastAsia="宋体" w:cs="宋体"/>
          <w:color w:val="auto"/>
          <w:szCs w:val="21"/>
        </w:rPr>
        <w:t>不一致的，以大写</w:t>
      </w:r>
      <w:r>
        <w:rPr>
          <w:rFonts w:hint="eastAsia" w:ascii="宋体" w:hAnsi="宋体" w:eastAsia="宋体" w:cs="宋体"/>
          <w:color w:val="auto"/>
          <w:szCs w:val="21"/>
          <w:lang w:val="en-US" w:eastAsia="zh-CN"/>
        </w:rPr>
        <w:t>报价</w:t>
      </w:r>
      <w:r>
        <w:rPr>
          <w:rFonts w:hint="eastAsia" w:ascii="宋体" w:hAnsi="宋体" w:eastAsia="宋体" w:cs="宋体"/>
          <w:color w:val="auto"/>
          <w:szCs w:val="21"/>
        </w:rPr>
        <w:t>为准；总价</w:t>
      </w:r>
      <w:r>
        <w:rPr>
          <w:rFonts w:hint="eastAsia" w:ascii="宋体" w:hAnsi="宋体" w:eastAsia="宋体" w:cs="宋体"/>
          <w:color w:val="auto"/>
          <w:szCs w:val="21"/>
          <w:lang w:val="en-US" w:eastAsia="zh-CN"/>
        </w:rPr>
        <w:t>报价</w:t>
      </w:r>
      <w:r>
        <w:rPr>
          <w:rFonts w:hint="eastAsia" w:ascii="宋体" w:hAnsi="宋体" w:eastAsia="宋体" w:cs="宋体"/>
          <w:color w:val="auto"/>
          <w:szCs w:val="21"/>
        </w:rPr>
        <w:t>与单价</w:t>
      </w:r>
      <w:r>
        <w:rPr>
          <w:rFonts w:hint="eastAsia" w:ascii="宋体" w:hAnsi="宋体" w:eastAsia="宋体" w:cs="宋体"/>
          <w:color w:val="auto"/>
          <w:szCs w:val="21"/>
          <w:lang w:val="en-US" w:eastAsia="zh-CN"/>
        </w:rPr>
        <w:t>报价</w:t>
      </w:r>
      <w:r>
        <w:rPr>
          <w:rFonts w:hint="eastAsia" w:ascii="宋体" w:hAnsi="宋体" w:eastAsia="宋体" w:cs="宋体"/>
          <w:color w:val="auto"/>
          <w:szCs w:val="21"/>
        </w:rPr>
        <w:t>不一致的，以单价</w:t>
      </w:r>
      <w:r>
        <w:rPr>
          <w:rFonts w:hint="eastAsia" w:ascii="宋体" w:hAnsi="宋体" w:eastAsia="宋体" w:cs="宋体"/>
          <w:color w:val="auto"/>
          <w:szCs w:val="21"/>
          <w:lang w:val="en-US" w:eastAsia="zh-CN"/>
        </w:rPr>
        <w:t>报价</w:t>
      </w:r>
      <w:r>
        <w:rPr>
          <w:rFonts w:hint="eastAsia" w:ascii="宋体" w:hAnsi="宋体" w:eastAsia="宋体" w:cs="宋体"/>
          <w:color w:val="auto"/>
          <w:szCs w:val="21"/>
        </w:rPr>
        <w:t>为准修正总价，但单价</w:t>
      </w:r>
      <w:r>
        <w:rPr>
          <w:rFonts w:hint="eastAsia" w:ascii="宋体" w:hAnsi="宋体" w:eastAsia="宋体" w:cs="宋体"/>
          <w:color w:val="auto"/>
          <w:szCs w:val="21"/>
          <w:lang w:val="en-US" w:eastAsia="zh-CN"/>
        </w:rPr>
        <w:t>报价</w:t>
      </w:r>
      <w:r>
        <w:rPr>
          <w:rFonts w:hint="eastAsia" w:ascii="宋体" w:hAnsi="宋体" w:eastAsia="宋体" w:cs="宋体"/>
          <w:color w:val="auto"/>
          <w:szCs w:val="21"/>
        </w:rPr>
        <w:t>小数点有明显错误的除外；对不同文字文本响应文件的解释发生异议的，以中文文本为准。</w:t>
      </w:r>
    </w:p>
    <w:p w14:paraId="4C0B837B">
      <w:pPr>
        <w:spacing w:line="360" w:lineRule="auto"/>
        <w:ind w:firstLine="420" w:firstLineChars="200"/>
        <w:outlineLvl w:val="9"/>
        <w:rPr>
          <w:rFonts w:ascii="宋体" w:hAnsi="宋体" w:eastAsia="宋体" w:cs="宋体"/>
          <w:color w:val="auto"/>
          <w:szCs w:val="21"/>
        </w:rPr>
      </w:pPr>
      <w:r>
        <w:rPr>
          <w:rFonts w:hint="eastAsia" w:ascii="宋体" w:hAnsi="宋体" w:eastAsia="宋体" w:cs="宋体"/>
          <w:color w:val="auto"/>
          <w:szCs w:val="21"/>
        </w:rPr>
        <w:t xml:space="preserve">5.3 </w:t>
      </w:r>
      <w:r>
        <w:rPr>
          <w:rFonts w:hint="eastAsia" w:ascii="宋体" w:hAnsi="宋体" w:eastAsia="宋体" w:cs="宋体"/>
          <w:color w:val="auto"/>
          <w:kern w:val="0"/>
        </w:rPr>
        <w:t>所有投标报价均以</w:t>
      </w:r>
      <w:bookmarkStart w:id="35" w:name="OLE_LINK6"/>
      <w:r>
        <w:rPr>
          <w:rFonts w:hint="eastAsia" w:ascii="宋体" w:hAnsi="宋体" w:eastAsia="宋体" w:cs="宋体"/>
          <w:color w:val="auto"/>
          <w:kern w:val="0"/>
        </w:rPr>
        <w:t>人民币元</w:t>
      </w:r>
      <w:bookmarkEnd w:id="35"/>
      <w:r>
        <w:rPr>
          <w:rFonts w:hint="eastAsia" w:ascii="宋体" w:hAnsi="宋体" w:eastAsia="宋体" w:cs="宋体"/>
          <w:color w:val="auto"/>
          <w:kern w:val="0"/>
        </w:rPr>
        <w:t>为计算单位</w:t>
      </w:r>
      <w:r>
        <w:rPr>
          <w:rFonts w:hint="eastAsia" w:ascii="宋体" w:hAnsi="宋体" w:eastAsia="宋体" w:cs="宋体"/>
          <w:color w:val="auto"/>
          <w:szCs w:val="21"/>
        </w:rPr>
        <w:t>。磋商报价是以</w:t>
      </w:r>
      <w:r>
        <w:rPr>
          <w:rFonts w:hint="eastAsia" w:ascii="宋体" w:hAnsi="宋体" w:eastAsia="宋体" w:cs="宋体"/>
          <w:color w:val="auto"/>
          <w:kern w:val="0"/>
        </w:rPr>
        <w:t>人民币元</w:t>
      </w:r>
      <w:r>
        <w:rPr>
          <w:rFonts w:hint="eastAsia" w:ascii="宋体" w:hAnsi="宋体" w:eastAsia="宋体" w:cs="宋体"/>
          <w:color w:val="auto"/>
          <w:szCs w:val="21"/>
        </w:rPr>
        <w:t>为单位的综合报价，供应商应根据本项目最高投标限价， 结合本项目实际情况，提出不高于最高限价的报价。任何有选择性的报价将不予接受，每轮只许有一个报价</w:t>
      </w:r>
      <w:r>
        <w:rPr>
          <w:rFonts w:hint="eastAsia" w:ascii="宋体" w:hAnsi="宋体" w:cs="宋体"/>
          <w:color w:val="auto"/>
          <w:szCs w:val="21"/>
          <w:lang w:eastAsia="zh-CN"/>
        </w:rPr>
        <w:t>。</w:t>
      </w:r>
      <w:r>
        <w:rPr>
          <w:rFonts w:hint="eastAsia" w:ascii="宋体" w:hAnsi="宋体" w:eastAsia="宋体" w:cs="宋体"/>
          <w:color w:val="auto"/>
          <w:szCs w:val="21"/>
        </w:rPr>
        <w:t xml:space="preserve"> </w:t>
      </w:r>
    </w:p>
    <w:p w14:paraId="1A3262A9">
      <w:pPr>
        <w:spacing w:line="360" w:lineRule="auto"/>
        <w:ind w:firstLine="420" w:firstLineChars="200"/>
        <w:outlineLvl w:val="9"/>
        <w:rPr>
          <w:rFonts w:ascii="宋体" w:hAnsi="宋体" w:eastAsia="宋体" w:cs="宋体"/>
          <w:color w:val="auto"/>
          <w:szCs w:val="21"/>
        </w:rPr>
      </w:pPr>
      <w:r>
        <w:rPr>
          <w:rFonts w:hint="eastAsia" w:ascii="宋体" w:hAnsi="宋体" w:eastAsia="宋体" w:cs="宋体"/>
          <w:color w:val="auto"/>
          <w:szCs w:val="21"/>
        </w:rPr>
        <w:t>5.</w:t>
      </w:r>
      <w:r>
        <w:rPr>
          <w:rFonts w:hint="eastAsia" w:ascii="宋体" w:hAnsi="宋体" w:cs="宋体"/>
          <w:color w:val="auto"/>
          <w:szCs w:val="21"/>
          <w:lang w:val="en-US" w:eastAsia="zh-CN"/>
        </w:rPr>
        <w:t>4</w:t>
      </w:r>
      <w:r>
        <w:rPr>
          <w:rFonts w:hint="eastAsia" w:ascii="宋体" w:hAnsi="宋体" w:eastAsia="宋体" w:cs="宋体"/>
          <w:color w:val="auto"/>
          <w:szCs w:val="21"/>
        </w:rPr>
        <w:t>磋商过程供应商需二轮报价（首次报价、最终报价）</w:t>
      </w:r>
    </w:p>
    <w:p w14:paraId="38B633C9">
      <w:pPr>
        <w:spacing w:line="360" w:lineRule="auto"/>
        <w:outlineLvl w:val="9"/>
        <w:rPr>
          <w:rFonts w:ascii="宋体" w:hAnsi="宋体" w:eastAsia="宋体" w:cs="宋体"/>
          <w:color w:val="auto"/>
          <w:sz w:val="24"/>
          <w:szCs w:val="24"/>
        </w:rPr>
      </w:pPr>
      <w:r>
        <w:rPr>
          <w:rFonts w:hint="eastAsia" w:ascii="宋体" w:hAnsi="宋体" w:eastAsia="宋体" w:cs="宋体"/>
          <w:b/>
          <w:bCs/>
          <w:color w:val="auto"/>
          <w:sz w:val="24"/>
          <w:szCs w:val="24"/>
        </w:rPr>
        <w:t>6、投标费用</w:t>
      </w:r>
    </w:p>
    <w:p w14:paraId="42637242">
      <w:pPr>
        <w:spacing w:line="360" w:lineRule="auto"/>
        <w:ind w:firstLine="420" w:firstLineChars="200"/>
        <w:outlineLvl w:val="9"/>
        <w:rPr>
          <w:rFonts w:ascii="宋体" w:hAnsi="宋体" w:eastAsia="宋体" w:cs="宋体"/>
          <w:color w:val="auto"/>
          <w:szCs w:val="21"/>
        </w:rPr>
      </w:pPr>
      <w:r>
        <w:rPr>
          <w:rFonts w:hint="eastAsia" w:ascii="宋体" w:hAnsi="宋体" w:eastAsia="宋体" w:cs="宋体"/>
          <w:color w:val="auto"/>
          <w:szCs w:val="21"/>
        </w:rPr>
        <w:t>供应商应承担响应文件编制与递交所涉及的一切费用，采购人和招标代理机构对上述费用均不承担任何责任。</w:t>
      </w:r>
    </w:p>
    <w:p w14:paraId="2E563671">
      <w:pPr>
        <w:spacing w:line="360" w:lineRule="auto"/>
        <w:outlineLvl w:val="9"/>
        <w:rPr>
          <w:rFonts w:ascii="宋体" w:hAnsi="宋体" w:eastAsia="宋体" w:cs="宋体"/>
          <w:b/>
          <w:bCs/>
          <w:color w:val="auto"/>
          <w:sz w:val="24"/>
          <w:szCs w:val="24"/>
        </w:rPr>
      </w:pPr>
      <w:r>
        <w:rPr>
          <w:rFonts w:hint="eastAsia" w:ascii="宋体" w:hAnsi="宋体" w:eastAsia="宋体" w:cs="宋体"/>
          <w:b/>
          <w:bCs/>
          <w:color w:val="auto"/>
          <w:sz w:val="24"/>
          <w:szCs w:val="24"/>
        </w:rPr>
        <w:t>7</w:t>
      </w:r>
      <w:r>
        <w:rPr>
          <w:rFonts w:hint="eastAsia" w:ascii="宋体" w:hAnsi="宋体" w:eastAsia="宋体" w:cs="宋体"/>
          <w:color w:val="auto"/>
          <w:sz w:val="24"/>
          <w:szCs w:val="24"/>
        </w:rPr>
        <w:t>、</w:t>
      </w:r>
      <w:r>
        <w:rPr>
          <w:rFonts w:hint="eastAsia" w:ascii="宋体" w:hAnsi="宋体" w:eastAsia="宋体" w:cs="宋体"/>
          <w:b/>
          <w:bCs/>
          <w:color w:val="auto"/>
          <w:sz w:val="24"/>
          <w:szCs w:val="24"/>
        </w:rPr>
        <w:t>投标有效期</w:t>
      </w:r>
    </w:p>
    <w:p w14:paraId="17115A23">
      <w:pPr>
        <w:spacing w:line="360" w:lineRule="auto"/>
        <w:ind w:firstLine="420" w:firstLineChars="200"/>
        <w:outlineLvl w:val="9"/>
        <w:rPr>
          <w:rFonts w:ascii="宋体" w:hAnsi="宋体" w:eastAsia="宋体" w:cs="宋体"/>
          <w:color w:val="auto"/>
          <w:szCs w:val="21"/>
        </w:rPr>
      </w:pPr>
      <w:r>
        <w:rPr>
          <w:rFonts w:hint="eastAsia" w:ascii="宋体" w:hAnsi="宋体" w:eastAsia="宋体" w:cs="宋体"/>
          <w:color w:val="auto"/>
          <w:szCs w:val="21"/>
        </w:rPr>
        <w:t>7.1</w:t>
      </w:r>
      <w:r>
        <w:rPr>
          <w:rFonts w:hint="eastAsia" w:ascii="宋体" w:hAnsi="宋体" w:cs="宋体"/>
          <w:color w:val="auto"/>
          <w:szCs w:val="21"/>
          <w:lang w:eastAsia="zh-CN"/>
        </w:rPr>
        <w:t>投标有效期：</w:t>
      </w:r>
      <w:r>
        <w:rPr>
          <w:rFonts w:hint="eastAsia" w:ascii="宋体" w:hAnsi="宋体" w:eastAsia="宋体" w:cs="宋体"/>
          <w:color w:val="auto"/>
          <w:kern w:val="0"/>
          <w:sz w:val="21"/>
          <w:szCs w:val="21"/>
        </w:rPr>
        <w:t>投标截止期结束后90日。</w:t>
      </w:r>
      <w:r>
        <w:rPr>
          <w:rFonts w:hint="eastAsia" w:ascii="宋体" w:hAnsi="宋体" w:eastAsia="宋体" w:cs="宋体"/>
          <w:color w:val="auto"/>
          <w:kern w:val="0"/>
          <w:sz w:val="21"/>
          <w:szCs w:val="21"/>
          <w:lang w:val="en-US" w:eastAsia="zh-CN"/>
        </w:rPr>
        <w:t>成交</w:t>
      </w:r>
      <w:r>
        <w:rPr>
          <w:rFonts w:hint="eastAsia" w:ascii="宋体" w:hAnsi="宋体" w:eastAsia="宋体" w:cs="宋体"/>
          <w:color w:val="auto"/>
          <w:kern w:val="0"/>
          <w:sz w:val="21"/>
          <w:szCs w:val="21"/>
        </w:rPr>
        <w:t>供应商的</w:t>
      </w:r>
      <w:r>
        <w:rPr>
          <w:rFonts w:hint="eastAsia" w:ascii="宋体" w:hAnsi="宋体" w:eastAsia="宋体" w:cs="宋体"/>
          <w:color w:val="auto"/>
          <w:kern w:val="0"/>
          <w:sz w:val="21"/>
          <w:szCs w:val="21"/>
          <w:lang w:val="en-US" w:eastAsia="zh-CN"/>
        </w:rPr>
        <w:t>响应</w:t>
      </w:r>
      <w:r>
        <w:rPr>
          <w:rFonts w:hint="eastAsia" w:ascii="宋体" w:hAnsi="宋体" w:eastAsia="宋体" w:cs="宋体"/>
          <w:color w:val="auto"/>
          <w:kern w:val="0"/>
          <w:sz w:val="21"/>
          <w:szCs w:val="21"/>
        </w:rPr>
        <w:t>文件是合同的组成部分,有效期至合同完全履行止。</w:t>
      </w:r>
    </w:p>
    <w:p w14:paraId="2FEF5D65">
      <w:pPr>
        <w:spacing w:line="360" w:lineRule="auto"/>
        <w:ind w:firstLine="420" w:firstLineChars="200"/>
        <w:outlineLvl w:val="9"/>
        <w:rPr>
          <w:rFonts w:ascii="宋体" w:hAnsi="宋体" w:eastAsia="宋体" w:cs="宋体"/>
          <w:color w:val="auto"/>
          <w:szCs w:val="21"/>
        </w:rPr>
      </w:pPr>
      <w:r>
        <w:rPr>
          <w:rFonts w:hint="eastAsia" w:ascii="宋体" w:hAnsi="宋体" w:eastAsia="宋体" w:cs="宋体"/>
          <w:color w:val="auto"/>
          <w:szCs w:val="21"/>
        </w:rPr>
        <w:t>7.2在特殊情况下，采购人在原定投标有效期内，可以根据需要向供应商提出延长有效期的要求。供应商可以拒绝这种要求，而不被没收投标保证金。同意延长投标有效期的供应商不能要求也不允许修改其投标文件，但需要相应延长投标保证金的有效期，在延长的投标有效期内，有关投标保证金的相关规定仍然适用。</w:t>
      </w:r>
    </w:p>
    <w:p w14:paraId="03AA875D">
      <w:pPr>
        <w:spacing w:line="360" w:lineRule="auto"/>
        <w:outlineLvl w:val="1"/>
        <w:rPr>
          <w:rFonts w:ascii="宋体" w:hAnsi="宋体" w:eastAsia="宋体" w:cs="宋体"/>
          <w:b/>
          <w:bCs/>
          <w:color w:val="auto"/>
          <w:kern w:val="0"/>
          <w:sz w:val="24"/>
          <w:szCs w:val="24"/>
        </w:rPr>
      </w:pPr>
      <w:bookmarkStart w:id="36" w:name="_Toc7191"/>
      <w:bookmarkEnd w:id="36"/>
      <w:bookmarkStart w:id="37" w:name="_Toc3187"/>
      <w:bookmarkStart w:id="38" w:name="_Toc28783"/>
      <w:r>
        <w:rPr>
          <w:rFonts w:hint="eastAsia" w:ascii="宋体" w:hAnsi="宋体" w:eastAsia="宋体" w:cs="宋体"/>
          <w:b/>
          <w:bCs/>
          <w:color w:val="auto"/>
          <w:kern w:val="0"/>
          <w:sz w:val="24"/>
          <w:szCs w:val="24"/>
        </w:rPr>
        <w:t>二、磋商文件内容</w:t>
      </w:r>
      <w:bookmarkEnd w:id="37"/>
      <w:bookmarkEnd w:id="38"/>
    </w:p>
    <w:p w14:paraId="2FFE77F1">
      <w:pPr>
        <w:spacing w:line="360" w:lineRule="auto"/>
        <w:ind w:firstLine="420" w:firstLineChars="200"/>
        <w:outlineLvl w:val="9"/>
        <w:rPr>
          <w:rFonts w:ascii="宋体" w:hAnsi="宋体" w:eastAsia="宋体" w:cs="宋体"/>
          <w:color w:val="auto"/>
          <w:szCs w:val="21"/>
        </w:rPr>
      </w:pPr>
      <w:r>
        <w:rPr>
          <w:rFonts w:hint="eastAsia" w:ascii="宋体" w:hAnsi="宋体" w:eastAsia="宋体" w:cs="宋体"/>
          <w:color w:val="auto"/>
          <w:szCs w:val="21"/>
        </w:rPr>
        <w:t>1、供应商应认真审阅磋商文件中所有的供应商须知、服务内容及要求、规定格式等。如果供应商的响应文件不符合磋商文件的要求，责任由供应商自己承担。实质上不响应磋商文件要求的投标将被拒绝。</w:t>
      </w:r>
    </w:p>
    <w:p w14:paraId="7CBF8EE7">
      <w:pPr>
        <w:spacing w:line="360" w:lineRule="auto"/>
        <w:ind w:firstLine="420" w:firstLineChars="200"/>
        <w:outlineLvl w:val="9"/>
        <w:rPr>
          <w:rFonts w:ascii="宋体" w:hAnsi="宋体" w:eastAsia="宋体" w:cs="宋体"/>
          <w:color w:val="auto"/>
          <w:szCs w:val="21"/>
        </w:rPr>
      </w:pPr>
      <w:r>
        <w:rPr>
          <w:rFonts w:hint="eastAsia" w:ascii="宋体" w:hAnsi="宋体" w:eastAsia="宋体" w:cs="宋体"/>
          <w:color w:val="auto"/>
          <w:szCs w:val="21"/>
        </w:rPr>
        <w:t>2、磋商文件内容包括补充说明和招标答疑：</w:t>
      </w:r>
    </w:p>
    <w:p w14:paraId="0E83A94B">
      <w:pPr>
        <w:spacing w:line="360" w:lineRule="auto"/>
        <w:ind w:firstLine="420" w:firstLineChars="200"/>
        <w:outlineLvl w:val="9"/>
        <w:rPr>
          <w:rFonts w:hint="eastAsia" w:ascii="宋体" w:hAnsi="宋体" w:eastAsia="宋体" w:cs="宋体"/>
          <w:color w:val="auto"/>
          <w:szCs w:val="21"/>
        </w:rPr>
      </w:pPr>
      <w:r>
        <w:rPr>
          <w:rFonts w:hint="eastAsia" w:ascii="宋体" w:hAnsi="宋体" w:eastAsia="宋体" w:cs="宋体"/>
          <w:color w:val="auto"/>
          <w:szCs w:val="21"/>
        </w:rPr>
        <w:t>3、磋商文件的构成</w:t>
      </w:r>
    </w:p>
    <w:p w14:paraId="05DE085A">
      <w:pPr>
        <w:spacing w:line="360" w:lineRule="auto"/>
        <w:ind w:firstLine="420" w:firstLineChars="200"/>
        <w:outlineLvl w:val="9"/>
        <w:rPr>
          <w:rFonts w:hint="eastAsia" w:ascii="宋体" w:hAnsi="宋体" w:eastAsia="宋体" w:cs="宋体"/>
          <w:color w:val="auto"/>
          <w:szCs w:val="21"/>
        </w:rPr>
      </w:pPr>
      <w:bookmarkStart w:id="39" w:name="_Toc31213"/>
      <w:bookmarkEnd w:id="39"/>
      <w:bookmarkStart w:id="40" w:name="_Toc3150"/>
      <w:bookmarkEnd w:id="40"/>
      <w:bookmarkStart w:id="41" w:name="_Toc26799"/>
      <w:bookmarkEnd w:id="41"/>
      <w:bookmarkStart w:id="42" w:name="_Toc29346"/>
      <w:r>
        <w:rPr>
          <w:rFonts w:hint="eastAsia" w:ascii="宋体" w:hAnsi="宋体" w:eastAsia="宋体" w:cs="宋体"/>
          <w:color w:val="auto"/>
          <w:szCs w:val="21"/>
          <w:lang w:val="en-US" w:eastAsia="zh-CN"/>
        </w:rPr>
        <w:t>3.1</w:t>
      </w:r>
      <w:r>
        <w:rPr>
          <w:rFonts w:hint="eastAsia" w:ascii="宋体" w:hAnsi="宋体" w:eastAsia="宋体" w:cs="宋体"/>
          <w:color w:val="auto"/>
          <w:szCs w:val="21"/>
        </w:rPr>
        <w:t>、磋商响应书</w:t>
      </w:r>
    </w:p>
    <w:p w14:paraId="3598D153">
      <w:pPr>
        <w:spacing w:line="360" w:lineRule="auto"/>
        <w:ind w:firstLine="420" w:firstLineChars="200"/>
        <w:outlineLvl w:val="9"/>
        <w:rPr>
          <w:rFonts w:hint="eastAsia" w:ascii="宋体" w:hAnsi="宋体" w:eastAsia="宋体" w:cs="宋体"/>
          <w:color w:val="auto"/>
          <w:szCs w:val="21"/>
        </w:rPr>
      </w:pPr>
      <w:r>
        <w:rPr>
          <w:rFonts w:hint="eastAsia" w:ascii="宋体" w:hAnsi="宋体" w:eastAsia="宋体" w:cs="宋体"/>
          <w:color w:val="auto"/>
          <w:szCs w:val="21"/>
          <w:lang w:val="en-US" w:eastAsia="zh-CN"/>
        </w:rPr>
        <w:t>3.2</w:t>
      </w:r>
      <w:r>
        <w:rPr>
          <w:rFonts w:hint="eastAsia" w:ascii="宋体" w:hAnsi="宋体" w:eastAsia="宋体" w:cs="宋体"/>
          <w:color w:val="auto"/>
          <w:szCs w:val="21"/>
        </w:rPr>
        <w:t>、报价一览表</w:t>
      </w:r>
    </w:p>
    <w:p w14:paraId="71ABC60B">
      <w:pPr>
        <w:spacing w:line="360" w:lineRule="auto"/>
        <w:ind w:firstLine="420" w:firstLineChars="200"/>
        <w:outlineLvl w:val="9"/>
        <w:rPr>
          <w:rFonts w:hint="eastAsia" w:ascii="宋体" w:hAnsi="宋体" w:eastAsia="宋体" w:cs="宋体"/>
          <w:color w:val="auto"/>
          <w:szCs w:val="21"/>
        </w:rPr>
      </w:pPr>
      <w:r>
        <w:rPr>
          <w:rFonts w:hint="eastAsia" w:ascii="宋体" w:hAnsi="宋体" w:eastAsia="宋体" w:cs="宋体"/>
          <w:color w:val="auto"/>
          <w:szCs w:val="21"/>
          <w:lang w:val="en-US" w:eastAsia="zh-CN"/>
        </w:rPr>
        <w:t>3.3</w:t>
      </w:r>
      <w:r>
        <w:rPr>
          <w:rFonts w:hint="eastAsia" w:ascii="宋体" w:hAnsi="宋体" w:eastAsia="宋体" w:cs="宋体"/>
          <w:color w:val="auto"/>
          <w:szCs w:val="21"/>
        </w:rPr>
        <w:t>、法定代表人身份证明</w:t>
      </w:r>
    </w:p>
    <w:p w14:paraId="45704999">
      <w:pPr>
        <w:spacing w:line="360" w:lineRule="auto"/>
        <w:ind w:firstLine="420" w:firstLineChars="200"/>
        <w:outlineLvl w:val="9"/>
        <w:rPr>
          <w:rFonts w:hint="eastAsia" w:ascii="宋体" w:hAnsi="宋体" w:eastAsia="宋体" w:cs="宋体"/>
          <w:color w:val="auto"/>
          <w:szCs w:val="21"/>
        </w:rPr>
      </w:pPr>
      <w:r>
        <w:rPr>
          <w:rFonts w:hint="eastAsia" w:ascii="宋体" w:hAnsi="宋体" w:eastAsia="宋体" w:cs="宋体"/>
          <w:color w:val="auto"/>
          <w:szCs w:val="21"/>
          <w:lang w:val="en-US" w:eastAsia="zh-CN"/>
        </w:rPr>
        <w:t>3.4</w:t>
      </w:r>
      <w:r>
        <w:rPr>
          <w:rFonts w:hint="eastAsia" w:ascii="宋体" w:hAnsi="宋体" w:eastAsia="宋体" w:cs="宋体"/>
          <w:color w:val="auto"/>
          <w:szCs w:val="21"/>
        </w:rPr>
        <w:t>、授权委托书</w:t>
      </w:r>
    </w:p>
    <w:p w14:paraId="047FC209">
      <w:pPr>
        <w:spacing w:line="360" w:lineRule="auto"/>
        <w:ind w:firstLine="420" w:firstLineChars="200"/>
        <w:outlineLvl w:val="9"/>
        <w:rPr>
          <w:rFonts w:hint="eastAsia" w:ascii="宋体" w:hAnsi="宋体" w:eastAsia="宋体" w:cs="宋体"/>
          <w:color w:val="auto"/>
          <w:szCs w:val="21"/>
        </w:rPr>
      </w:pPr>
      <w:r>
        <w:rPr>
          <w:rFonts w:hint="eastAsia" w:ascii="宋体" w:hAnsi="宋体" w:eastAsia="宋体" w:cs="宋体"/>
          <w:color w:val="auto"/>
          <w:szCs w:val="21"/>
          <w:lang w:val="en-US" w:eastAsia="zh-CN"/>
        </w:rPr>
        <w:t>3.5</w:t>
      </w:r>
      <w:r>
        <w:rPr>
          <w:rFonts w:hint="eastAsia" w:ascii="宋体" w:hAnsi="宋体" w:eastAsia="宋体" w:cs="宋体"/>
          <w:color w:val="auto"/>
          <w:szCs w:val="21"/>
        </w:rPr>
        <w:t>、服务内容及要求的响应</w:t>
      </w:r>
    </w:p>
    <w:p w14:paraId="712DC2C0">
      <w:pPr>
        <w:spacing w:line="360" w:lineRule="auto"/>
        <w:ind w:firstLine="420" w:firstLineChars="200"/>
        <w:outlineLvl w:val="9"/>
        <w:rPr>
          <w:rFonts w:hint="eastAsia" w:ascii="宋体" w:hAnsi="宋体" w:eastAsia="宋体" w:cs="宋体"/>
          <w:color w:val="auto"/>
          <w:szCs w:val="21"/>
        </w:rPr>
      </w:pPr>
      <w:r>
        <w:rPr>
          <w:rFonts w:hint="eastAsia" w:ascii="宋体" w:hAnsi="宋体" w:eastAsia="宋体" w:cs="宋体"/>
          <w:color w:val="auto"/>
          <w:szCs w:val="21"/>
          <w:lang w:val="en-US" w:eastAsia="zh-CN"/>
        </w:rPr>
        <w:t>3.6</w:t>
      </w:r>
      <w:r>
        <w:rPr>
          <w:rFonts w:hint="eastAsia" w:ascii="宋体" w:hAnsi="宋体" w:eastAsia="宋体" w:cs="宋体"/>
          <w:color w:val="auto"/>
          <w:szCs w:val="21"/>
        </w:rPr>
        <w:t>、资格审查资料</w:t>
      </w:r>
    </w:p>
    <w:p w14:paraId="2D60C537">
      <w:pPr>
        <w:spacing w:line="360" w:lineRule="auto"/>
        <w:ind w:firstLine="420" w:firstLineChars="200"/>
        <w:outlineLvl w:val="9"/>
        <w:rPr>
          <w:rFonts w:hint="eastAsia" w:ascii="宋体" w:hAnsi="宋体" w:eastAsia="宋体" w:cs="宋体"/>
          <w:color w:val="auto"/>
          <w:szCs w:val="21"/>
        </w:rPr>
      </w:pPr>
      <w:r>
        <w:rPr>
          <w:rFonts w:hint="eastAsia" w:ascii="宋体" w:hAnsi="宋体" w:eastAsia="宋体" w:cs="宋体"/>
          <w:color w:val="auto"/>
          <w:szCs w:val="21"/>
          <w:lang w:val="en-US" w:eastAsia="zh-CN"/>
        </w:rPr>
        <w:t>3.7</w:t>
      </w:r>
      <w:r>
        <w:rPr>
          <w:rFonts w:hint="eastAsia" w:ascii="宋体" w:hAnsi="宋体" w:eastAsia="宋体" w:cs="宋体"/>
          <w:color w:val="auto"/>
          <w:szCs w:val="21"/>
        </w:rPr>
        <w:t>、其它资料</w:t>
      </w:r>
    </w:p>
    <w:p w14:paraId="3FA4D2EB">
      <w:pPr>
        <w:spacing w:line="360" w:lineRule="auto"/>
        <w:ind w:firstLine="420" w:firstLineChars="200"/>
        <w:outlineLvl w:val="9"/>
        <w:rPr>
          <w:rFonts w:ascii="宋体" w:hAnsi="宋体" w:eastAsia="宋体" w:cs="宋体"/>
          <w:color w:val="auto"/>
          <w:szCs w:val="21"/>
        </w:rPr>
      </w:pPr>
      <w:r>
        <w:rPr>
          <w:rFonts w:hint="eastAsia" w:ascii="宋体" w:hAnsi="宋体" w:eastAsia="宋体" w:cs="宋体"/>
          <w:color w:val="auto"/>
          <w:szCs w:val="21"/>
        </w:rPr>
        <w:t>4、磋商文件的澄清</w:t>
      </w:r>
      <w:bookmarkEnd w:id="42"/>
    </w:p>
    <w:p w14:paraId="749951ED">
      <w:pPr>
        <w:spacing w:line="360" w:lineRule="auto"/>
        <w:ind w:firstLine="420" w:firstLineChars="200"/>
        <w:outlineLvl w:val="9"/>
        <w:rPr>
          <w:rFonts w:ascii="宋体" w:hAnsi="宋体" w:eastAsia="宋体" w:cs="宋体"/>
          <w:color w:val="auto"/>
          <w:szCs w:val="21"/>
        </w:rPr>
      </w:pPr>
      <w:r>
        <w:rPr>
          <w:rFonts w:hint="eastAsia" w:ascii="宋体" w:hAnsi="宋体" w:eastAsia="宋体" w:cs="宋体"/>
          <w:color w:val="auto"/>
          <w:szCs w:val="21"/>
        </w:rPr>
        <w:t>供应商对磋商文件如有需要澄清的疑问，须在规定的质疑时间内在电子交易系统中提出。招标代理机构将视情况在供应商须知前附表中所述的投标截止日期前予以答复。</w:t>
      </w:r>
    </w:p>
    <w:p w14:paraId="34C16E71">
      <w:pPr>
        <w:spacing w:line="360" w:lineRule="auto"/>
        <w:ind w:firstLine="420" w:firstLineChars="200"/>
        <w:outlineLvl w:val="9"/>
        <w:rPr>
          <w:rFonts w:ascii="宋体" w:hAnsi="宋体" w:eastAsia="宋体" w:cs="宋体"/>
          <w:color w:val="auto"/>
          <w:szCs w:val="21"/>
        </w:rPr>
      </w:pPr>
      <w:r>
        <w:rPr>
          <w:rFonts w:hint="eastAsia" w:ascii="宋体" w:hAnsi="宋体" w:eastAsia="宋体" w:cs="宋体"/>
          <w:color w:val="auto"/>
          <w:szCs w:val="21"/>
        </w:rPr>
        <w:t>5、磋商文件的修改和补充</w:t>
      </w:r>
    </w:p>
    <w:p w14:paraId="6C79780D">
      <w:pPr>
        <w:spacing w:line="360" w:lineRule="auto"/>
        <w:ind w:firstLine="420" w:firstLineChars="200"/>
        <w:outlineLvl w:val="9"/>
        <w:rPr>
          <w:rFonts w:ascii="宋体" w:hAnsi="宋体" w:eastAsia="宋体" w:cs="宋体"/>
          <w:color w:val="auto"/>
          <w:szCs w:val="21"/>
        </w:rPr>
      </w:pPr>
      <w:r>
        <w:rPr>
          <w:rFonts w:hint="eastAsia" w:ascii="宋体" w:hAnsi="宋体" w:eastAsia="宋体" w:cs="宋体"/>
          <w:color w:val="auto"/>
          <w:szCs w:val="21"/>
        </w:rPr>
        <w:t>(1)在投标须知前附表中所述的投标截止日期</w:t>
      </w:r>
      <w:r>
        <w:rPr>
          <w:rFonts w:hint="eastAsia" w:ascii="宋体" w:hAnsi="宋体" w:eastAsia="宋体" w:cs="宋体"/>
          <w:color w:val="auto"/>
          <w:szCs w:val="21"/>
          <w:lang w:val="en-US" w:eastAsia="zh-CN"/>
        </w:rPr>
        <w:t>5</w:t>
      </w:r>
      <w:r>
        <w:rPr>
          <w:rFonts w:hint="eastAsia" w:ascii="宋体" w:hAnsi="宋体" w:eastAsia="宋体" w:cs="宋体"/>
          <w:color w:val="auto"/>
          <w:szCs w:val="21"/>
        </w:rPr>
        <w:t>日前，招标代理机构可主动地或在解答供应商提出的澄清问题时对磋商文件进行修改。</w:t>
      </w:r>
    </w:p>
    <w:p w14:paraId="199324F4">
      <w:pPr>
        <w:spacing w:line="360" w:lineRule="auto"/>
        <w:ind w:firstLine="420" w:firstLineChars="200"/>
        <w:outlineLvl w:val="9"/>
        <w:rPr>
          <w:rFonts w:ascii="宋体" w:hAnsi="宋体" w:eastAsia="宋体" w:cs="宋体"/>
          <w:color w:val="auto"/>
          <w:szCs w:val="21"/>
        </w:rPr>
      </w:pPr>
      <w:r>
        <w:rPr>
          <w:rFonts w:hint="eastAsia" w:ascii="宋体" w:hAnsi="宋体" w:eastAsia="宋体" w:cs="宋体"/>
          <w:color w:val="auto"/>
          <w:szCs w:val="21"/>
        </w:rPr>
        <w:t>(2)磋商文件的修改将在电子交易系统中公示，并构成磋商文件的一部分，对所有供应商均具有约束力。</w:t>
      </w:r>
    </w:p>
    <w:p w14:paraId="5FBC79FC">
      <w:pPr>
        <w:spacing w:line="360" w:lineRule="auto"/>
        <w:ind w:firstLine="420" w:firstLineChars="200"/>
        <w:outlineLvl w:val="9"/>
        <w:rPr>
          <w:rFonts w:ascii="宋体" w:hAnsi="宋体" w:eastAsia="宋体" w:cs="宋体"/>
          <w:color w:val="auto"/>
          <w:szCs w:val="21"/>
        </w:rPr>
      </w:pPr>
      <w:r>
        <w:rPr>
          <w:rFonts w:hint="eastAsia" w:ascii="宋体" w:hAnsi="宋体" w:eastAsia="宋体" w:cs="宋体"/>
          <w:color w:val="auto"/>
          <w:szCs w:val="21"/>
        </w:rPr>
        <w:t>(3)为使供应商有充分的时间对磋商文件的修改部分进行研究，招标代理机构可适当延长投标截止期。</w:t>
      </w:r>
    </w:p>
    <w:p w14:paraId="22CE545E">
      <w:pPr>
        <w:spacing w:line="360" w:lineRule="auto"/>
        <w:outlineLvl w:val="1"/>
        <w:rPr>
          <w:rFonts w:ascii="宋体" w:hAnsi="宋体" w:eastAsia="宋体" w:cs="宋体"/>
          <w:b/>
          <w:bCs/>
          <w:color w:val="auto"/>
          <w:sz w:val="28"/>
          <w:szCs w:val="28"/>
        </w:rPr>
      </w:pPr>
      <w:bookmarkStart w:id="43" w:name="_Toc30361"/>
      <w:r>
        <w:rPr>
          <w:rFonts w:hint="eastAsia" w:ascii="宋体" w:hAnsi="宋体" w:eastAsia="宋体" w:cs="宋体"/>
          <w:b/>
          <w:bCs/>
          <w:color w:val="auto"/>
          <w:sz w:val="24"/>
          <w:szCs w:val="24"/>
        </w:rPr>
        <w:t>三、响应文件编制</w:t>
      </w:r>
      <w:bookmarkEnd w:id="43"/>
    </w:p>
    <w:p w14:paraId="0B70410D">
      <w:pPr>
        <w:spacing w:line="360" w:lineRule="auto"/>
        <w:ind w:firstLine="420" w:firstLineChars="200"/>
        <w:outlineLvl w:val="9"/>
        <w:rPr>
          <w:rFonts w:ascii="宋体" w:hAnsi="宋体" w:eastAsia="宋体" w:cs="宋体"/>
          <w:color w:val="auto"/>
          <w:szCs w:val="21"/>
        </w:rPr>
      </w:pPr>
      <w:r>
        <w:rPr>
          <w:rFonts w:hint="eastAsia" w:ascii="宋体" w:hAnsi="宋体" w:eastAsia="宋体" w:cs="宋体"/>
          <w:color w:val="auto"/>
          <w:szCs w:val="21"/>
        </w:rPr>
        <w:t>供应商应仔细阅读磋商文件中所有的事项、格式、条款和技术要求，按磋商文件规定的要求提供响应文件，并保证所提供的全部资料的真实性。如果响应文件没有按照磋商文件要求提供全部资料，或者响应文件没有对磋商文件在各方面都做出实质性响应，其投标将被拒绝，其风险应由供应商承担。</w:t>
      </w:r>
    </w:p>
    <w:p w14:paraId="027F47E2">
      <w:pPr>
        <w:spacing w:line="360" w:lineRule="auto"/>
        <w:ind w:firstLine="420" w:firstLineChars="200"/>
        <w:outlineLvl w:val="9"/>
        <w:rPr>
          <w:rFonts w:ascii="宋体" w:hAnsi="宋体" w:eastAsia="宋体" w:cs="宋体"/>
          <w:color w:val="auto"/>
          <w:szCs w:val="21"/>
        </w:rPr>
      </w:pPr>
      <w:r>
        <w:rPr>
          <w:rFonts w:hint="eastAsia" w:ascii="宋体" w:hAnsi="宋体" w:eastAsia="宋体" w:cs="宋体"/>
          <w:color w:val="auto"/>
          <w:szCs w:val="21"/>
        </w:rPr>
        <w:t>1、响应文件的语言及计量单位</w:t>
      </w:r>
    </w:p>
    <w:p w14:paraId="1A726F03">
      <w:pPr>
        <w:spacing w:line="360" w:lineRule="auto"/>
        <w:ind w:firstLine="420" w:firstLineChars="200"/>
        <w:outlineLvl w:val="9"/>
        <w:rPr>
          <w:rFonts w:ascii="宋体" w:hAnsi="宋体" w:eastAsia="宋体" w:cs="宋体"/>
          <w:color w:val="auto"/>
          <w:szCs w:val="21"/>
        </w:rPr>
      </w:pPr>
      <w:r>
        <w:rPr>
          <w:rFonts w:hint="eastAsia" w:ascii="宋体" w:hAnsi="宋体" w:eastAsia="宋体" w:cs="宋体"/>
          <w:color w:val="auto"/>
          <w:szCs w:val="21"/>
        </w:rPr>
        <w:t>（1）除专用术语外，与招标投标有关的语言均使用中文。</w:t>
      </w:r>
    </w:p>
    <w:p w14:paraId="7FAB4467">
      <w:pPr>
        <w:spacing w:line="360" w:lineRule="auto"/>
        <w:ind w:firstLine="420" w:firstLineChars="200"/>
        <w:outlineLvl w:val="9"/>
        <w:rPr>
          <w:rFonts w:ascii="宋体" w:hAnsi="宋体" w:eastAsia="宋体" w:cs="宋体"/>
          <w:color w:val="auto"/>
          <w:szCs w:val="21"/>
        </w:rPr>
      </w:pPr>
      <w:r>
        <w:rPr>
          <w:rFonts w:hint="eastAsia" w:ascii="宋体" w:hAnsi="宋体" w:eastAsia="宋体" w:cs="宋体"/>
          <w:color w:val="auto"/>
          <w:szCs w:val="21"/>
        </w:rPr>
        <w:t>（2）所有计量均采用中华人民共和国法定计量单位。</w:t>
      </w:r>
    </w:p>
    <w:p w14:paraId="74BA568E">
      <w:pPr>
        <w:spacing w:line="360" w:lineRule="auto"/>
        <w:ind w:firstLine="420" w:firstLineChars="200"/>
        <w:outlineLvl w:val="9"/>
        <w:rPr>
          <w:rFonts w:ascii="宋体" w:hAnsi="宋体" w:eastAsia="宋体" w:cs="宋体"/>
          <w:color w:val="auto"/>
          <w:szCs w:val="21"/>
        </w:rPr>
      </w:pPr>
      <w:r>
        <w:rPr>
          <w:rFonts w:hint="eastAsia" w:ascii="宋体" w:hAnsi="宋体" w:eastAsia="宋体" w:cs="宋体"/>
          <w:color w:val="auto"/>
          <w:szCs w:val="21"/>
        </w:rPr>
        <w:t>2、响应文件的组成</w:t>
      </w:r>
    </w:p>
    <w:p w14:paraId="3355EB27">
      <w:pPr>
        <w:spacing w:line="360" w:lineRule="auto"/>
        <w:ind w:firstLine="420" w:firstLineChars="200"/>
        <w:outlineLvl w:val="9"/>
        <w:rPr>
          <w:rFonts w:hint="eastAsia" w:ascii="宋体" w:hAnsi="宋体" w:eastAsia="宋体" w:cs="宋体"/>
          <w:color w:val="auto"/>
          <w:szCs w:val="21"/>
        </w:rPr>
      </w:pPr>
      <w:r>
        <w:rPr>
          <w:rFonts w:hint="eastAsia" w:ascii="宋体" w:hAnsi="宋体" w:eastAsia="宋体" w:cs="宋体"/>
          <w:color w:val="auto"/>
          <w:szCs w:val="21"/>
        </w:rPr>
        <w:t>一、磋商响应书</w:t>
      </w:r>
    </w:p>
    <w:p w14:paraId="5E1F828C">
      <w:pPr>
        <w:spacing w:line="360" w:lineRule="auto"/>
        <w:ind w:firstLine="420" w:firstLineChars="200"/>
        <w:outlineLvl w:val="9"/>
        <w:rPr>
          <w:rFonts w:hint="eastAsia" w:ascii="宋体" w:hAnsi="宋体" w:eastAsia="宋体" w:cs="宋体"/>
          <w:color w:val="auto"/>
          <w:szCs w:val="21"/>
        </w:rPr>
      </w:pPr>
      <w:r>
        <w:rPr>
          <w:rFonts w:hint="eastAsia" w:ascii="宋体" w:hAnsi="宋体" w:eastAsia="宋体" w:cs="宋体"/>
          <w:color w:val="auto"/>
          <w:szCs w:val="21"/>
        </w:rPr>
        <w:t>二、报价一览表</w:t>
      </w:r>
    </w:p>
    <w:p w14:paraId="7A45308D">
      <w:pPr>
        <w:spacing w:line="360" w:lineRule="auto"/>
        <w:ind w:firstLine="420" w:firstLineChars="200"/>
        <w:outlineLvl w:val="9"/>
        <w:rPr>
          <w:rFonts w:hint="eastAsia" w:ascii="宋体" w:hAnsi="宋体" w:eastAsia="宋体" w:cs="宋体"/>
          <w:color w:val="auto"/>
          <w:szCs w:val="21"/>
        </w:rPr>
      </w:pPr>
      <w:r>
        <w:rPr>
          <w:rFonts w:hint="eastAsia" w:ascii="宋体" w:hAnsi="宋体" w:eastAsia="宋体" w:cs="宋体"/>
          <w:color w:val="auto"/>
          <w:szCs w:val="21"/>
        </w:rPr>
        <w:t>三、法定代表人身份证明</w:t>
      </w:r>
    </w:p>
    <w:p w14:paraId="30CF8C36">
      <w:pPr>
        <w:spacing w:line="360" w:lineRule="auto"/>
        <w:ind w:firstLine="420" w:firstLineChars="200"/>
        <w:outlineLvl w:val="9"/>
        <w:rPr>
          <w:rFonts w:hint="eastAsia" w:ascii="宋体" w:hAnsi="宋体" w:eastAsia="宋体" w:cs="宋体"/>
          <w:color w:val="auto"/>
          <w:szCs w:val="21"/>
        </w:rPr>
      </w:pPr>
      <w:r>
        <w:rPr>
          <w:rFonts w:hint="eastAsia" w:ascii="宋体" w:hAnsi="宋体" w:eastAsia="宋体" w:cs="宋体"/>
          <w:color w:val="auto"/>
          <w:szCs w:val="21"/>
        </w:rPr>
        <w:t>四、授权委托书</w:t>
      </w:r>
    </w:p>
    <w:p w14:paraId="7EF9B835">
      <w:pPr>
        <w:spacing w:line="360" w:lineRule="auto"/>
        <w:ind w:firstLine="420" w:firstLineChars="200"/>
        <w:outlineLvl w:val="9"/>
        <w:rPr>
          <w:rFonts w:hint="default" w:ascii="宋体" w:hAnsi="宋体" w:eastAsia="宋体" w:cs="宋体"/>
          <w:color w:val="auto"/>
          <w:szCs w:val="21"/>
          <w:lang w:val="en-US" w:eastAsia="zh-CN"/>
        </w:rPr>
      </w:pPr>
      <w:r>
        <w:rPr>
          <w:rFonts w:hint="eastAsia" w:ascii="宋体" w:hAnsi="宋体" w:eastAsia="宋体" w:cs="宋体"/>
          <w:color w:val="auto"/>
          <w:szCs w:val="21"/>
        </w:rPr>
        <w:t>五、服务内容及要求</w:t>
      </w:r>
      <w:r>
        <w:rPr>
          <w:rFonts w:hint="eastAsia" w:ascii="宋体" w:hAnsi="宋体" w:cs="宋体"/>
          <w:color w:val="auto"/>
          <w:szCs w:val="21"/>
          <w:lang w:val="en-US" w:eastAsia="zh-CN"/>
        </w:rPr>
        <w:t>的响应</w:t>
      </w:r>
    </w:p>
    <w:p w14:paraId="69DDB3F8">
      <w:pPr>
        <w:spacing w:line="360" w:lineRule="auto"/>
        <w:ind w:firstLine="420" w:firstLineChars="200"/>
        <w:outlineLvl w:val="9"/>
        <w:rPr>
          <w:rFonts w:hint="eastAsia" w:ascii="宋体" w:hAnsi="宋体" w:eastAsia="宋体" w:cs="宋体"/>
          <w:color w:val="auto"/>
          <w:szCs w:val="21"/>
        </w:rPr>
      </w:pPr>
      <w:r>
        <w:rPr>
          <w:rFonts w:hint="eastAsia" w:ascii="宋体" w:hAnsi="宋体" w:eastAsia="宋体" w:cs="宋体"/>
          <w:color w:val="auto"/>
          <w:szCs w:val="21"/>
          <w:lang w:val="en-US" w:eastAsia="zh-CN"/>
        </w:rPr>
        <w:t>六</w:t>
      </w:r>
      <w:r>
        <w:rPr>
          <w:rFonts w:hint="eastAsia" w:ascii="宋体" w:hAnsi="宋体" w:eastAsia="宋体" w:cs="宋体"/>
          <w:color w:val="auto"/>
          <w:szCs w:val="21"/>
        </w:rPr>
        <w:t>、资格审查资料</w:t>
      </w:r>
    </w:p>
    <w:p w14:paraId="0FB69CCC">
      <w:pPr>
        <w:spacing w:line="360" w:lineRule="auto"/>
        <w:ind w:firstLine="420" w:firstLineChars="200"/>
        <w:outlineLvl w:val="9"/>
        <w:rPr>
          <w:rFonts w:hint="eastAsia" w:ascii="宋体" w:hAnsi="宋体" w:eastAsia="宋体" w:cs="宋体"/>
          <w:color w:val="auto"/>
          <w:szCs w:val="21"/>
        </w:rPr>
      </w:pPr>
      <w:r>
        <w:rPr>
          <w:rFonts w:hint="eastAsia" w:ascii="宋体" w:hAnsi="宋体" w:eastAsia="宋体" w:cs="宋体"/>
          <w:color w:val="auto"/>
          <w:szCs w:val="21"/>
          <w:lang w:val="en-US" w:eastAsia="zh-CN"/>
        </w:rPr>
        <w:t>七</w:t>
      </w:r>
      <w:r>
        <w:rPr>
          <w:rFonts w:hint="eastAsia" w:ascii="宋体" w:hAnsi="宋体" w:eastAsia="宋体" w:cs="宋体"/>
          <w:color w:val="auto"/>
          <w:szCs w:val="21"/>
        </w:rPr>
        <w:t>、其它资料</w:t>
      </w:r>
    </w:p>
    <w:p w14:paraId="5E91032F">
      <w:pPr>
        <w:spacing w:line="360" w:lineRule="auto"/>
        <w:ind w:firstLine="420" w:firstLineChars="200"/>
        <w:outlineLvl w:val="9"/>
        <w:rPr>
          <w:rFonts w:ascii="宋体" w:hAnsi="宋体" w:eastAsia="宋体" w:cs="宋体"/>
          <w:color w:val="auto"/>
          <w:szCs w:val="21"/>
        </w:rPr>
      </w:pPr>
      <w:r>
        <w:rPr>
          <w:rFonts w:hint="eastAsia" w:ascii="宋体" w:hAnsi="宋体" w:eastAsia="宋体" w:cs="宋体"/>
          <w:color w:val="auto"/>
          <w:szCs w:val="21"/>
        </w:rPr>
        <w:t>3、响应文件的格式</w:t>
      </w:r>
    </w:p>
    <w:p w14:paraId="2DFB1EC3">
      <w:pPr>
        <w:spacing w:line="360" w:lineRule="auto"/>
        <w:ind w:firstLine="420" w:firstLineChars="200"/>
        <w:outlineLvl w:val="9"/>
        <w:rPr>
          <w:rFonts w:ascii="宋体" w:hAnsi="宋体" w:eastAsia="宋体" w:cs="宋体"/>
          <w:color w:val="auto"/>
          <w:szCs w:val="21"/>
        </w:rPr>
      </w:pPr>
      <w:r>
        <w:rPr>
          <w:rFonts w:hint="eastAsia" w:ascii="宋体" w:hAnsi="宋体" w:eastAsia="宋体" w:cs="宋体"/>
          <w:color w:val="auto"/>
          <w:szCs w:val="21"/>
        </w:rPr>
        <w:t>供应商应按磋商文件中提供的响应文件格式填写</w:t>
      </w:r>
    </w:p>
    <w:p w14:paraId="79BA4154">
      <w:pPr>
        <w:spacing w:line="360" w:lineRule="auto"/>
        <w:ind w:firstLine="420" w:firstLineChars="200"/>
        <w:outlineLvl w:val="9"/>
        <w:rPr>
          <w:rFonts w:ascii="宋体" w:hAnsi="宋体" w:eastAsia="宋体" w:cs="宋体"/>
          <w:color w:val="auto"/>
          <w:szCs w:val="21"/>
        </w:rPr>
      </w:pPr>
      <w:r>
        <w:rPr>
          <w:rFonts w:hint="eastAsia" w:ascii="宋体" w:hAnsi="宋体" w:eastAsia="宋体" w:cs="宋体"/>
          <w:color w:val="auto"/>
          <w:szCs w:val="21"/>
        </w:rPr>
        <w:t>4、磋商报价</w:t>
      </w:r>
    </w:p>
    <w:p w14:paraId="2E0D54CE">
      <w:pPr>
        <w:spacing w:line="360" w:lineRule="auto"/>
        <w:ind w:firstLine="420" w:firstLineChars="200"/>
        <w:outlineLvl w:val="9"/>
        <w:rPr>
          <w:rFonts w:hint="eastAsia" w:ascii="宋体" w:hAnsi="宋体" w:eastAsia="宋体" w:cs="宋体"/>
          <w:color w:val="auto"/>
          <w:szCs w:val="21"/>
        </w:rPr>
      </w:pPr>
      <w:r>
        <w:rPr>
          <w:rFonts w:hint="eastAsia" w:ascii="宋体" w:hAnsi="宋体" w:eastAsia="宋体" w:cs="宋体"/>
          <w:color w:val="auto"/>
          <w:szCs w:val="21"/>
        </w:rPr>
        <w:t>响应文件投标总价为初始报价，最终磋商报价即为成交合同价。</w:t>
      </w:r>
    </w:p>
    <w:p w14:paraId="1E5875D0">
      <w:pPr>
        <w:spacing w:line="360" w:lineRule="auto"/>
        <w:ind w:firstLine="420" w:firstLineChars="200"/>
        <w:outlineLvl w:val="9"/>
        <w:rPr>
          <w:rFonts w:ascii="宋体" w:hAnsi="宋体" w:eastAsia="宋体" w:cs="宋体"/>
          <w:color w:val="auto"/>
          <w:szCs w:val="21"/>
        </w:rPr>
      </w:pPr>
      <w:r>
        <w:rPr>
          <w:rFonts w:hint="eastAsia" w:ascii="宋体" w:hAnsi="宋体" w:eastAsia="宋体" w:cs="宋体"/>
          <w:color w:val="auto"/>
          <w:szCs w:val="21"/>
        </w:rPr>
        <w:t>5、投标货币</w:t>
      </w:r>
    </w:p>
    <w:p w14:paraId="1203387D">
      <w:pPr>
        <w:spacing w:line="360" w:lineRule="auto"/>
        <w:ind w:firstLine="420" w:firstLineChars="200"/>
        <w:outlineLvl w:val="9"/>
        <w:rPr>
          <w:rFonts w:ascii="宋体" w:hAnsi="宋体" w:eastAsia="宋体" w:cs="宋体"/>
          <w:color w:val="auto"/>
          <w:szCs w:val="21"/>
        </w:rPr>
      </w:pPr>
      <w:r>
        <w:rPr>
          <w:rFonts w:hint="eastAsia" w:ascii="宋体" w:hAnsi="宋体" w:eastAsia="宋体" w:cs="宋体"/>
          <w:color w:val="auto"/>
          <w:szCs w:val="21"/>
        </w:rPr>
        <w:t>供应商应以</w:t>
      </w:r>
      <w:r>
        <w:rPr>
          <w:rFonts w:hint="eastAsia" w:ascii="宋体" w:hAnsi="宋体" w:eastAsia="宋体" w:cs="宋体"/>
          <w:color w:val="auto"/>
          <w:kern w:val="0"/>
        </w:rPr>
        <w:t>人民币元</w:t>
      </w:r>
      <w:r>
        <w:rPr>
          <w:rFonts w:hint="eastAsia" w:ascii="宋体" w:hAnsi="宋体" w:eastAsia="宋体" w:cs="宋体"/>
          <w:color w:val="auto"/>
          <w:kern w:val="0"/>
          <w:lang w:eastAsia="zh-CN"/>
        </w:rPr>
        <w:t>的</w:t>
      </w:r>
      <w:r>
        <w:rPr>
          <w:rFonts w:hint="eastAsia" w:ascii="宋体" w:hAnsi="宋体" w:eastAsia="宋体" w:cs="宋体"/>
          <w:color w:val="auto"/>
          <w:szCs w:val="21"/>
          <w:lang w:val="en-US" w:eastAsia="zh-CN"/>
        </w:rPr>
        <w:t>形式进行报价，以人民币方式进行结算</w:t>
      </w:r>
      <w:r>
        <w:rPr>
          <w:rFonts w:hint="eastAsia" w:ascii="宋体" w:hAnsi="宋体" w:eastAsia="宋体" w:cs="宋体"/>
          <w:color w:val="auto"/>
          <w:szCs w:val="21"/>
        </w:rPr>
        <w:t>。</w:t>
      </w:r>
    </w:p>
    <w:p w14:paraId="2ED5F1C2">
      <w:pPr>
        <w:spacing w:line="360" w:lineRule="auto"/>
        <w:ind w:firstLine="420" w:firstLineChars="200"/>
        <w:outlineLvl w:val="9"/>
        <w:rPr>
          <w:rFonts w:ascii="宋体" w:hAnsi="宋体" w:eastAsia="宋体" w:cs="宋体"/>
          <w:color w:val="auto"/>
          <w:szCs w:val="21"/>
        </w:rPr>
      </w:pPr>
      <w:r>
        <w:rPr>
          <w:rFonts w:hint="eastAsia" w:ascii="宋体" w:hAnsi="宋体" w:eastAsia="宋体" w:cs="宋体"/>
          <w:color w:val="auto"/>
          <w:szCs w:val="21"/>
        </w:rPr>
        <w:t>6、供应商资格的证明文件</w:t>
      </w:r>
    </w:p>
    <w:p w14:paraId="0EA5EF83">
      <w:pPr>
        <w:spacing w:line="360" w:lineRule="auto"/>
        <w:ind w:firstLine="420" w:firstLineChars="200"/>
        <w:outlineLvl w:val="9"/>
        <w:rPr>
          <w:rFonts w:ascii="宋体" w:hAnsi="宋体" w:eastAsia="宋体" w:cs="宋体"/>
          <w:color w:val="auto"/>
          <w:szCs w:val="21"/>
        </w:rPr>
      </w:pPr>
      <w:r>
        <w:rPr>
          <w:rFonts w:hint="eastAsia" w:ascii="宋体" w:hAnsi="宋体" w:eastAsia="宋体" w:cs="宋体"/>
          <w:color w:val="auto"/>
          <w:szCs w:val="21"/>
        </w:rPr>
        <w:t>按照磋商文件规定的格式提交相应的资格证明文件，作为响应文件的一部分，以证明其供应商有资格进行投标和有能力履行合同。</w:t>
      </w:r>
    </w:p>
    <w:p w14:paraId="703B57E4">
      <w:pPr>
        <w:spacing w:line="360" w:lineRule="auto"/>
        <w:ind w:firstLine="420" w:firstLineChars="200"/>
        <w:outlineLvl w:val="9"/>
        <w:rPr>
          <w:rFonts w:ascii="宋体" w:hAnsi="宋体" w:eastAsia="宋体" w:cs="宋体"/>
          <w:color w:val="auto"/>
          <w:szCs w:val="21"/>
        </w:rPr>
      </w:pPr>
      <w:r>
        <w:rPr>
          <w:rFonts w:hint="eastAsia" w:ascii="宋体" w:hAnsi="宋体" w:eastAsia="宋体" w:cs="宋体"/>
          <w:color w:val="auto"/>
          <w:szCs w:val="21"/>
        </w:rPr>
        <w:t>7、磋商有效期</w:t>
      </w:r>
    </w:p>
    <w:p w14:paraId="7EA64C12">
      <w:pPr>
        <w:spacing w:line="360" w:lineRule="auto"/>
        <w:ind w:firstLine="420" w:firstLineChars="200"/>
        <w:outlineLvl w:val="9"/>
        <w:rPr>
          <w:rFonts w:ascii="宋体" w:hAnsi="宋体" w:eastAsia="宋体" w:cs="宋体"/>
          <w:color w:val="auto"/>
          <w:szCs w:val="21"/>
        </w:rPr>
      </w:pPr>
      <w:r>
        <w:rPr>
          <w:rFonts w:hint="eastAsia" w:ascii="宋体" w:hAnsi="宋体" w:eastAsia="宋体" w:cs="宋体"/>
          <w:color w:val="auto"/>
          <w:szCs w:val="21"/>
        </w:rPr>
        <w:t>（1）须知前附表规定的有效期内，供应商不得要求撤销和修改其响应文件。</w:t>
      </w:r>
    </w:p>
    <w:p w14:paraId="02FD6968">
      <w:pPr>
        <w:spacing w:line="360" w:lineRule="auto"/>
        <w:ind w:firstLine="420" w:firstLineChars="200"/>
        <w:outlineLvl w:val="9"/>
        <w:rPr>
          <w:rFonts w:ascii="宋体" w:hAnsi="宋体" w:eastAsia="宋体" w:cs="宋体"/>
          <w:color w:val="auto"/>
          <w:szCs w:val="21"/>
        </w:rPr>
      </w:pPr>
      <w:r>
        <w:rPr>
          <w:rFonts w:hint="eastAsia" w:ascii="宋体" w:hAnsi="宋体" w:eastAsia="宋体" w:cs="宋体"/>
          <w:color w:val="auto"/>
          <w:szCs w:val="21"/>
        </w:rPr>
        <w:t>（2）特殊情况需要延长投标有效期的，采购人在电子交易系统中通知所有供应商延长投标有效期。供应商同意延长的，但不得要求或被允许修改或撤销其投标文件；供应商拒绝延长的，其投标失效。</w:t>
      </w:r>
    </w:p>
    <w:p w14:paraId="70C6C579">
      <w:pPr>
        <w:spacing w:line="360" w:lineRule="auto"/>
        <w:outlineLvl w:val="1"/>
        <w:rPr>
          <w:rFonts w:ascii="宋体" w:hAnsi="宋体" w:eastAsia="宋体" w:cs="宋体"/>
          <w:b/>
          <w:bCs/>
          <w:color w:val="auto"/>
          <w:kern w:val="0"/>
          <w:sz w:val="28"/>
          <w:szCs w:val="28"/>
        </w:rPr>
      </w:pPr>
      <w:bookmarkStart w:id="44" w:name="_Toc23431"/>
      <w:bookmarkEnd w:id="44"/>
      <w:bookmarkStart w:id="45" w:name="_Toc5999"/>
      <w:bookmarkEnd w:id="45"/>
      <w:bookmarkStart w:id="46" w:name="_Toc14963"/>
      <w:bookmarkEnd w:id="46"/>
      <w:bookmarkStart w:id="47" w:name="_Toc23310"/>
      <w:bookmarkStart w:id="48" w:name="_Toc763"/>
      <w:r>
        <w:rPr>
          <w:rFonts w:hint="eastAsia" w:ascii="宋体" w:hAnsi="宋体" w:eastAsia="宋体" w:cs="宋体"/>
          <w:b/>
          <w:bCs/>
          <w:color w:val="auto"/>
          <w:kern w:val="0"/>
          <w:sz w:val="24"/>
          <w:szCs w:val="24"/>
        </w:rPr>
        <w:t>四、响应文件递交</w:t>
      </w:r>
      <w:bookmarkEnd w:id="47"/>
      <w:bookmarkEnd w:id="48"/>
    </w:p>
    <w:p w14:paraId="2BDCD56C">
      <w:pPr>
        <w:spacing w:line="360" w:lineRule="auto"/>
        <w:ind w:firstLine="420" w:firstLineChars="200"/>
        <w:outlineLvl w:val="9"/>
        <w:rPr>
          <w:rFonts w:ascii="宋体" w:hAnsi="宋体" w:eastAsia="宋体" w:cs="宋体"/>
          <w:color w:val="auto"/>
          <w:szCs w:val="21"/>
        </w:rPr>
      </w:pPr>
      <w:r>
        <w:rPr>
          <w:rFonts w:hint="eastAsia" w:ascii="宋体" w:hAnsi="宋体" w:eastAsia="宋体" w:cs="宋体"/>
          <w:color w:val="auto"/>
          <w:kern w:val="0"/>
          <w:szCs w:val="21"/>
        </w:rPr>
        <w:t>1</w:t>
      </w:r>
      <w:r>
        <w:rPr>
          <w:rFonts w:hint="eastAsia" w:ascii="宋体" w:hAnsi="宋体" w:eastAsia="宋体" w:cs="宋体"/>
          <w:color w:val="auto"/>
          <w:szCs w:val="21"/>
        </w:rPr>
        <w:t>、响应文件的递交和截止时间</w:t>
      </w:r>
    </w:p>
    <w:p w14:paraId="4C60744E">
      <w:pPr>
        <w:spacing w:line="360" w:lineRule="auto"/>
        <w:ind w:firstLine="420" w:firstLineChars="200"/>
        <w:outlineLvl w:val="9"/>
        <w:rPr>
          <w:rFonts w:ascii="宋体" w:hAnsi="宋体" w:eastAsia="宋体" w:cs="宋体"/>
          <w:color w:val="auto"/>
          <w:szCs w:val="21"/>
        </w:rPr>
      </w:pPr>
      <w:r>
        <w:rPr>
          <w:rFonts w:hint="eastAsia" w:ascii="宋体" w:hAnsi="宋体" w:eastAsia="宋体" w:cs="宋体"/>
          <w:color w:val="auto"/>
          <w:szCs w:val="21"/>
        </w:rPr>
        <w:t>1.1供应商应在供应商须知前附表中规定的投标截止时间前上传响应文件至平顶山市公共资源交易中心交易系统中。</w:t>
      </w:r>
    </w:p>
    <w:p w14:paraId="584FC7B7">
      <w:pPr>
        <w:spacing w:line="360" w:lineRule="auto"/>
        <w:ind w:firstLine="420" w:firstLineChars="200"/>
        <w:outlineLvl w:val="9"/>
        <w:rPr>
          <w:rFonts w:ascii="宋体" w:hAnsi="宋体" w:eastAsia="宋体" w:cs="宋体"/>
          <w:color w:val="auto"/>
          <w:szCs w:val="21"/>
        </w:rPr>
      </w:pPr>
      <w:r>
        <w:rPr>
          <w:rFonts w:hint="eastAsia" w:ascii="宋体" w:hAnsi="宋体" w:eastAsia="宋体" w:cs="宋体"/>
          <w:color w:val="auto"/>
          <w:szCs w:val="21"/>
        </w:rPr>
        <w:t>1.2 采购人可以根据供应商须知的规定发出补充文件并酌情延长投标截止时间。在上述情况下采购人与供应商在原投标截止时间方面的全部权利和义务将适用于延长后新的投标截止时间。</w:t>
      </w:r>
    </w:p>
    <w:p w14:paraId="48D6DB67">
      <w:pPr>
        <w:spacing w:line="360" w:lineRule="auto"/>
        <w:ind w:firstLine="420" w:firstLineChars="200"/>
        <w:outlineLvl w:val="9"/>
        <w:rPr>
          <w:rFonts w:ascii="宋体" w:hAnsi="宋体" w:eastAsia="宋体" w:cs="宋体"/>
          <w:color w:val="auto"/>
          <w:szCs w:val="21"/>
        </w:rPr>
      </w:pPr>
      <w:r>
        <w:rPr>
          <w:rFonts w:hint="eastAsia" w:ascii="宋体" w:hAnsi="宋体" w:eastAsia="宋体" w:cs="宋体"/>
          <w:color w:val="auto"/>
          <w:szCs w:val="21"/>
        </w:rPr>
        <w:t>2、逾期递交的响应文件</w:t>
      </w:r>
    </w:p>
    <w:p w14:paraId="7F81AC61">
      <w:pPr>
        <w:spacing w:line="360" w:lineRule="auto"/>
        <w:ind w:firstLine="420" w:firstLineChars="200"/>
        <w:outlineLvl w:val="9"/>
        <w:rPr>
          <w:rFonts w:ascii="宋体" w:hAnsi="宋体" w:eastAsia="宋体" w:cs="宋体"/>
          <w:color w:val="auto"/>
          <w:szCs w:val="21"/>
        </w:rPr>
      </w:pPr>
      <w:r>
        <w:rPr>
          <w:rFonts w:hint="eastAsia" w:ascii="宋体" w:hAnsi="宋体" w:eastAsia="宋体" w:cs="宋体"/>
          <w:color w:val="auto"/>
          <w:szCs w:val="21"/>
        </w:rPr>
        <w:t>在投标截止时间后递交的响应文件，采购人将不予接受。</w:t>
      </w:r>
    </w:p>
    <w:p w14:paraId="009B62BD">
      <w:pPr>
        <w:spacing w:line="360" w:lineRule="auto"/>
        <w:ind w:firstLine="420" w:firstLineChars="200"/>
        <w:outlineLvl w:val="9"/>
        <w:rPr>
          <w:rFonts w:ascii="宋体" w:hAnsi="宋体" w:eastAsia="宋体" w:cs="宋体"/>
          <w:color w:val="auto"/>
          <w:szCs w:val="21"/>
        </w:rPr>
      </w:pPr>
      <w:r>
        <w:rPr>
          <w:rFonts w:hint="eastAsia" w:ascii="宋体" w:hAnsi="宋体" w:eastAsia="宋体" w:cs="宋体"/>
          <w:color w:val="auto"/>
          <w:szCs w:val="21"/>
        </w:rPr>
        <w:t>3、响应文件的修改或撤回</w:t>
      </w:r>
    </w:p>
    <w:p w14:paraId="5F659B63">
      <w:pPr>
        <w:spacing w:line="360" w:lineRule="auto"/>
        <w:ind w:firstLine="420" w:firstLineChars="200"/>
        <w:outlineLvl w:val="9"/>
        <w:rPr>
          <w:rFonts w:ascii="宋体" w:hAnsi="宋体" w:eastAsia="宋体" w:cs="宋体"/>
          <w:color w:val="auto"/>
          <w:szCs w:val="21"/>
        </w:rPr>
      </w:pPr>
      <w:r>
        <w:rPr>
          <w:rFonts w:hint="eastAsia" w:ascii="宋体" w:hAnsi="宋体" w:eastAsia="宋体" w:cs="宋体"/>
          <w:color w:val="auto"/>
          <w:szCs w:val="21"/>
        </w:rPr>
        <w:t>（1）供应商在规定的投标截止日期前，可以修改或撤回其响应文件。</w:t>
      </w:r>
    </w:p>
    <w:p w14:paraId="4CAA3757">
      <w:pPr>
        <w:spacing w:line="360" w:lineRule="auto"/>
        <w:ind w:firstLine="420" w:firstLineChars="200"/>
        <w:outlineLvl w:val="9"/>
        <w:rPr>
          <w:rFonts w:ascii="宋体" w:hAnsi="宋体" w:eastAsia="宋体" w:cs="宋体"/>
          <w:color w:val="auto"/>
          <w:szCs w:val="21"/>
        </w:rPr>
      </w:pPr>
      <w:r>
        <w:rPr>
          <w:rFonts w:hint="eastAsia" w:ascii="宋体" w:hAnsi="宋体" w:eastAsia="宋体" w:cs="宋体"/>
          <w:color w:val="auto"/>
          <w:szCs w:val="21"/>
        </w:rPr>
        <w:t>（2）修改的内容为响应文件的组成部分。</w:t>
      </w:r>
    </w:p>
    <w:p w14:paraId="1F31A7ED">
      <w:pPr>
        <w:spacing w:line="360" w:lineRule="auto"/>
        <w:outlineLvl w:val="1"/>
        <w:rPr>
          <w:rFonts w:ascii="宋体" w:hAnsi="宋体" w:eastAsia="宋体" w:cs="宋体"/>
          <w:b/>
          <w:bCs/>
          <w:color w:val="auto"/>
          <w:sz w:val="28"/>
          <w:szCs w:val="28"/>
        </w:rPr>
      </w:pPr>
      <w:bookmarkStart w:id="49" w:name="_Toc26439"/>
      <w:bookmarkEnd w:id="49"/>
      <w:bookmarkStart w:id="50" w:name="_Toc9552"/>
      <w:bookmarkStart w:id="51" w:name="_Toc11684"/>
      <w:r>
        <w:rPr>
          <w:rFonts w:hint="eastAsia" w:ascii="宋体" w:hAnsi="宋体" w:eastAsia="宋体" w:cs="宋体"/>
          <w:b/>
          <w:bCs/>
          <w:color w:val="auto"/>
          <w:sz w:val="24"/>
          <w:szCs w:val="24"/>
        </w:rPr>
        <w:t>五、磋商程序</w:t>
      </w:r>
      <w:bookmarkEnd w:id="50"/>
      <w:bookmarkEnd w:id="51"/>
    </w:p>
    <w:p w14:paraId="5F46FCB5">
      <w:pPr>
        <w:spacing w:line="360" w:lineRule="auto"/>
        <w:outlineLvl w:val="9"/>
        <w:rPr>
          <w:rFonts w:ascii="宋体" w:hAnsi="宋体" w:eastAsia="宋体" w:cs="宋体"/>
          <w:b/>
          <w:bCs/>
          <w:color w:val="auto"/>
          <w:szCs w:val="21"/>
        </w:rPr>
      </w:pPr>
      <w:bookmarkStart w:id="52" w:name="_Toc9120"/>
      <w:bookmarkEnd w:id="52"/>
      <w:bookmarkStart w:id="53" w:name="_Toc29954"/>
      <w:r>
        <w:rPr>
          <w:rFonts w:hint="eastAsia" w:ascii="宋体" w:hAnsi="宋体" w:eastAsia="宋体" w:cs="宋体"/>
          <w:b/>
          <w:bCs/>
          <w:color w:val="auto"/>
          <w:szCs w:val="21"/>
        </w:rPr>
        <w:t>1、竞争性磋商</w:t>
      </w:r>
      <w:bookmarkEnd w:id="53"/>
    </w:p>
    <w:p w14:paraId="5D829B38">
      <w:pPr>
        <w:spacing w:line="360" w:lineRule="auto"/>
        <w:ind w:firstLine="413" w:firstLineChars="196"/>
        <w:outlineLvl w:val="9"/>
        <w:rPr>
          <w:rFonts w:ascii="宋体" w:hAnsi="宋体" w:eastAsia="宋体" w:cs="宋体"/>
          <w:b/>
          <w:bCs/>
          <w:color w:val="auto"/>
          <w:szCs w:val="21"/>
        </w:rPr>
      </w:pPr>
      <w:bookmarkStart w:id="54" w:name="_Toc12857"/>
      <w:bookmarkEnd w:id="54"/>
      <w:r>
        <w:rPr>
          <w:rFonts w:hint="eastAsia" w:ascii="宋体" w:hAnsi="宋体" w:eastAsia="宋体" w:cs="宋体"/>
          <w:b/>
          <w:bCs/>
          <w:color w:val="auto"/>
          <w:szCs w:val="21"/>
        </w:rPr>
        <w:t>全面实行在线“不见面”开标，供应商远程在线解密投标文件，不再到开标现场，不再提供投标文件电子版及任何纸质投标文件。</w:t>
      </w:r>
    </w:p>
    <w:p w14:paraId="6BFAE5EE">
      <w:pPr>
        <w:spacing w:line="360" w:lineRule="auto"/>
        <w:outlineLvl w:val="9"/>
        <w:rPr>
          <w:rFonts w:ascii="宋体" w:hAnsi="宋体" w:eastAsia="宋体" w:cs="宋体"/>
          <w:b/>
          <w:bCs/>
          <w:color w:val="auto"/>
          <w:szCs w:val="21"/>
        </w:rPr>
      </w:pPr>
      <w:r>
        <w:rPr>
          <w:rFonts w:hint="eastAsia" w:ascii="宋体" w:hAnsi="宋体" w:eastAsia="宋体" w:cs="宋体"/>
          <w:b/>
          <w:bCs/>
          <w:color w:val="auto"/>
          <w:szCs w:val="21"/>
        </w:rPr>
        <w:t>2、磋商小组</w:t>
      </w:r>
    </w:p>
    <w:p w14:paraId="3260DCED">
      <w:pPr>
        <w:spacing w:line="360" w:lineRule="auto"/>
        <w:ind w:firstLine="420" w:firstLineChars="200"/>
        <w:outlineLvl w:val="9"/>
        <w:rPr>
          <w:rFonts w:ascii="宋体" w:hAnsi="宋体" w:eastAsia="宋体" w:cs="宋体"/>
          <w:color w:val="auto"/>
          <w:szCs w:val="21"/>
        </w:rPr>
      </w:pPr>
      <w:r>
        <w:rPr>
          <w:rFonts w:hint="eastAsia" w:ascii="宋体" w:hAnsi="宋体" w:eastAsia="宋体" w:cs="宋体"/>
          <w:color w:val="auto"/>
          <w:szCs w:val="21"/>
        </w:rPr>
        <w:t>磋商小组成员的组建：磋商小组由采购人依法组建。磋商小组由采购人代表和评审专家共3人以上单数组成，其中评审专家人数不得少于磋商小组成员总数的2/3。</w:t>
      </w:r>
    </w:p>
    <w:p w14:paraId="6BF50DAA">
      <w:pPr>
        <w:spacing w:line="360" w:lineRule="auto"/>
        <w:ind w:firstLine="420" w:firstLineChars="200"/>
        <w:outlineLvl w:val="9"/>
        <w:rPr>
          <w:rFonts w:ascii="宋体" w:hAnsi="宋体" w:eastAsia="宋体" w:cs="宋体"/>
          <w:color w:val="auto"/>
          <w:szCs w:val="21"/>
        </w:rPr>
      </w:pPr>
      <w:r>
        <w:rPr>
          <w:rFonts w:hint="eastAsia" w:ascii="宋体" w:hAnsi="宋体" w:eastAsia="宋体" w:cs="宋体"/>
          <w:color w:val="auto"/>
          <w:szCs w:val="21"/>
        </w:rPr>
        <w:t>注：“上述规定为一组评标专家组成方式，根据项目标段数量和评标工作量，可由多组专家完成评审，但一个标段只能由一组专家评审”。</w:t>
      </w:r>
    </w:p>
    <w:p w14:paraId="044A9F0F">
      <w:pPr>
        <w:spacing w:line="360" w:lineRule="auto"/>
        <w:ind w:firstLine="420" w:firstLineChars="200"/>
        <w:outlineLvl w:val="9"/>
        <w:rPr>
          <w:rFonts w:ascii="宋体" w:hAnsi="宋体" w:eastAsia="宋体" w:cs="宋体"/>
          <w:color w:val="auto"/>
          <w:szCs w:val="21"/>
        </w:rPr>
      </w:pPr>
      <w:r>
        <w:rPr>
          <w:rFonts w:hint="eastAsia" w:ascii="宋体" w:hAnsi="宋体" w:eastAsia="宋体" w:cs="宋体"/>
          <w:color w:val="auto"/>
          <w:szCs w:val="21"/>
        </w:rPr>
        <w:t>磋商小组人员中推选磋商小组主任1人，主持评标、磋商工作。磋商小组按照本项目竞争性磋商文件中的评定标原则，评标结束后，由磋商小组写出评标报告，按最终得分由高到低的顺序向采购人推荐前3名为成交侯选人，各磋商小组成员并在评标报告上签名备案。</w:t>
      </w:r>
    </w:p>
    <w:p w14:paraId="37086EC1">
      <w:pPr>
        <w:spacing w:line="360" w:lineRule="auto"/>
        <w:outlineLvl w:val="9"/>
        <w:rPr>
          <w:rFonts w:ascii="宋体" w:hAnsi="宋体" w:eastAsia="宋体" w:cs="宋体"/>
          <w:b/>
          <w:color w:val="auto"/>
          <w:kern w:val="0"/>
          <w:szCs w:val="21"/>
        </w:rPr>
      </w:pPr>
      <w:r>
        <w:rPr>
          <w:rFonts w:hint="eastAsia" w:ascii="宋体" w:hAnsi="宋体" w:eastAsia="宋体" w:cs="宋体"/>
          <w:b/>
          <w:color w:val="auto"/>
          <w:kern w:val="0"/>
          <w:szCs w:val="21"/>
        </w:rPr>
        <w:t>3、磋商原则</w:t>
      </w:r>
    </w:p>
    <w:p w14:paraId="235652BC">
      <w:pPr>
        <w:spacing w:line="360" w:lineRule="auto"/>
        <w:ind w:firstLine="420" w:firstLineChars="200"/>
        <w:outlineLvl w:val="9"/>
        <w:rPr>
          <w:rFonts w:ascii="宋体" w:hAnsi="宋体" w:eastAsia="宋体" w:cs="宋体"/>
          <w:color w:val="auto"/>
          <w:szCs w:val="21"/>
        </w:rPr>
      </w:pPr>
      <w:r>
        <w:rPr>
          <w:rFonts w:hint="eastAsia" w:ascii="宋体" w:hAnsi="宋体" w:eastAsia="宋体" w:cs="宋体"/>
          <w:color w:val="auto"/>
          <w:szCs w:val="21"/>
        </w:rPr>
        <w:t>磋商小组成员应当按照客观、公正、审慎的原则，根据磋商文件规定的磋商程序、评标办法和标准进行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2CAD9636">
      <w:pPr>
        <w:spacing w:line="360" w:lineRule="auto"/>
        <w:ind w:firstLine="420" w:firstLineChars="200"/>
        <w:outlineLvl w:val="9"/>
        <w:rPr>
          <w:rFonts w:ascii="宋体" w:hAnsi="宋体" w:eastAsia="宋体" w:cs="宋体"/>
          <w:color w:val="auto"/>
          <w:szCs w:val="21"/>
        </w:rPr>
      </w:pPr>
      <w:r>
        <w:rPr>
          <w:rFonts w:hint="eastAsia" w:ascii="宋体" w:hAnsi="宋体" w:eastAsia="宋体" w:cs="宋体"/>
          <w:color w:val="auto"/>
          <w:szCs w:val="21"/>
        </w:rPr>
        <w:t>磋商小组成员和有关工作人员不得干预或者影响正常评审工作，不得明示或者暗示其倾向性、引导性意见，不得修改磋商文件确定的评审程序、评审方法，不得征询采购人代表的倾向性意见，不得记录、复制或带走任何评审资料。成交候选人确定后，磋商小组不得修改评审结果或者要求重新评审，但因资格性审查认定错误或价格计算错误需依法重新评审的除外。应在评审报告中明确记载。</w:t>
      </w:r>
      <w:bookmarkStart w:id="55" w:name="_Toc27315"/>
      <w:bookmarkEnd w:id="55"/>
      <w:bookmarkStart w:id="56" w:name="_Toc31029"/>
      <w:bookmarkEnd w:id="56"/>
    </w:p>
    <w:p w14:paraId="3B6DD73F">
      <w:pPr>
        <w:spacing w:line="360" w:lineRule="auto"/>
        <w:outlineLvl w:val="9"/>
        <w:rPr>
          <w:rFonts w:ascii="宋体" w:hAnsi="宋体" w:eastAsia="宋体" w:cs="宋体"/>
          <w:b/>
          <w:bCs/>
          <w:color w:val="auto"/>
          <w:sz w:val="24"/>
          <w:szCs w:val="24"/>
        </w:rPr>
      </w:pPr>
      <w:r>
        <w:rPr>
          <w:rFonts w:hint="eastAsia" w:ascii="宋体" w:hAnsi="宋体" w:eastAsia="宋体" w:cs="宋体"/>
          <w:b/>
          <w:bCs/>
          <w:color w:val="auto"/>
          <w:szCs w:val="21"/>
        </w:rPr>
        <w:t>4、响应文件的澄清</w:t>
      </w:r>
    </w:p>
    <w:p w14:paraId="6B628C5B">
      <w:pPr>
        <w:spacing w:line="360" w:lineRule="auto"/>
        <w:ind w:firstLine="420" w:firstLineChars="200"/>
        <w:outlineLvl w:val="9"/>
        <w:rPr>
          <w:rFonts w:ascii="宋体" w:hAnsi="宋体" w:eastAsia="宋体" w:cs="宋体"/>
          <w:color w:val="auto"/>
          <w:szCs w:val="21"/>
        </w:rPr>
      </w:pPr>
      <w:r>
        <w:rPr>
          <w:rFonts w:hint="eastAsia" w:ascii="宋体" w:hAnsi="宋体" w:eastAsia="宋体" w:cs="宋体"/>
          <w:color w:val="auto"/>
          <w:szCs w:val="21"/>
        </w:rPr>
        <w:t>磋商小组在对响应文件的有效性、完整性和响应程度进行审查时，可以要求供应商对响应文件中含义不明确、同类问题表述不一致或者有明显文字和计算错误的内容等作出必要的澄清、说明或更正。供应商的澄清、说明或者更正不得超出响应文件的范围或者改变响应文件的实质性内容。磋商供应商应派授权委托人按磋商小组通知的时间和地点接受质询。</w:t>
      </w:r>
    </w:p>
    <w:p w14:paraId="6375BB35">
      <w:pPr>
        <w:spacing w:line="360" w:lineRule="auto"/>
        <w:ind w:firstLine="420" w:firstLineChars="200"/>
        <w:outlineLvl w:val="9"/>
        <w:rPr>
          <w:rFonts w:ascii="宋体" w:hAnsi="宋体" w:eastAsia="宋体" w:cs="宋体"/>
          <w:color w:val="auto"/>
          <w:szCs w:val="21"/>
        </w:rPr>
      </w:pPr>
      <w:r>
        <w:rPr>
          <w:rFonts w:hint="eastAsia" w:ascii="宋体" w:hAnsi="宋体" w:eastAsia="宋体" w:cs="宋体"/>
          <w:color w:val="auto"/>
          <w:szCs w:val="21"/>
        </w:rPr>
        <w:t>磋商小组认为有必要，以书面形式要求磋商供应商对某些问题作出必要的澄清、说明和纠正。磋商供应商的澄清、说明或者补正应当采用书面形式，由其授权代表人签字。磋商供应商的书面澄清材料作为响应文件的补充。磋商供应商不按磋商小组规定的时间和地点作出书面澄清，将视为放弃该权利。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在规定的时间内重新提交响应文件，并由其法定代表人或授权代表人签字或者加盖公章。由授权代表人签字的，应当附法定代表人授权书。</w:t>
      </w:r>
    </w:p>
    <w:p w14:paraId="43067371">
      <w:pPr>
        <w:spacing w:line="360" w:lineRule="auto"/>
        <w:outlineLvl w:val="9"/>
        <w:rPr>
          <w:rFonts w:ascii="宋体" w:hAnsi="宋体" w:eastAsia="宋体" w:cs="宋体"/>
          <w:b/>
          <w:bCs/>
          <w:color w:val="auto"/>
          <w:szCs w:val="21"/>
        </w:rPr>
      </w:pPr>
      <w:bookmarkStart w:id="57" w:name="_Toc5532"/>
      <w:bookmarkEnd w:id="57"/>
      <w:bookmarkStart w:id="58" w:name="_Toc8171"/>
      <w:r>
        <w:rPr>
          <w:rFonts w:hint="eastAsia" w:ascii="宋体" w:hAnsi="宋体" w:eastAsia="宋体" w:cs="宋体"/>
          <w:b/>
          <w:bCs/>
          <w:color w:val="auto"/>
          <w:szCs w:val="21"/>
        </w:rPr>
        <w:t>5、确定成交候选人</w:t>
      </w:r>
      <w:bookmarkEnd w:id="58"/>
    </w:p>
    <w:p w14:paraId="5AD8B941">
      <w:pPr>
        <w:spacing w:line="360" w:lineRule="auto"/>
        <w:ind w:firstLine="420" w:firstLineChars="200"/>
        <w:outlineLvl w:val="9"/>
        <w:rPr>
          <w:rFonts w:ascii="宋体" w:hAnsi="宋体" w:eastAsia="宋体" w:cs="宋体"/>
          <w:color w:val="auto"/>
          <w:szCs w:val="21"/>
        </w:rPr>
      </w:pPr>
      <w:r>
        <w:rPr>
          <w:rFonts w:hint="eastAsia" w:ascii="宋体" w:hAnsi="宋体" w:eastAsia="宋体" w:cs="宋体"/>
          <w:color w:val="auto"/>
          <w:szCs w:val="21"/>
        </w:rPr>
        <w:t>磋商小组按照磋商文件确定的磋商程序、评标办法及标准对供应商进行磋商，推选确定成交候选人3名。详细评审办法见本磋商文件。</w:t>
      </w:r>
    </w:p>
    <w:p w14:paraId="65E5BE6D">
      <w:pPr>
        <w:spacing w:line="360" w:lineRule="auto"/>
        <w:outlineLvl w:val="9"/>
        <w:rPr>
          <w:rFonts w:ascii="宋体" w:hAnsi="宋体" w:eastAsia="宋体" w:cs="宋体"/>
          <w:b/>
          <w:bCs/>
          <w:color w:val="auto"/>
          <w:szCs w:val="21"/>
        </w:rPr>
      </w:pPr>
      <w:bookmarkStart w:id="59" w:name="_Toc5964"/>
      <w:bookmarkEnd w:id="59"/>
      <w:bookmarkStart w:id="60" w:name="_Toc20291"/>
      <w:r>
        <w:rPr>
          <w:rFonts w:hint="eastAsia" w:ascii="宋体" w:hAnsi="宋体" w:eastAsia="宋体" w:cs="宋体"/>
          <w:b/>
          <w:bCs/>
          <w:color w:val="auto"/>
          <w:szCs w:val="21"/>
        </w:rPr>
        <w:t>6、磋商过程保密</w:t>
      </w:r>
      <w:bookmarkEnd w:id="60"/>
    </w:p>
    <w:p w14:paraId="0290923A">
      <w:pPr>
        <w:spacing w:line="360" w:lineRule="auto"/>
        <w:ind w:firstLine="420" w:firstLineChars="200"/>
        <w:outlineLvl w:val="9"/>
        <w:rPr>
          <w:rFonts w:ascii="宋体" w:hAnsi="宋体" w:eastAsia="宋体" w:cs="宋体"/>
          <w:color w:val="auto"/>
          <w:szCs w:val="21"/>
        </w:rPr>
      </w:pPr>
      <w:r>
        <w:rPr>
          <w:rFonts w:hint="eastAsia" w:ascii="宋体" w:hAnsi="宋体" w:eastAsia="宋体" w:cs="宋体"/>
          <w:color w:val="auto"/>
          <w:szCs w:val="21"/>
        </w:rPr>
        <w:t>（1）磋商是竞争性磋商的重要环节，磋商工作在磋商小组内独立进行。磋商小组将遵照评标原则，公正、平等地对待所有供应商。在确定成交人之前，凡属于审查、澄清、评价、比较响应文件等有关信息，相关当事人均不得泄露给任何磋商供应商或与磋商工作无关的人员。</w:t>
      </w:r>
    </w:p>
    <w:p w14:paraId="6A3967CE">
      <w:pPr>
        <w:spacing w:line="360" w:lineRule="auto"/>
        <w:ind w:firstLine="420" w:firstLineChars="200"/>
        <w:outlineLvl w:val="9"/>
        <w:rPr>
          <w:rFonts w:ascii="宋体" w:hAnsi="宋体" w:eastAsia="宋体" w:cs="宋体"/>
          <w:color w:val="auto"/>
          <w:szCs w:val="21"/>
        </w:rPr>
      </w:pPr>
      <w:r>
        <w:rPr>
          <w:rFonts w:hint="eastAsia" w:ascii="宋体" w:hAnsi="宋体" w:eastAsia="宋体" w:cs="宋体"/>
          <w:color w:val="auto"/>
          <w:szCs w:val="21"/>
        </w:rPr>
        <w:t>（2） 磋商供应商不得向磋商小组成员询问磋商情况，不得以任何行为影响磋商过程，否则其响应文件将被作为无效响应文件。</w:t>
      </w:r>
    </w:p>
    <w:p w14:paraId="2F3FEE2E">
      <w:pPr>
        <w:spacing w:line="360" w:lineRule="auto"/>
        <w:outlineLvl w:val="9"/>
        <w:rPr>
          <w:rFonts w:ascii="宋体" w:hAnsi="宋体" w:eastAsia="宋体" w:cs="宋体"/>
          <w:b/>
          <w:bCs/>
          <w:color w:val="auto"/>
          <w:szCs w:val="21"/>
        </w:rPr>
      </w:pPr>
      <w:r>
        <w:rPr>
          <w:rFonts w:hint="eastAsia" w:ascii="宋体" w:hAnsi="宋体" w:eastAsia="宋体" w:cs="宋体"/>
          <w:b/>
          <w:bCs/>
          <w:color w:val="auto"/>
          <w:szCs w:val="21"/>
        </w:rPr>
        <w:t>7、评标因素</w:t>
      </w:r>
    </w:p>
    <w:p w14:paraId="1006B7B5">
      <w:pPr>
        <w:spacing w:line="360" w:lineRule="auto"/>
        <w:ind w:firstLine="420" w:firstLineChars="200"/>
        <w:outlineLvl w:val="9"/>
        <w:rPr>
          <w:rFonts w:ascii="宋体" w:hAnsi="宋体" w:eastAsia="宋体" w:cs="宋体"/>
          <w:color w:val="auto"/>
          <w:szCs w:val="21"/>
        </w:rPr>
      </w:pPr>
      <w:r>
        <w:rPr>
          <w:rFonts w:hint="eastAsia" w:ascii="宋体" w:hAnsi="宋体" w:eastAsia="宋体" w:cs="宋体"/>
          <w:color w:val="auto"/>
          <w:szCs w:val="21"/>
        </w:rPr>
        <w:t>（1）供应商所提交的响应文件应包含磋商文件中要求必须提交的材料，并按照磋商文件中提供的格式完整地填写资格证明文件及各项表格内容。</w:t>
      </w:r>
    </w:p>
    <w:p w14:paraId="5A61B4D9">
      <w:pPr>
        <w:spacing w:line="360" w:lineRule="auto"/>
        <w:ind w:firstLine="420" w:firstLineChars="200"/>
        <w:outlineLvl w:val="9"/>
        <w:rPr>
          <w:rFonts w:ascii="宋体" w:hAnsi="宋体" w:eastAsia="宋体" w:cs="宋体"/>
          <w:color w:val="auto"/>
          <w:szCs w:val="21"/>
        </w:rPr>
      </w:pPr>
      <w:r>
        <w:rPr>
          <w:rFonts w:hint="eastAsia" w:ascii="宋体" w:hAnsi="宋体" w:eastAsia="宋体" w:cs="宋体"/>
          <w:color w:val="auto"/>
          <w:szCs w:val="21"/>
        </w:rPr>
        <w:t>（2）出现下列情况将会导致响应文件无效</w:t>
      </w:r>
      <w:r>
        <w:rPr>
          <w:rFonts w:hint="eastAsia" w:ascii="宋体" w:hAnsi="宋体" w:cs="宋体"/>
          <w:color w:val="auto"/>
          <w:szCs w:val="21"/>
          <w:lang w:eastAsia="zh-CN"/>
        </w:rPr>
        <w:t>（</w:t>
      </w:r>
      <w:r>
        <w:rPr>
          <w:rFonts w:hint="eastAsia" w:ascii="宋体" w:hAnsi="宋体" w:cs="宋体"/>
          <w:color w:val="auto"/>
          <w:szCs w:val="21"/>
          <w:lang w:val="en-US" w:eastAsia="zh-CN"/>
        </w:rPr>
        <w:t>响应性评审</w:t>
      </w:r>
      <w:r>
        <w:rPr>
          <w:rFonts w:hint="eastAsia" w:ascii="宋体" w:hAnsi="宋体" w:cs="宋体"/>
          <w:color w:val="auto"/>
          <w:szCs w:val="21"/>
          <w:lang w:eastAsia="zh-CN"/>
        </w:rPr>
        <w:t>）</w:t>
      </w:r>
      <w:r>
        <w:rPr>
          <w:rFonts w:hint="eastAsia" w:ascii="宋体" w:hAnsi="宋体" w:eastAsia="宋体" w:cs="宋体"/>
          <w:color w:val="auto"/>
          <w:szCs w:val="21"/>
        </w:rPr>
        <w:t>：</w:t>
      </w:r>
    </w:p>
    <w:p w14:paraId="6C6FC67D">
      <w:pPr>
        <w:spacing w:line="360" w:lineRule="auto"/>
        <w:ind w:firstLine="420" w:firstLineChars="200"/>
        <w:outlineLvl w:val="9"/>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szCs w:val="21"/>
          <w:lang w:val="en-US" w:eastAsia="zh-CN"/>
        </w:rPr>
        <w:t>2.1</w:t>
      </w:r>
      <w:r>
        <w:rPr>
          <w:rFonts w:hint="eastAsia" w:ascii="宋体" w:hAnsi="宋体" w:eastAsia="宋体" w:cs="宋体"/>
          <w:color w:val="auto"/>
          <w:szCs w:val="21"/>
        </w:rPr>
        <w:t>）投标文件未按规定签字，或未加盖供应商电子签章的。</w:t>
      </w:r>
    </w:p>
    <w:p w14:paraId="471E1BD6">
      <w:pPr>
        <w:spacing w:line="360" w:lineRule="auto"/>
        <w:ind w:firstLine="420" w:firstLineChars="200"/>
        <w:outlineLvl w:val="9"/>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szCs w:val="21"/>
          <w:lang w:val="en-US" w:eastAsia="zh-CN"/>
        </w:rPr>
        <w:t>2.2</w:t>
      </w:r>
      <w:r>
        <w:rPr>
          <w:rFonts w:hint="eastAsia" w:ascii="宋体" w:hAnsi="宋体" w:eastAsia="宋体" w:cs="宋体"/>
          <w:color w:val="auto"/>
          <w:szCs w:val="21"/>
        </w:rPr>
        <w:t>）供应商代表未能出具有效身份证明，或与身份不符的</w:t>
      </w:r>
    </w:p>
    <w:p w14:paraId="43E993FA">
      <w:pPr>
        <w:spacing w:line="360" w:lineRule="auto"/>
        <w:ind w:firstLine="420" w:firstLineChars="200"/>
        <w:outlineLvl w:val="9"/>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szCs w:val="21"/>
          <w:lang w:val="en-US" w:eastAsia="zh-CN"/>
        </w:rPr>
        <w:t>2.3</w:t>
      </w:r>
      <w:r>
        <w:rPr>
          <w:rFonts w:hint="eastAsia" w:ascii="宋体" w:hAnsi="宋体" w:eastAsia="宋体" w:cs="宋体"/>
          <w:color w:val="auto"/>
          <w:szCs w:val="21"/>
        </w:rPr>
        <w:t xml:space="preserve">）在一份投标文件中报有两个（含两个）以上报价的。 </w:t>
      </w:r>
    </w:p>
    <w:p w14:paraId="279C5FC0">
      <w:pPr>
        <w:spacing w:line="360" w:lineRule="auto"/>
        <w:ind w:firstLine="420" w:firstLineChars="200"/>
        <w:outlineLvl w:val="9"/>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szCs w:val="21"/>
          <w:lang w:val="en-US" w:eastAsia="zh-CN"/>
        </w:rPr>
        <w:t>2.4</w:t>
      </w:r>
      <w:r>
        <w:rPr>
          <w:rFonts w:hint="eastAsia" w:ascii="宋体" w:hAnsi="宋体" w:eastAsia="宋体" w:cs="宋体"/>
          <w:color w:val="auto"/>
          <w:szCs w:val="21"/>
        </w:rPr>
        <w:t>）以他人名义投标、串通投标、弄虚作假的。</w:t>
      </w:r>
    </w:p>
    <w:p w14:paraId="2225FE00">
      <w:pPr>
        <w:spacing w:line="360" w:lineRule="auto"/>
        <w:ind w:firstLine="420" w:firstLineChars="200"/>
        <w:outlineLvl w:val="9"/>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szCs w:val="21"/>
          <w:lang w:val="en-US" w:eastAsia="zh-CN"/>
        </w:rPr>
        <w:t>2.5</w:t>
      </w:r>
      <w:r>
        <w:rPr>
          <w:rFonts w:hint="eastAsia" w:ascii="宋体" w:hAnsi="宋体" w:eastAsia="宋体" w:cs="宋体"/>
          <w:color w:val="auto"/>
          <w:szCs w:val="21"/>
        </w:rPr>
        <w:t>）投标报价高于最高投标限价。</w:t>
      </w:r>
    </w:p>
    <w:p w14:paraId="28ECB0DF">
      <w:pPr>
        <w:spacing w:line="360" w:lineRule="auto"/>
        <w:ind w:firstLine="420" w:firstLineChars="200"/>
        <w:outlineLvl w:val="9"/>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szCs w:val="21"/>
          <w:lang w:val="en-US" w:eastAsia="zh-CN"/>
        </w:rPr>
        <w:t>2.6</w:t>
      </w:r>
      <w:r>
        <w:rPr>
          <w:rFonts w:hint="eastAsia" w:ascii="宋体" w:hAnsi="宋体" w:eastAsia="宋体" w:cs="宋体"/>
          <w:color w:val="auto"/>
          <w:szCs w:val="21"/>
        </w:rPr>
        <w:t>）服务地点、服务时间、</w:t>
      </w:r>
      <w:r>
        <w:rPr>
          <w:rFonts w:hint="eastAsia" w:ascii="宋体" w:hAnsi="宋体" w:cs="宋体"/>
          <w:color w:val="auto"/>
          <w:szCs w:val="21"/>
          <w:lang w:val="en-US" w:eastAsia="zh-CN"/>
        </w:rPr>
        <w:t>服务要求、</w:t>
      </w:r>
      <w:r>
        <w:rPr>
          <w:rFonts w:hint="eastAsia" w:ascii="宋体" w:hAnsi="宋体" w:eastAsia="宋体" w:cs="宋体"/>
          <w:color w:val="auto"/>
          <w:szCs w:val="21"/>
        </w:rPr>
        <w:t>服务要求、投标有效期不满足</w:t>
      </w:r>
      <w:r>
        <w:rPr>
          <w:rFonts w:hint="eastAsia" w:ascii="宋体" w:hAnsi="宋体" w:eastAsia="宋体" w:cs="宋体"/>
          <w:color w:val="auto"/>
          <w:szCs w:val="21"/>
          <w:lang w:val="en-US" w:eastAsia="zh-CN"/>
        </w:rPr>
        <w:t>磋商</w:t>
      </w:r>
      <w:r>
        <w:rPr>
          <w:rFonts w:hint="eastAsia" w:ascii="宋体" w:hAnsi="宋体" w:eastAsia="宋体" w:cs="宋体"/>
          <w:color w:val="auto"/>
          <w:szCs w:val="21"/>
        </w:rPr>
        <w:t>文件要求。</w:t>
      </w:r>
    </w:p>
    <w:p w14:paraId="44E7EB63">
      <w:pPr>
        <w:spacing w:line="360" w:lineRule="auto"/>
        <w:ind w:firstLine="420" w:firstLineChars="200"/>
        <w:outlineLvl w:val="9"/>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szCs w:val="21"/>
          <w:lang w:val="en-US" w:eastAsia="zh-CN"/>
        </w:rPr>
        <w:t>2.</w:t>
      </w:r>
      <w:r>
        <w:rPr>
          <w:rFonts w:hint="eastAsia" w:ascii="宋体" w:hAnsi="宋体" w:eastAsia="宋体" w:cs="宋体"/>
          <w:color w:val="auto"/>
          <w:szCs w:val="21"/>
        </w:rPr>
        <w:t>7）其它实质性偏离或不响应</w:t>
      </w:r>
      <w:r>
        <w:rPr>
          <w:rFonts w:hint="eastAsia" w:ascii="宋体" w:hAnsi="宋体" w:eastAsia="宋体" w:cs="宋体"/>
          <w:color w:val="auto"/>
          <w:szCs w:val="21"/>
          <w:lang w:val="en-US" w:eastAsia="zh-CN"/>
        </w:rPr>
        <w:t>磋商</w:t>
      </w:r>
      <w:r>
        <w:rPr>
          <w:rFonts w:hint="eastAsia" w:ascii="宋体" w:hAnsi="宋体" w:eastAsia="宋体" w:cs="宋体"/>
          <w:color w:val="auto"/>
          <w:szCs w:val="21"/>
        </w:rPr>
        <w:t>文件、不符合法律法规的情况</w:t>
      </w:r>
      <w:r>
        <w:rPr>
          <w:rFonts w:hint="eastAsia" w:ascii="宋体" w:hAnsi="宋体"/>
          <w:color w:val="auto"/>
          <w:kern w:val="24"/>
          <w:sz w:val="24"/>
          <w:szCs w:val="24"/>
        </w:rPr>
        <w:t>。</w:t>
      </w:r>
    </w:p>
    <w:p w14:paraId="7812434D">
      <w:pPr>
        <w:spacing w:line="360" w:lineRule="auto"/>
        <w:ind w:firstLine="707" w:firstLineChars="337"/>
        <w:outlineLvl w:val="9"/>
        <w:rPr>
          <w:rFonts w:hint="eastAsia" w:ascii="宋体" w:hAnsi="宋体" w:eastAsia="宋体" w:cs="宋体"/>
          <w:color w:val="auto"/>
          <w:szCs w:val="21"/>
        </w:rPr>
      </w:pPr>
      <w:r>
        <w:rPr>
          <w:rFonts w:hint="eastAsia" w:ascii="宋体" w:hAnsi="宋体" w:cs="宋体"/>
          <w:color w:val="auto"/>
          <w:szCs w:val="21"/>
          <w:lang w:val="en-US" w:eastAsia="zh-CN"/>
        </w:rPr>
        <w:t>注：</w:t>
      </w:r>
      <w:r>
        <w:rPr>
          <w:rFonts w:hint="eastAsia" w:ascii="宋体" w:hAnsi="宋体" w:eastAsia="宋体" w:cs="宋体"/>
          <w:color w:val="auto"/>
          <w:szCs w:val="21"/>
        </w:rPr>
        <w:t>实质性偏离是指：（1）实质性影响合同的范围、质量和履行。（2）实质性违背招标文件，限制了采购人的权利。（3）不公正地影响了其它作出实质性响应的供应商的竞争地位。对没有实质性响应的投标文件将不进行评估，其投标被作为无效投标。</w:t>
      </w:r>
    </w:p>
    <w:p w14:paraId="30EF568B">
      <w:pPr>
        <w:kinsoku w:val="0"/>
        <w:overflowPunct w:val="0"/>
        <w:autoSpaceDE w:val="0"/>
        <w:autoSpaceDN w:val="0"/>
        <w:adjustRightInd w:val="0"/>
        <w:snapToGrid w:val="0"/>
        <w:spacing w:line="360" w:lineRule="auto"/>
        <w:ind w:firstLine="422" w:firstLineChars="200"/>
        <w:outlineLvl w:val="9"/>
        <w:rPr>
          <w:rFonts w:ascii="宋体" w:hAnsi="宋体"/>
          <w:b/>
          <w:bCs/>
          <w:color w:val="auto"/>
          <w:kern w:val="24"/>
          <w:szCs w:val="21"/>
        </w:rPr>
      </w:pPr>
      <w:r>
        <w:rPr>
          <w:rFonts w:hint="eastAsia" w:ascii="宋体" w:hAnsi="宋体"/>
          <w:b/>
          <w:bCs/>
          <w:color w:val="auto"/>
          <w:kern w:val="24"/>
          <w:szCs w:val="21"/>
        </w:rPr>
        <w:t>（3）有下列情形之一的，视为供应商相互串通投标：</w:t>
      </w:r>
    </w:p>
    <w:p w14:paraId="16AC62A6">
      <w:pPr>
        <w:kinsoku w:val="0"/>
        <w:overflowPunct w:val="0"/>
        <w:autoSpaceDE w:val="0"/>
        <w:autoSpaceDN w:val="0"/>
        <w:adjustRightInd w:val="0"/>
        <w:snapToGrid w:val="0"/>
        <w:spacing w:line="360" w:lineRule="auto"/>
        <w:ind w:left="283" w:leftChars="135" w:firstLine="315" w:firstLineChars="150"/>
        <w:outlineLvl w:val="9"/>
        <w:rPr>
          <w:rFonts w:hint="eastAsia" w:ascii="宋体" w:hAnsi="宋体"/>
          <w:color w:val="auto"/>
          <w:kern w:val="24"/>
          <w:szCs w:val="21"/>
        </w:rPr>
      </w:pPr>
      <w:r>
        <w:rPr>
          <w:rFonts w:hint="eastAsia" w:ascii="宋体" w:hAnsi="宋体"/>
          <w:color w:val="auto"/>
          <w:kern w:val="24"/>
          <w:szCs w:val="21"/>
        </w:rPr>
        <w:t>1）不同供应商的竞争性磋商响应文件上传计算机的网卡 MAC地址、CPU序列号和硬盘序列号等硬件信息相同的。</w:t>
      </w:r>
    </w:p>
    <w:p w14:paraId="47B63673">
      <w:pPr>
        <w:kinsoku w:val="0"/>
        <w:overflowPunct w:val="0"/>
        <w:autoSpaceDE w:val="0"/>
        <w:autoSpaceDN w:val="0"/>
        <w:adjustRightInd w:val="0"/>
        <w:snapToGrid w:val="0"/>
        <w:spacing w:line="360" w:lineRule="auto"/>
        <w:ind w:left="283" w:leftChars="135" w:firstLine="420" w:firstLineChars="200"/>
        <w:outlineLvl w:val="9"/>
        <w:rPr>
          <w:rFonts w:hint="eastAsia" w:ascii="宋体" w:hAnsi="宋体"/>
          <w:color w:val="auto"/>
          <w:kern w:val="24"/>
          <w:szCs w:val="21"/>
        </w:rPr>
      </w:pPr>
      <w:r>
        <w:rPr>
          <w:rFonts w:hint="eastAsia" w:ascii="宋体" w:hAnsi="宋体"/>
          <w:color w:val="auto"/>
          <w:kern w:val="24"/>
          <w:szCs w:val="21"/>
        </w:rPr>
        <w:t>2）不同供应商的投标（响应）文件由同一电子设备编制、打印加密或者上传。</w:t>
      </w:r>
    </w:p>
    <w:p w14:paraId="4E62BA0E">
      <w:pPr>
        <w:kinsoku w:val="0"/>
        <w:overflowPunct w:val="0"/>
        <w:autoSpaceDE w:val="0"/>
        <w:autoSpaceDN w:val="0"/>
        <w:adjustRightInd w:val="0"/>
        <w:snapToGrid w:val="0"/>
        <w:spacing w:line="360" w:lineRule="auto"/>
        <w:ind w:left="764"/>
        <w:outlineLvl w:val="9"/>
        <w:rPr>
          <w:rFonts w:hint="eastAsia" w:ascii="宋体" w:hAnsi="宋体"/>
          <w:color w:val="auto"/>
          <w:kern w:val="24"/>
          <w:szCs w:val="21"/>
        </w:rPr>
      </w:pPr>
      <w:r>
        <w:rPr>
          <w:rFonts w:hint="eastAsia" w:ascii="宋体" w:hAnsi="宋体"/>
          <w:color w:val="auto"/>
          <w:kern w:val="24"/>
          <w:szCs w:val="21"/>
        </w:rPr>
        <w:t>3）不同供应商的投标（响应）文件由同一电子设备打印、复印。</w:t>
      </w:r>
    </w:p>
    <w:p w14:paraId="3A18D022">
      <w:pPr>
        <w:kinsoku w:val="0"/>
        <w:overflowPunct w:val="0"/>
        <w:autoSpaceDE w:val="0"/>
        <w:autoSpaceDN w:val="0"/>
        <w:adjustRightInd w:val="0"/>
        <w:snapToGrid w:val="0"/>
        <w:spacing w:line="360" w:lineRule="auto"/>
        <w:ind w:left="283" w:leftChars="135" w:firstLine="420" w:firstLineChars="200"/>
        <w:outlineLvl w:val="9"/>
        <w:rPr>
          <w:rFonts w:hint="eastAsia" w:ascii="MS Mincho" w:hAnsi="MS Mincho" w:eastAsia="MS Mincho" w:cs="MS Mincho"/>
          <w:color w:val="auto"/>
          <w:kern w:val="24"/>
          <w:szCs w:val="21"/>
        </w:rPr>
      </w:pPr>
      <w:r>
        <w:rPr>
          <w:rFonts w:hint="eastAsia" w:ascii="宋体" w:hAnsi="宋体"/>
          <w:color w:val="auto"/>
          <w:kern w:val="24"/>
          <w:szCs w:val="21"/>
        </w:rPr>
        <w:t>4）不同供应商的投标（响应）文件由同一人送达或者分发，或者不同供应商联系人为同一人或不同联系人的联系电话一致的。</w:t>
      </w:r>
      <w:r>
        <w:rPr>
          <w:rFonts w:hint="eastAsia" w:ascii="MS Mincho" w:hAnsi="MS Mincho" w:eastAsia="MS Mincho" w:cs="MS Mincho"/>
          <w:color w:val="auto"/>
          <w:kern w:val="24"/>
          <w:szCs w:val="21"/>
        </w:rPr>
        <w:t> </w:t>
      </w:r>
    </w:p>
    <w:p w14:paraId="6626F80F">
      <w:pPr>
        <w:kinsoku w:val="0"/>
        <w:overflowPunct w:val="0"/>
        <w:autoSpaceDE w:val="0"/>
        <w:autoSpaceDN w:val="0"/>
        <w:adjustRightInd w:val="0"/>
        <w:snapToGrid w:val="0"/>
        <w:spacing w:line="360" w:lineRule="auto"/>
        <w:ind w:left="283" w:leftChars="135" w:firstLine="420" w:firstLineChars="200"/>
        <w:outlineLvl w:val="9"/>
        <w:rPr>
          <w:rFonts w:hint="eastAsia" w:ascii="宋体" w:hAnsi="宋体" w:eastAsia="宋体" w:cs="宋体"/>
          <w:color w:val="auto"/>
          <w:kern w:val="24"/>
          <w:szCs w:val="21"/>
        </w:rPr>
      </w:pPr>
      <w:r>
        <w:rPr>
          <w:rFonts w:hint="eastAsia" w:ascii="宋体" w:hAnsi="宋体"/>
          <w:color w:val="auto"/>
          <w:kern w:val="24"/>
          <w:szCs w:val="21"/>
        </w:rPr>
        <w:t>5）不同供应商的竞争性磋商响应文件的内容存在两处以上细节错误一致。</w:t>
      </w:r>
    </w:p>
    <w:p w14:paraId="3C1FD094">
      <w:pPr>
        <w:kinsoku w:val="0"/>
        <w:overflowPunct w:val="0"/>
        <w:autoSpaceDE w:val="0"/>
        <w:autoSpaceDN w:val="0"/>
        <w:adjustRightInd w:val="0"/>
        <w:snapToGrid w:val="0"/>
        <w:spacing w:line="360" w:lineRule="auto"/>
        <w:ind w:left="143" w:leftChars="68" w:firstLine="598" w:firstLineChars="285"/>
        <w:outlineLvl w:val="9"/>
        <w:rPr>
          <w:rFonts w:hint="eastAsia" w:ascii="宋体" w:hAnsi="宋体"/>
          <w:color w:val="auto"/>
          <w:kern w:val="24"/>
          <w:szCs w:val="21"/>
        </w:rPr>
      </w:pPr>
      <w:r>
        <w:rPr>
          <w:rFonts w:hint="eastAsia" w:ascii="宋体" w:hAnsi="宋体"/>
          <w:color w:val="auto"/>
          <w:kern w:val="24"/>
          <w:szCs w:val="21"/>
        </w:rPr>
        <w:t>6）不同供应商的法定代表人、委托代理人、项目经理、项目负责人等由同一个单位缴纳社会保险或者领取报酬的。</w:t>
      </w:r>
    </w:p>
    <w:p w14:paraId="50ED8EE9">
      <w:pPr>
        <w:kinsoku w:val="0"/>
        <w:overflowPunct w:val="0"/>
        <w:autoSpaceDE w:val="0"/>
        <w:autoSpaceDN w:val="0"/>
        <w:adjustRightInd w:val="0"/>
        <w:snapToGrid w:val="0"/>
        <w:spacing w:line="360" w:lineRule="auto"/>
        <w:ind w:left="764"/>
        <w:outlineLvl w:val="9"/>
        <w:rPr>
          <w:rFonts w:hint="eastAsia" w:ascii="宋体" w:hAnsi="宋体"/>
          <w:color w:val="auto"/>
          <w:kern w:val="24"/>
          <w:szCs w:val="21"/>
        </w:rPr>
      </w:pPr>
      <w:r>
        <w:rPr>
          <w:rFonts w:hint="eastAsia" w:ascii="宋体" w:hAnsi="宋体"/>
          <w:color w:val="auto"/>
          <w:kern w:val="24"/>
          <w:szCs w:val="21"/>
        </w:rPr>
        <w:t>7)不同供应商投标（响应）文件中法定代表人或者负责人签字出自同一人之手。</w:t>
      </w:r>
    </w:p>
    <w:p w14:paraId="09DA31AB">
      <w:pPr>
        <w:kinsoku w:val="0"/>
        <w:overflowPunct w:val="0"/>
        <w:autoSpaceDE w:val="0"/>
        <w:autoSpaceDN w:val="0"/>
        <w:adjustRightInd w:val="0"/>
        <w:snapToGrid w:val="0"/>
        <w:spacing w:line="360" w:lineRule="auto"/>
        <w:ind w:left="420" w:leftChars="200" w:firstLine="210" w:firstLineChars="100"/>
        <w:outlineLvl w:val="9"/>
        <w:rPr>
          <w:rFonts w:hint="eastAsia" w:ascii="宋体" w:hAnsi="宋体"/>
          <w:color w:val="auto"/>
          <w:kern w:val="24"/>
          <w:szCs w:val="21"/>
        </w:rPr>
      </w:pPr>
      <w:r>
        <w:rPr>
          <w:rFonts w:hint="eastAsia" w:ascii="MS Mincho" w:hAnsi="MS Mincho" w:eastAsia="MS Mincho" w:cs="MS Mincho"/>
          <w:color w:val="auto"/>
          <w:kern w:val="24"/>
          <w:szCs w:val="21"/>
        </w:rPr>
        <w:t> </w:t>
      </w:r>
      <w:r>
        <w:rPr>
          <w:rFonts w:hint="eastAsia" w:ascii="宋体" w:hAnsi="宋体"/>
          <w:color w:val="auto"/>
          <w:kern w:val="24"/>
          <w:szCs w:val="21"/>
        </w:rPr>
        <w:t>8)其它涉嫌串通的情形。</w:t>
      </w:r>
    </w:p>
    <w:p w14:paraId="70B04FB2">
      <w:pPr>
        <w:spacing w:line="360" w:lineRule="auto"/>
        <w:outlineLvl w:val="9"/>
        <w:rPr>
          <w:rFonts w:ascii="宋体" w:hAnsi="宋体" w:eastAsia="宋体" w:cs="宋体"/>
          <w:b/>
          <w:bCs/>
          <w:color w:val="auto"/>
          <w:szCs w:val="21"/>
        </w:rPr>
      </w:pPr>
      <w:r>
        <w:rPr>
          <w:rFonts w:hint="eastAsia" w:ascii="宋体" w:hAnsi="宋体" w:eastAsia="宋体" w:cs="宋体"/>
          <w:b/>
          <w:bCs/>
          <w:color w:val="auto"/>
          <w:szCs w:val="21"/>
        </w:rPr>
        <w:t>8、磋商程序</w:t>
      </w:r>
    </w:p>
    <w:p w14:paraId="66A46455">
      <w:pPr>
        <w:spacing w:line="360" w:lineRule="auto"/>
        <w:ind w:firstLine="420" w:firstLineChars="200"/>
        <w:outlineLvl w:val="9"/>
        <w:rPr>
          <w:rFonts w:ascii="宋体" w:hAnsi="宋体" w:eastAsia="宋体" w:cs="宋体"/>
          <w:color w:val="auto"/>
          <w:szCs w:val="21"/>
        </w:rPr>
      </w:pPr>
      <w:r>
        <w:rPr>
          <w:rFonts w:hint="eastAsia" w:ascii="宋体" w:hAnsi="宋体" w:eastAsia="宋体" w:cs="宋体"/>
          <w:color w:val="auto"/>
          <w:szCs w:val="21"/>
        </w:rPr>
        <w:t>（1）磋商小组依据法律法规和磋商文件规定，按照磋商文件供应商须知前附表供应商资格条件要求进行审查，以确定供应商是否具备投标资格。</w:t>
      </w:r>
    </w:p>
    <w:p w14:paraId="7F1B1602">
      <w:pPr>
        <w:spacing w:line="360" w:lineRule="auto"/>
        <w:ind w:firstLine="420" w:firstLineChars="200"/>
        <w:outlineLvl w:val="9"/>
        <w:rPr>
          <w:rFonts w:ascii="宋体" w:hAnsi="宋体" w:eastAsia="宋体" w:cs="宋体"/>
          <w:color w:val="auto"/>
          <w:szCs w:val="21"/>
        </w:rPr>
      </w:pPr>
      <w:r>
        <w:rPr>
          <w:rFonts w:hint="eastAsia" w:ascii="宋体" w:hAnsi="宋体" w:eastAsia="宋体" w:cs="宋体"/>
          <w:color w:val="auto"/>
          <w:szCs w:val="21"/>
        </w:rPr>
        <w:t>（2）磋商小组依据磋商文件的规定，从响应文件的有效性、完整性和对磋商文件的响应程度进行符合性审查，以确定是否对磋商文件的实质性要求作出响应。</w:t>
      </w:r>
    </w:p>
    <w:p w14:paraId="48B11039">
      <w:pPr>
        <w:spacing w:line="360" w:lineRule="auto"/>
        <w:ind w:firstLine="420" w:firstLineChars="200"/>
        <w:outlineLvl w:val="9"/>
        <w:rPr>
          <w:rFonts w:ascii="宋体" w:hAnsi="宋体" w:eastAsia="宋体" w:cs="宋体"/>
          <w:color w:val="auto"/>
          <w:szCs w:val="21"/>
        </w:rPr>
      </w:pPr>
      <w:r>
        <w:rPr>
          <w:rFonts w:hint="eastAsia" w:ascii="宋体" w:hAnsi="宋体" w:eastAsia="宋体" w:cs="宋体"/>
          <w:color w:val="auto"/>
          <w:szCs w:val="21"/>
        </w:rPr>
        <w:t>（3）磋商小组通过对供应商资格审查和响应文件符合性审查合格的供应商进入磋商评审。并确定与各供应商磋商的具体内容。</w:t>
      </w:r>
    </w:p>
    <w:p w14:paraId="46E5432A">
      <w:pPr>
        <w:spacing w:line="360" w:lineRule="auto"/>
        <w:ind w:firstLine="420" w:firstLineChars="200"/>
        <w:outlineLvl w:val="9"/>
        <w:rPr>
          <w:rFonts w:ascii="宋体" w:hAnsi="宋体" w:eastAsia="宋体" w:cs="宋体"/>
          <w:color w:val="auto"/>
          <w:szCs w:val="21"/>
        </w:rPr>
      </w:pPr>
      <w:r>
        <w:rPr>
          <w:rFonts w:hint="eastAsia" w:ascii="宋体" w:hAnsi="宋体" w:eastAsia="宋体" w:cs="宋体"/>
          <w:color w:val="auto"/>
          <w:szCs w:val="21"/>
        </w:rPr>
        <w:t>（4）磋商小组围绕对各供应商确定的磋商内容要点集中与单一供应商分别进行磋商。磋商报价分为二轮报价，初次报价（文件中报价即为初次报价）、最终报价。</w:t>
      </w:r>
    </w:p>
    <w:p w14:paraId="6A85E406">
      <w:pPr>
        <w:spacing w:line="360" w:lineRule="auto"/>
        <w:ind w:firstLine="420" w:firstLineChars="200"/>
        <w:outlineLvl w:val="9"/>
        <w:rPr>
          <w:rFonts w:ascii="宋体" w:hAnsi="宋体" w:eastAsia="宋体" w:cs="宋体"/>
          <w:color w:val="auto"/>
          <w:szCs w:val="21"/>
        </w:rPr>
      </w:pPr>
      <w:r>
        <w:rPr>
          <w:rFonts w:hint="eastAsia" w:ascii="宋体" w:hAnsi="宋体" w:eastAsia="宋体" w:cs="宋体"/>
          <w:color w:val="auto"/>
          <w:szCs w:val="21"/>
        </w:rPr>
        <w:t>（5）磋</w:t>
      </w:r>
      <w:r>
        <w:rPr>
          <w:rFonts w:hint="eastAsia" w:ascii="宋体" w:hAnsi="宋体" w:eastAsia="宋体" w:cs="宋体"/>
          <w:color w:val="auto"/>
          <w:kern w:val="0"/>
          <w:szCs w:val="21"/>
        </w:rPr>
        <w:t>商结束后，磋商小组将要求实质性响应磋商文件的供应商在规定时间内提交最后报价，在规定</w:t>
      </w:r>
      <w:r>
        <w:rPr>
          <w:rFonts w:hint="eastAsia" w:ascii="宋体" w:hAnsi="宋体" w:eastAsia="宋体" w:cs="宋体"/>
          <w:color w:val="auto"/>
          <w:szCs w:val="21"/>
        </w:rPr>
        <w:t>时间内没有提交最后报价的磋商供应商，视同退出磋商。未通过实质性响应的供应商将不再进行最后报价。经磋商确定最终采购需求和提交最后报价的供应商后，由磋商小组采用综合评分法对提交最后报价的供应商的响应文件和最后报价进行综合评分。</w:t>
      </w:r>
    </w:p>
    <w:p w14:paraId="410FE711">
      <w:pPr>
        <w:spacing w:line="360" w:lineRule="auto"/>
        <w:ind w:firstLine="420" w:firstLineChars="200"/>
        <w:outlineLvl w:val="9"/>
        <w:rPr>
          <w:rFonts w:ascii="宋体" w:hAnsi="宋体" w:eastAsia="宋体" w:cs="宋体"/>
          <w:color w:val="auto"/>
          <w:szCs w:val="21"/>
        </w:rPr>
      </w:pPr>
      <w:r>
        <w:rPr>
          <w:rFonts w:hint="eastAsia" w:ascii="宋体" w:hAnsi="宋体" w:eastAsia="宋体" w:cs="宋体"/>
          <w:color w:val="auto"/>
          <w:szCs w:val="21"/>
        </w:rPr>
        <w:t>（6）磋商小组按照“磋商办法”规定的方法、评审因素、标准和程序对响应文件进行评审，并计算出供应商的综合得分。“磋商办法”中没有规定的的方法、评审因素、标准，不作为评标磋商依据。</w:t>
      </w:r>
    </w:p>
    <w:p w14:paraId="3ED1E614">
      <w:pPr>
        <w:spacing w:line="360" w:lineRule="auto"/>
        <w:ind w:firstLine="420" w:firstLineChars="200"/>
        <w:outlineLvl w:val="9"/>
        <w:rPr>
          <w:rFonts w:ascii="宋体" w:hAnsi="宋体" w:eastAsia="宋体" w:cs="宋体"/>
          <w:color w:val="auto"/>
          <w:szCs w:val="21"/>
        </w:rPr>
      </w:pPr>
      <w:r>
        <w:rPr>
          <w:rFonts w:hint="eastAsia" w:ascii="宋体" w:hAnsi="宋体" w:eastAsia="宋体" w:cs="宋体"/>
          <w:color w:val="auto"/>
          <w:szCs w:val="21"/>
        </w:rPr>
        <w:t>（7）磋商小组将根据评标办法及标准对各供应商进行独立打分，并在“综合得分表”中填写各供应商具体得分，计分取至小数点后二位，计分过程中小数点后三位四舍五入。</w:t>
      </w:r>
    </w:p>
    <w:p w14:paraId="46AC27A9">
      <w:pPr>
        <w:spacing w:line="360" w:lineRule="auto"/>
        <w:ind w:firstLine="420" w:firstLineChars="200"/>
        <w:outlineLvl w:val="9"/>
        <w:rPr>
          <w:rFonts w:ascii="宋体" w:hAnsi="宋体" w:eastAsia="宋体" w:cs="宋体"/>
          <w:color w:val="auto"/>
          <w:szCs w:val="21"/>
        </w:rPr>
      </w:pPr>
      <w:r>
        <w:rPr>
          <w:rFonts w:hint="eastAsia" w:ascii="宋体" w:hAnsi="宋体" w:eastAsia="宋体" w:cs="宋体"/>
          <w:color w:val="auto"/>
          <w:szCs w:val="21"/>
        </w:rPr>
        <w:t>（8）磋商小组将各评委的打分进行汇总，按照得分由高到低进行排序，编写评标报告并签字。得分相同的，按投标报价由低到高顺序排列，得分且投标报价相同的，按技术指标优劣顺序排列，向采购人推荐排序前3名为成交候选人。</w:t>
      </w:r>
    </w:p>
    <w:p w14:paraId="1C4844BB">
      <w:pPr>
        <w:spacing w:line="360" w:lineRule="auto"/>
        <w:ind w:firstLine="420" w:firstLineChars="200"/>
        <w:outlineLvl w:val="9"/>
        <w:rPr>
          <w:rFonts w:ascii="宋体" w:hAnsi="宋体" w:eastAsia="宋体" w:cs="宋体"/>
          <w:color w:val="auto"/>
          <w:szCs w:val="21"/>
        </w:rPr>
      </w:pPr>
      <w:r>
        <w:rPr>
          <w:rFonts w:hint="eastAsia" w:ascii="宋体" w:hAnsi="宋体" w:eastAsia="宋体" w:cs="宋体"/>
          <w:color w:val="auto"/>
          <w:szCs w:val="21"/>
        </w:rPr>
        <w:t>（9）供应商得分以所有评委评出的供应商得分的算术平均值为供应商最终得分。</w:t>
      </w:r>
    </w:p>
    <w:p w14:paraId="0F617309">
      <w:pPr>
        <w:spacing w:line="360" w:lineRule="auto"/>
        <w:outlineLvl w:val="9"/>
        <w:rPr>
          <w:rFonts w:ascii="宋体" w:hAnsi="宋体" w:eastAsia="宋体" w:cs="宋体"/>
          <w:b/>
          <w:bCs/>
          <w:color w:val="auto"/>
          <w:sz w:val="28"/>
          <w:szCs w:val="28"/>
        </w:rPr>
      </w:pPr>
      <w:r>
        <w:rPr>
          <w:rFonts w:hint="eastAsia" w:ascii="宋体" w:hAnsi="宋体" w:eastAsia="宋体" w:cs="宋体"/>
          <w:b/>
          <w:bCs/>
          <w:color w:val="auto"/>
          <w:szCs w:val="21"/>
        </w:rPr>
        <w:t>9、合同授予</w:t>
      </w:r>
    </w:p>
    <w:p w14:paraId="2B1E4A46">
      <w:pPr>
        <w:spacing w:line="360" w:lineRule="auto"/>
        <w:ind w:firstLine="420" w:firstLineChars="200"/>
        <w:outlineLvl w:val="9"/>
        <w:rPr>
          <w:rFonts w:ascii="宋体" w:hAnsi="宋体" w:eastAsia="宋体" w:cs="宋体"/>
          <w:color w:val="auto"/>
          <w:szCs w:val="21"/>
        </w:rPr>
      </w:pPr>
      <w:r>
        <w:rPr>
          <w:rFonts w:hint="eastAsia" w:ascii="宋体" w:hAnsi="宋体" w:eastAsia="宋体" w:cs="宋体"/>
          <w:color w:val="auto"/>
          <w:szCs w:val="21"/>
        </w:rPr>
        <w:t>9.1定标方式</w:t>
      </w:r>
    </w:p>
    <w:p w14:paraId="236D8568">
      <w:pPr>
        <w:spacing w:line="360" w:lineRule="auto"/>
        <w:ind w:firstLine="420" w:firstLineChars="200"/>
        <w:outlineLvl w:val="9"/>
        <w:rPr>
          <w:rFonts w:ascii="宋体" w:hAnsi="宋体" w:eastAsia="宋体" w:cs="宋体"/>
          <w:color w:val="auto"/>
          <w:szCs w:val="21"/>
        </w:rPr>
      </w:pPr>
      <w:r>
        <w:rPr>
          <w:rFonts w:hint="eastAsia" w:ascii="宋体" w:hAnsi="宋体" w:eastAsia="宋体" w:cs="宋体"/>
          <w:color w:val="auto"/>
          <w:szCs w:val="21"/>
        </w:rPr>
        <w:t>除供应商须知前附表规定磋商小组直接确定成交人外，采购人依据磋商小组推荐的成交候选人确定成交人，磋商小组推荐成交候选人的人数见供应商须知前附表。</w:t>
      </w:r>
    </w:p>
    <w:p w14:paraId="0E6C644F">
      <w:pPr>
        <w:spacing w:line="360" w:lineRule="auto"/>
        <w:ind w:firstLine="420" w:firstLineChars="200"/>
        <w:outlineLvl w:val="9"/>
        <w:rPr>
          <w:rFonts w:ascii="宋体" w:hAnsi="宋体" w:eastAsia="宋体" w:cs="宋体"/>
          <w:color w:val="auto"/>
          <w:szCs w:val="21"/>
        </w:rPr>
      </w:pPr>
      <w:r>
        <w:rPr>
          <w:rFonts w:hint="eastAsia" w:ascii="宋体" w:hAnsi="宋体" w:eastAsia="宋体" w:cs="宋体"/>
          <w:color w:val="auto"/>
          <w:szCs w:val="21"/>
        </w:rPr>
        <w:t>9.2 成交通知</w:t>
      </w:r>
    </w:p>
    <w:p w14:paraId="5B662731">
      <w:pPr>
        <w:spacing w:line="360" w:lineRule="auto"/>
        <w:ind w:firstLine="420" w:firstLineChars="200"/>
        <w:outlineLvl w:val="9"/>
        <w:rPr>
          <w:rFonts w:ascii="宋体" w:hAnsi="宋体" w:eastAsia="宋体" w:cs="宋体"/>
          <w:color w:val="auto"/>
          <w:szCs w:val="21"/>
        </w:rPr>
      </w:pPr>
      <w:r>
        <w:rPr>
          <w:rFonts w:hint="eastAsia" w:ascii="宋体" w:hAnsi="宋体" w:eastAsia="宋体" w:cs="宋体"/>
          <w:color w:val="auto"/>
          <w:szCs w:val="21"/>
        </w:rPr>
        <w:t>在公告成交结果的同时，采购人或者代理机构以书面形式向成交人发出成交通知书，同时将成交结果通知未成交的供应商。</w:t>
      </w:r>
    </w:p>
    <w:p w14:paraId="35B21F09">
      <w:pPr>
        <w:spacing w:line="360" w:lineRule="auto"/>
        <w:ind w:firstLine="420" w:firstLineChars="200"/>
        <w:outlineLvl w:val="9"/>
        <w:rPr>
          <w:rFonts w:ascii="宋体" w:hAnsi="宋体" w:eastAsia="宋体" w:cs="宋体"/>
          <w:color w:val="auto"/>
          <w:szCs w:val="21"/>
        </w:rPr>
      </w:pPr>
      <w:r>
        <w:rPr>
          <w:rFonts w:hint="eastAsia" w:ascii="宋体" w:hAnsi="宋体" w:eastAsia="宋体" w:cs="宋体"/>
          <w:color w:val="auto"/>
          <w:szCs w:val="21"/>
        </w:rPr>
        <w:t>9.3签订合同</w:t>
      </w:r>
    </w:p>
    <w:p w14:paraId="5E6E86E0">
      <w:pPr>
        <w:spacing w:line="360" w:lineRule="auto"/>
        <w:ind w:firstLine="420" w:firstLineChars="200"/>
        <w:outlineLvl w:val="9"/>
        <w:rPr>
          <w:rFonts w:ascii="宋体" w:hAnsi="宋体" w:eastAsia="宋体" w:cs="宋体"/>
          <w:color w:val="auto"/>
          <w:szCs w:val="21"/>
        </w:rPr>
      </w:pPr>
      <w:r>
        <w:rPr>
          <w:rFonts w:hint="eastAsia" w:ascii="宋体" w:hAnsi="宋体" w:eastAsia="宋体" w:cs="宋体"/>
          <w:color w:val="auto"/>
          <w:szCs w:val="21"/>
        </w:rPr>
        <w:t>9.3.1采购人和成交人应当自成交通知书发出之日起</w:t>
      </w:r>
      <w:r>
        <w:rPr>
          <w:rFonts w:hint="eastAsia" w:ascii="宋体" w:hAnsi="宋体" w:cs="宋体"/>
          <w:color w:val="auto"/>
          <w:szCs w:val="21"/>
          <w:lang w:val="en-US" w:eastAsia="zh-CN"/>
        </w:rPr>
        <w:t>在规定的时间内</w:t>
      </w:r>
      <w:r>
        <w:rPr>
          <w:rFonts w:hint="eastAsia" w:ascii="宋体" w:hAnsi="宋体" w:eastAsia="宋体" w:cs="宋体"/>
          <w:color w:val="auto"/>
          <w:szCs w:val="21"/>
        </w:rPr>
        <w:t xml:space="preserve">，根据磋商文件和成交人的响应文件订立书面合同。成交人无正当理由拒签合同的，采购人取消其成交资格；给采购人造成的损失的，成交人还应当对予以赔偿。 </w:t>
      </w:r>
    </w:p>
    <w:p w14:paraId="59A68904">
      <w:pPr>
        <w:spacing w:line="360" w:lineRule="auto"/>
        <w:ind w:firstLine="420" w:firstLineChars="200"/>
        <w:outlineLvl w:val="9"/>
        <w:rPr>
          <w:rFonts w:ascii="宋体" w:hAnsi="宋体" w:eastAsia="宋体" w:cs="宋体"/>
          <w:color w:val="auto"/>
          <w:kern w:val="0"/>
          <w:szCs w:val="21"/>
        </w:rPr>
      </w:pPr>
      <w:r>
        <w:rPr>
          <w:rFonts w:hint="eastAsia" w:ascii="宋体" w:hAnsi="宋体" w:eastAsia="宋体" w:cs="宋体"/>
          <w:color w:val="auto"/>
          <w:szCs w:val="21"/>
        </w:rPr>
        <w:t>9.3.2 发出成交通知书后</w:t>
      </w:r>
      <w:r>
        <w:rPr>
          <w:rFonts w:hint="eastAsia" w:ascii="宋体" w:hAnsi="宋体" w:eastAsia="宋体" w:cs="宋体"/>
          <w:color w:val="auto"/>
          <w:kern w:val="0"/>
          <w:szCs w:val="21"/>
        </w:rPr>
        <w:t xml:space="preserve">，采购人无正当理由拒签合同的，给成交人造成损失的，应当赔偿损失。 </w:t>
      </w:r>
    </w:p>
    <w:p w14:paraId="2760FB49">
      <w:pPr>
        <w:spacing w:line="360" w:lineRule="auto"/>
        <w:outlineLvl w:val="9"/>
        <w:rPr>
          <w:rFonts w:ascii="宋体" w:hAnsi="宋体" w:eastAsia="宋体" w:cs="宋体"/>
          <w:b/>
          <w:bCs/>
          <w:color w:val="auto"/>
          <w:szCs w:val="21"/>
        </w:rPr>
      </w:pPr>
      <w:r>
        <w:rPr>
          <w:rFonts w:hint="eastAsia" w:ascii="宋体" w:hAnsi="宋体" w:eastAsia="宋体" w:cs="宋体"/>
          <w:b/>
          <w:bCs/>
          <w:color w:val="auto"/>
          <w:szCs w:val="21"/>
        </w:rPr>
        <w:t>10、重新招标和不再招标</w:t>
      </w:r>
    </w:p>
    <w:p w14:paraId="25A30203">
      <w:pPr>
        <w:spacing w:line="360" w:lineRule="auto"/>
        <w:ind w:firstLine="420" w:firstLineChars="200"/>
        <w:outlineLvl w:val="9"/>
        <w:rPr>
          <w:rFonts w:ascii="宋体" w:hAnsi="宋体" w:eastAsia="宋体" w:cs="宋体"/>
          <w:color w:val="auto"/>
          <w:sz w:val="24"/>
          <w:szCs w:val="24"/>
        </w:rPr>
      </w:pPr>
      <w:r>
        <w:rPr>
          <w:rFonts w:hint="eastAsia" w:ascii="宋体" w:hAnsi="宋体" w:eastAsia="宋体" w:cs="宋体"/>
          <w:color w:val="auto"/>
          <w:szCs w:val="21"/>
        </w:rPr>
        <w:t>10.1 重新招标</w:t>
      </w:r>
    </w:p>
    <w:p w14:paraId="7E9F16A4">
      <w:pPr>
        <w:spacing w:line="360" w:lineRule="auto"/>
        <w:ind w:firstLine="420" w:firstLineChars="200"/>
        <w:outlineLvl w:val="9"/>
        <w:rPr>
          <w:rFonts w:ascii="宋体" w:hAnsi="宋体" w:eastAsia="宋体" w:cs="宋体"/>
          <w:color w:val="auto"/>
          <w:szCs w:val="21"/>
        </w:rPr>
      </w:pPr>
      <w:r>
        <w:rPr>
          <w:rFonts w:hint="eastAsia" w:ascii="宋体" w:hAnsi="宋体" w:eastAsia="宋体" w:cs="宋体"/>
          <w:color w:val="auto"/>
          <w:szCs w:val="21"/>
        </w:rPr>
        <w:t>有下列情形之一的，招标人将重新招标：</w:t>
      </w:r>
    </w:p>
    <w:p w14:paraId="014F4314">
      <w:pPr>
        <w:spacing w:line="360" w:lineRule="auto"/>
        <w:ind w:firstLine="420" w:firstLineChars="200"/>
        <w:outlineLvl w:val="9"/>
        <w:rPr>
          <w:rFonts w:ascii="宋体" w:hAnsi="宋体" w:eastAsia="宋体" w:cs="宋体"/>
          <w:color w:val="auto"/>
          <w:szCs w:val="21"/>
        </w:rPr>
      </w:pPr>
      <w:r>
        <w:rPr>
          <w:rFonts w:hint="eastAsia" w:ascii="宋体" w:hAnsi="宋体" w:eastAsia="宋体" w:cs="宋体"/>
          <w:color w:val="auto"/>
          <w:szCs w:val="21"/>
        </w:rPr>
        <w:t>（1）投标截止时间止，供应商少于3家的；</w:t>
      </w:r>
    </w:p>
    <w:p w14:paraId="23DAADE1">
      <w:pPr>
        <w:spacing w:line="360" w:lineRule="auto"/>
        <w:ind w:firstLine="420" w:firstLineChars="200"/>
        <w:outlineLvl w:val="9"/>
        <w:rPr>
          <w:rFonts w:ascii="宋体" w:hAnsi="宋体" w:eastAsia="宋体" w:cs="宋体"/>
          <w:color w:val="auto"/>
          <w:szCs w:val="21"/>
        </w:rPr>
      </w:pPr>
      <w:r>
        <w:rPr>
          <w:rFonts w:hint="eastAsia" w:ascii="宋体" w:hAnsi="宋体" w:eastAsia="宋体" w:cs="宋体"/>
          <w:color w:val="auto"/>
          <w:szCs w:val="21"/>
        </w:rPr>
        <w:t>（2）经磋商小组评审后否决所有投标的。</w:t>
      </w:r>
    </w:p>
    <w:p w14:paraId="23EEE2F8">
      <w:pPr>
        <w:spacing w:line="360" w:lineRule="auto"/>
        <w:ind w:firstLine="420" w:firstLineChars="200"/>
        <w:outlineLvl w:val="9"/>
        <w:rPr>
          <w:rFonts w:ascii="宋体" w:hAnsi="宋体" w:eastAsia="宋体" w:cs="宋体"/>
          <w:color w:val="auto"/>
          <w:szCs w:val="21"/>
        </w:rPr>
      </w:pPr>
      <w:r>
        <w:rPr>
          <w:rFonts w:hint="eastAsia" w:ascii="宋体" w:hAnsi="宋体" w:eastAsia="宋体" w:cs="宋体"/>
          <w:color w:val="auto"/>
          <w:szCs w:val="21"/>
        </w:rPr>
        <w:t>10.2不再招标</w:t>
      </w:r>
    </w:p>
    <w:p w14:paraId="24172E0D">
      <w:pPr>
        <w:spacing w:line="360" w:lineRule="auto"/>
        <w:ind w:firstLine="420" w:firstLineChars="200"/>
        <w:outlineLvl w:val="9"/>
        <w:rPr>
          <w:rFonts w:ascii="宋体" w:hAnsi="宋体" w:eastAsia="宋体" w:cs="宋体"/>
          <w:color w:val="auto"/>
          <w:szCs w:val="21"/>
        </w:rPr>
      </w:pPr>
      <w:r>
        <w:rPr>
          <w:rFonts w:hint="eastAsia" w:ascii="宋体" w:hAnsi="宋体" w:eastAsia="宋体" w:cs="宋体"/>
          <w:color w:val="auto"/>
          <w:szCs w:val="21"/>
        </w:rPr>
        <w:t>重新招标后供应商仍少于3个或者所有投标被否决的，经原审批或核准部门批准后不再进行招标。</w:t>
      </w:r>
    </w:p>
    <w:p w14:paraId="3A42F869">
      <w:pPr>
        <w:spacing w:line="360" w:lineRule="auto"/>
        <w:ind w:firstLine="420" w:firstLineChars="200"/>
        <w:outlineLvl w:val="9"/>
        <w:rPr>
          <w:rFonts w:hint="eastAsia" w:ascii="宋体" w:hAnsi="宋体" w:eastAsia="宋体" w:cs="宋体"/>
          <w:color w:val="auto"/>
          <w:szCs w:val="21"/>
        </w:rPr>
      </w:pPr>
      <w:r>
        <w:rPr>
          <w:rFonts w:hint="eastAsia" w:ascii="宋体" w:hAnsi="宋体" w:eastAsia="宋体" w:cs="宋体"/>
          <w:color w:val="auto"/>
          <w:szCs w:val="21"/>
        </w:rPr>
        <w:t xml:space="preserve"> </w:t>
      </w:r>
    </w:p>
    <w:p w14:paraId="343E8DDA">
      <w:pPr>
        <w:pStyle w:val="18"/>
        <w:outlineLvl w:val="9"/>
        <w:rPr>
          <w:rFonts w:hint="eastAsia" w:ascii="宋体" w:hAnsi="宋体" w:eastAsia="宋体" w:cs="宋体"/>
          <w:color w:val="auto"/>
          <w:szCs w:val="21"/>
        </w:rPr>
      </w:pPr>
    </w:p>
    <w:p w14:paraId="6F5D0695">
      <w:pPr>
        <w:pStyle w:val="18"/>
        <w:numPr>
          <w:ilvl w:val="0"/>
          <w:numId w:val="0"/>
        </w:numPr>
        <w:jc w:val="center"/>
        <w:outlineLvl w:val="0"/>
        <w:rPr>
          <w:rFonts w:hint="eastAsia"/>
          <w:b/>
          <w:bCs/>
          <w:color w:val="auto"/>
          <w:sz w:val="24"/>
          <w:szCs w:val="28"/>
          <w:highlight w:val="none"/>
        </w:rPr>
      </w:pPr>
      <w:r>
        <w:rPr>
          <w:rFonts w:hint="eastAsia" w:ascii="宋体" w:hAnsi="宋体" w:eastAsia="宋体" w:cs="宋体"/>
          <w:color w:val="auto"/>
          <w:szCs w:val="21"/>
        </w:rPr>
        <w:br w:type="page"/>
      </w:r>
      <w:bookmarkStart w:id="61" w:name="_Toc30956"/>
      <w:bookmarkStart w:id="62" w:name="_Toc113437299"/>
      <w:r>
        <w:rPr>
          <w:rFonts w:hint="eastAsia" w:cs="宋体"/>
          <w:b/>
          <w:bCs/>
          <w:color w:val="auto"/>
          <w:sz w:val="32"/>
          <w:szCs w:val="32"/>
          <w:highlight w:val="none"/>
          <w:lang w:eastAsia="zh-CN"/>
        </w:rPr>
        <w:t>第三章、</w:t>
      </w:r>
      <w:r>
        <w:rPr>
          <w:rFonts w:hint="eastAsia"/>
          <w:b/>
          <w:bCs/>
          <w:color w:val="auto"/>
          <w:sz w:val="32"/>
          <w:szCs w:val="32"/>
          <w:highlight w:val="none"/>
        </w:rPr>
        <w:t>磋商办法</w:t>
      </w:r>
      <w:bookmarkEnd w:id="61"/>
      <w:bookmarkEnd w:id="62"/>
    </w:p>
    <w:p w14:paraId="0D1E1176">
      <w:pPr>
        <w:pStyle w:val="19"/>
        <w:numPr>
          <w:ilvl w:val="0"/>
          <w:numId w:val="0"/>
        </w:numPr>
        <w:ind w:leftChars="200"/>
        <w:outlineLvl w:val="9"/>
        <w:rPr>
          <w:color w:val="auto"/>
          <w:highlight w:val="none"/>
        </w:rPr>
      </w:pPr>
    </w:p>
    <w:p w14:paraId="4ABF1C7A">
      <w:pPr>
        <w:spacing w:line="360" w:lineRule="auto"/>
        <w:outlineLvl w:val="9"/>
        <w:rPr>
          <w:rFonts w:ascii="宋体" w:hAnsi="宋体" w:eastAsia="宋体" w:cs="宋体"/>
          <w:vanish/>
          <w:color w:val="auto"/>
          <w:kern w:val="0"/>
          <w:sz w:val="24"/>
          <w:szCs w:val="24"/>
          <w:highlight w:val="none"/>
        </w:rPr>
      </w:pPr>
      <w:r>
        <w:rPr>
          <w:rFonts w:hint="eastAsia" w:ascii="宋体" w:hAnsi="宋体" w:eastAsia="宋体" w:cs="宋体"/>
          <w:vanish/>
          <w:color w:val="auto"/>
          <w:kern w:val="0"/>
          <w:sz w:val="24"/>
          <w:szCs w:val="24"/>
          <w:highlight w:val="none"/>
        </w:rPr>
        <w:t xml:space="preserve"> </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302"/>
        <w:gridCol w:w="830"/>
        <w:gridCol w:w="1370"/>
        <w:gridCol w:w="667"/>
        <w:gridCol w:w="5611"/>
        <w:gridCol w:w="16"/>
      </w:tblGrid>
      <w:tr w14:paraId="32199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418" w:hRule="atLeast"/>
          <w:jc w:val="center"/>
        </w:trPr>
        <w:tc>
          <w:tcPr>
            <w:tcW w:w="2090" w:type="dxa"/>
            <w:gridSpan w:val="3"/>
            <w:tcBorders>
              <w:top w:val="single" w:color="auto" w:sz="4" w:space="0"/>
              <w:left w:val="single" w:color="auto" w:sz="4" w:space="0"/>
              <w:bottom w:val="single" w:color="auto" w:sz="4" w:space="0"/>
              <w:right w:val="single" w:color="auto" w:sz="4" w:space="0"/>
            </w:tcBorders>
            <w:noWrap w:val="0"/>
            <w:vAlign w:val="center"/>
          </w:tcPr>
          <w:p w14:paraId="6BA177A4">
            <w:pPr>
              <w:spacing w:line="360" w:lineRule="auto"/>
              <w:outlineLvl w:val="9"/>
              <w:rPr>
                <w:rFonts w:ascii="宋体" w:hAnsi="宋体" w:eastAsia="宋体" w:cs="宋体"/>
                <w:color w:val="auto"/>
                <w:szCs w:val="21"/>
                <w:highlight w:val="none"/>
              </w:rPr>
            </w:pPr>
            <w:bookmarkStart w:id="63" w:name="_Toc16931"/>
            <w:r>
              <w:rPr>
                <w:rFonts w:hint="eastAsia" w:ascii="宋体" w:hAnsi="宋体" w:eastAsia="宋体" w:cs="宋体"/>
                <w:color w:val="auto"/>
                <w:szCs w:val="21"/>
                <w:highlight w:val="none"/>
              </w:rPr>
              <w:t>条款号</w:t>
            </w:r>
            <w:bookmarkEnd w:id="63"/>
          </w:p>
        </w:tc>
        <w:tc>
          <w:tcPr>
            <w:tcW w:w="2037" w:type="dxa"/>
            <w:gridSpan w:val="2"/>
            <w:tcBorders>
              <w:top w:val="single" w:color="auto" w:sz="4" w:space="0"/>
              <w:left w:val="nil"/>
              <w:bottom w:val="single" w:color="auto" w:sz="4" w:space="0"/>
              <w:right w:val="single" w:color="auto" w:sz="4" w:space="0"/>
            </w:tcBorders>
            <w:noWrap w:val="0"/>
            <w:vAlign w:val="center"/>
          </w:tcPr>
          <w:p w14:paraId="30C0FA1D">
            <w:pPr>
              <w:spacing w:line="360" w:lineRule="auto"/>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评审因素</w:t>
            </w:r>
          </w:p>
        </w:tc>
        <w:tc>
          <w:tcPr>
            <w:tcW w:w="5611" w:type="dxa"/>
            <w:tcBorders>
              <w:top w:val="single" w:color="auto" w:sz="4" w:space="0"/>
              <w:left w:val="nil"/>
              <w:bottom w:val="single" w:color="auto" w:sz="4" w:space="0"/>
              <w:right w:val="single" w:color="auto" w:sz="4" w:space="0"/>
            </w:tcBorders>
            <w:noWrap w:val="0"/>
            <w:vAlign w:val="center"/>
          </w:tcPr>
          <w:p w14:paraId="32945EC0">
            <w:pPr>
              <w:spacing w:line="360" w:lineRule="auto"/>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评审标准</w:t>
            </w:r>
          </w:p>
        </w:tc>
      </w:tr>
      <w:tr w14:paraId="49F52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683" w:hRule="atLeast"/>
          <w:jc w:val="center"/>
        </w:trPr>
        <w:tc>
          <w:tcPr>
            <w:tcW w:w="958" w:type="dxa"/>
            <w:vMerge w:val="restart"/>
            <w:tcBorders>
              <w:top w:val="nil"/>
              <w:left w:val="single" w:color="auto" w:sz="4" w:space="0"/>
              <w:bottom w:val="single" w:color="auto" w:sz="4" w:space="0"/>
              <w:right w:val="single" w:color="auto" w:sz="4" w:space="0"/>
            </w:tcBorders>
            <w:noWrap w:val="0"/>
            <w:vAlign w:val="center"/>
          </w:tcPr>
          <w:p w14:paraId="5046ACAC">
            <w:pPr>
              <w:spacing w:line="360" w:lineRule="auto"/>
              <w:outlineLvl w:val="9"/>
              <w:rPr>
                <w:rFonts w:ascii="宋体" w:hAnsi="宋体" w:eastAsia="宋体" w:cs="宋体"/>
                <w:color w:val="auto"/>
                <w:spacing w:val="1"/>
                <w:kern w:val="0"/>
                <w:szCs w:val="21"/>
                <w:highlight w:val="none"/>
              </w:rPr>
            </w:pPr>
            <w:r>
              <w:rPr>
                <w:rFonts w:hint="eastAsia" w:ascii="宋体" w:hAnsi="宋体" w:eastAsia="宋体" w:cs="宋体"/>
                <w:color w:val="auto"/>
                <w:spacing w:val="1"/>
                <w:kern w:val="0"/>
                <w:szCs w:val="21"/>
                <w:highlight w:val="none"/>
              </w:rPr>
              <w:t xml:space="preserve">   1</w:t>
            </w:r>
          </w:p>
        </w:tc>
        <w:tc>
          <w:tcPr>
            <w:tcW w:w="1132" w:type="dxa"/>
            <w:gridSpan w:val="2"/>
            <w:vMerge w:val="restart"/>
            <w:tcBorders>
              <w:top w:val="nil"/>
              <w:left w:val="nil"/>
              <w:bottom w:val="single" w:color="auto" w:sz="4" w:space="0"/>
              <w:right w:val="single" w:color="auto" w:sz="4" w:space="0"/>
            </w:tcBorders>
            <w:noWrap w:val="0"/>
            <w:vAlign w:val="center"/>
          </w:tcPr>
          <w:p w14:paraId="1907784F">
            <w:pPr>
              <w:spacing w:line="360" w:lineRule="auto"/>
              <w:jc w:val="center"/>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形式评审标准</w:t>
            </w:r>
          </w:p>
        </w:tc>
        <w:tc>
          <w:tcPr>
            <w:tcW w:w="2037" w:type="dxa"/>
            <w:gridSpan w:val="2"/>
            <w:tcBorders>
              <w:top w:val="single" w:color="auto" w:sz="4" w:space="0"/>
              <w:left w:val="nil"/>
              <w:bottom w:val="single" w:color="auto" w:sz="4" w:space="0"/>
              <w:right w:val="single" w:color="auto" w:sz="4" w:space="0"/>
            </w:tcBorders>
            <w:noWrap w:val="0"/>
            <w:vAlign w:val="center"/>
          </w:tcPr>
          <w:p w14:paraId="1B666DD1">
            <w:pPr>
              <w:spacing w:line="360" w:lineRule="auto"/>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供应商名称 </w:t>
            </w:r>
          </w:p>
        </w:tc>
        <w:tc>
          <w:tcPr>
            <w:tcW w:w="5611" w:type="dxa"/>
            <w:tcBorders>
              <w:top w:val="single" w:color="auto" w:sz="4" w:space="0"/>
              <w:left w:val="nil"/>
              <w:bottom w:val="single" w:color="auto" w:sz="4" w:space="0"/>
              <w:right w:val="single" w:color="auto" w:sz="4" w:space="0"/>
            </w:tcBorders>
            <w:noWrap w:val="0"/>
            <w:vAlign w:val="center"/>
          </w:tcPr>
          <w:p w14:paraId="5E956DC1">
            <w:pPr>
              <w:spacing w:line="360" w:lineRule="auto"/>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与营业执照一致</w:t>
            </w:r>
          </w:p>
        </w:tc>
      </w:tr>
      <w:tr w14:paraId="53E30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683" w:hRule="atLeast"/>
          <w:jc w:val="center"/>
        </w:trPr>
        <w:tc>
          <w:tcPr>
            <w:tcW w:w="958" w:type="dxa"/>
            <w:vMerge w:val="continue"/>
            <w:tcBorders>
              <w:top w:val="nil"/>
              <w:left w:val="single" w:color="auto" w:sz="4" w:space="0"/>
              <w:bottom w:val="single" w:color="auto" w:sz="4" w:space="0"/>
              <w:right w:val="single" w:color="auto" w:sz="4" w:space="0"/>
            </w:tcBorders>
            <w:noWrap w:val="0"/>
            <w:vAlign w:val="center"/>
          </w:tcPr>
          <w:p w14:paraId="56C35566">
            <w:pPr>
              <w:spacing w:line="360" w:lineRule="auto"/>
              <w:outlineLvl w:val="9"/>
              <w:rPr>
                <w:rFonts w:ascii="宋体" w:hAnsi="宋体" w:eastAsia="宋体" w:cs="宋体"/>
                <w:color w:val="auto"/>
                <w:spacing w:val="1"/>
                <w:kern w:val="0"/>
                <w:szCs w:val="21"/>
                <w:highlight w:val="none"/>
              </w:rPr>
            </w:pPr>
          </w:p>
        </w:tc>
        <w:tc>
          <w:tcPr>
            <w:tcW w:w="1132" w:type="dxa"/>
            <w:gridSpan w:val="2"/>
            <w:vMerge w:val="continue"/>
            <w:tcBorders>
              <w:top w:val="nil"/>
              <w:left w:val="nil"/>
              <w:bottom w:val="single" w:color="auto" w:sz="4" w:space="0"/>
              <w:right w:val="single" w:color="auto" w:sz="4" w:space="0"/>
            </w:tcBorders>
            <w:noWrap w:val="0"/>
            <w:vAlign w:val="center"/>
          </w:tcPr>
          <w:p w14:paraId="26515EB3">
            <w:pPr>
              <w:spacing w:line="360" w:lineRule="auto"/>
              <w:jc w:val="center"/>
              <w:outlineLvl w:val="9"/>
              <w:rPr>
                <w:rFonts w:ascii="宋体" w:hAnsi="宋体" w:eastAsia="宋体" w:cs="宋体"/>
                <w:color w:val="auto"/>
                <w:kern w:val="0"/>
                <w:szCs w:val="21"/>
                <w:highlight w:val="none"/>
              </w:rPr>
            </w:pPr>
          </w:p>
        </w:tc>
        <w:tc>
          <w:tcPr>
            <w:tcW w:w="2037" w:type="dxa"/>
            <w:gridSpan w:val="2"/>
            <w:tcBorders>
              <w:top w:val="single" w:color="auto" w:sz="4" w:space="0"/>
              <w:left w:val="nil"/>
              <w:bottom w:val="single" w:color="auto" w:sz="4" w:space="0"/>
              <w:right w:val="single" w:color="auto" w:sz="4" w:space="0"/>
            </w:tcBorders>
            <w:noWrap w:val="0"/>
            <w:vAlign w:val="center"/>
          </w:tcPr>
          <w:p w14:paraId="4B6A3485">
            <w:pPr>
              <w:spacing w:line="360" w:lineRule="auto"/>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响应文件签章</w:t>
            </w:r>
          </w:p>
        </w:tc>
        <w:tc>
          <w:tcPr>
            <w:tcW w:w="5611" w:type="dxa"/>
            <w:tcBorders>
              <w:top w:val="single" w:color="auto" w:sz="4" w:space="0"/>
              <w:left w:val="nil"/>
              <w:bottom w:val="single" w:color="auto" w:sz="4" w:space="0"/>
              <w:right w:val="single" w:color="auto" w:sz="4" w:space="0"/>
            </w:tcBorders>
            <w:noWrap w:val="0"/>
            <w:vAlign w:val="center"/>
          </w:tcPr>
          <w:p w14:paraId="1026E10B">
            <w:pPr>
              <w:spacing w:line="360" w:lineRule="auto"/>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符合磋商文件响应文件格式要求；</w:t>
            </w:r>
          </w:p>
        </w:tc>
      </w:tr>
      <w:tr w14:paraId="40F0C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683" w:hRule="atLeast"/>
          <w:jc w:val="center"/>
        </w:trPr>
        <w:tc>
          <w:tcPr>
            <w:tcW w:w="958" w:type="dxa"/>
            <w:vMerge w:val="continue"/>
            <w:tcBorders>
              <w:top w:val="nil"/>
              <w:left w:val="single" w:color="auto" w:sz="4" w:space="0"/>
              <w:bottom w:val="single" w:color="auto" w:sz="4" w:space="0"/>
              <w:right w:val="single" w:color="auto" w:sz="4" w:space="0"/>
            </w:tcBorders>
            <w:noWrap w:val="0"/>
            <w:vAlign w:val="center"/>
          </w:tcPr>
          <w:p w14:paraId="58474444">
            <w:pPr>
              <w:spacing w:line="360" w:lineRule="auto"/>
              <w:outlineLvl w:val="9"/>
              <w:rPr>
                <w:rFonts w:ascii="宋体" w:hAnsi="宋体" w:eastAsia="宋体" w:cs="宋体"/>
                <w:color w:val="auto"/>
                <w:spacing w:val="1"/>
                <w:kern w:val="0"/>
                <w:szCs w:val="21"/>
                <w:highlight w:val="none"/>
              </w:rPr>
            </w:pPr>
          </w:p>
        </w:tc>
        <w:tc>
          <w:tcPr>
            <w:tcW w:w="1132" w:type="dxa"/>
            <w:gridSpan w:val="2"/>
            <w:vMerge w:val="continue"/>
            <w:tcBorders>
              <w:top w:val="nil"/>
              <w:left w:val="nil"/>
              <w:bottom w:val="single" w:color="auto" w:sz="4" w:space="0"/>
              <w:right w:val="single" w:color="auto" w:sz="4" w:space="0"/>
            </w:tcBorders>
            <w:noWrap w:val="0"/>
            <w:vAlign w:val="center"/>
          </w:tcPr>
          <w:p w14:paraId="1C85586C">
            <w:pPr>
              <w:spacing w:line="360" w:lineRule="auto"/>
              <w:jc w:val="center"/>
              <w:outlineLvl w:val="9"/>
              <w:rPr>
                <w:rFonts w:ascii="宋体" w:hAnsi="宋体" w:eastAsia="宋体" w:cs="宋体"/>
                <w:color w:val="auto"/>
                <w:kern w:val="0"/>
                <w:szCs w:val="21"/>
                <w:highlight w:val="none"/>
              </w:rPr>
            </w:pPr>
          </w:p>
        </w:tc>
        <w:tc>
          <w:tcPr>
            <w:tcW w:w="2037" w:type="dxa"/>
            <w:gridSpan w:val="2"/>
            <w:tcBorders>
              <w:top w:val="single" w:color="auto" w:sz="4" w:space="0"/>
              <w:left w:val="nil"/>
              <w:bottom w:val="single" w:color="auto" w:sz="4" w:space="0"/>
              <w:right w:val="single" w:color="auto" w:sz="4" w:space="0"/>
            </w:tcBorders>
            <w:noWrap w:val="0"/>
            <w:vAlign w:val="center"/>
          </w:tcPr>
          <w:p w14:paraId="238245BB">
            <w:pPr>
              <w:spacing w:line="360" w:lineRule="auto"/>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响应文件格式</w:t>
            </w:r>
          </w:p>
        </w:tc>
        <w:tc>
          <w:tcPr>
            <w:tcW w:w="5611" w:type="dxa"/>
            <w:tcBorders>
              <w:top w:val="single" w:color="auto" w:sz="4" w:space="0"/>
              <w:left w:val="nil"/>
              <w:bottom w:val="single" w:color="auto" w:sz="4" w:space="0"/>
              <w:right w:val="single" w:color="auto" w:sz="4" w:space="0"/>
            </w:tcBorders>
            <w:noWrap w:val="0"/>
            <w:vAlign w:val="center"/>
          </w:tcPr>
          <w:p w14:paraId="1B550C5B">
            <w:pPr>
              <w:spacing w:line="360" w:lineRule="auto"/>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符合磋商文件响应文件格式要求；</w:t>
            </w:r>
          </w:p>
        </w:tc>
      </w:tr>
      <w:tr w14:paraId="504FD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1176" w:hRule="atLeast"/>
          <w:jc w:val="center"/>
        </w:trPr>
        <w:tc>
          <w:tcPr>
            <w:tcW w:w="958" w:type="dxa"/>
            <w:tcBorders>
              <w:top w:val="single" w:color="auto" w:sz="4" w:space="0"/>
              <w:left w:val="single" w:color="auto" w:sz="4" w:space="0"/>
              <w:bottom w:val="nil"/>
              <w:right w:val="single" w:color="auto" w:sz="4" w:space="0"/>
            </w:tcBorders>
            <w:noWrap w:val="0"/>
            <w:vAlign w:val="center"/>
          </w:tcPr>
          <w:p w14:paraId="6A2C7280">
            <w:pPr>
              <w:spacing w:line="360" w:lineRule="auto"/>
              <w:outlineLvl w:val="9"/>
              <w:rPr>
                <w:rFonts w:ascii="宋体" w:hAnsi="宋体" w:eastAsia="宋体" w:cs="宋体"/>
                <w:color w:val="auto"/>
                <w:szCs w:val="21"/>
                <w:highlight w:val="none"/>
              </w:rPr>
            </w:pPr>
            <w:r>
              <w:rPr>
                <w:rFonts w:hint="eastAsia" w:ascii="宋体" w:hAnsi="宋体" w:eastAsia="宋体" w:cs="宋体"/>
                <w:color w:val="auto"/>
                <w:spacing w:val="1"/>
                <w:kern w:val="0"/>
                <w:szCs w:val="21"/>
                <w:highlight w:val="none"/>
              </w:rPr>
              <w:t xml:space="preserve">   2</w:t>
            </w:r>
          </w:p>
        </w:tc>
        <w:tc>
          <w:tcPr>
            <w:tcW w:w="1132" w:type="dxa"/>
            <w:gridSpan w:val="2"/>
            <w:tcBorders>
              <w:top w:val="single" w:color="auto" w:sz="4" w:space="0"/>
              <w:left w:val="nil"/>
              <w:bottom w:val="nil"/>
              <w:right w:val="single" w:color="auto" w:sz="4" w:space="0"/>
            </w:tcBorders>
            <w:noWrap w:val="0"/>
            <w:vAlign w:val="center"/>
          </w:tcPr>
          <w:p w14:paraId="5D88A471">
            <w:pPr>
              <w:spacing w:line="360" w:lineRule="auto"/>
              <w:jc w:val="center"/>
              <w:outlineLvl w:val="9"/>
              <w:rPr>
                <w:rFonts w:ascii="宋体" w:hAnsi="宋体" w:eastAsia="宋体" w:cs="宋体"/>
                <w:color w:val="auto"/>
                <w:szCs w:val="21"/>
                <w:highlight w:val="none"/>
              </w:rPr>
            </w:pPr>
            <w:r>
              <w:rPr>
                <w:rFonts w:hint="eastAsia" w:ascii="宋体" w:hAnsi="宋体" w:eastAsia="宋体" w:cs="宋体"/>
                <w:color w:val="auto"/>
                <w:kern w:val="0"/>
                <w:szCs w:val="21"/>
                <w:highlight w:val="none"/>
              </w:rPr>
              <w:t>资格评审标准</w:t>
            </w:r>
          </w:p>
        </w:tc>
        <w:tc>
          <w:tcPr>
            <w:tcW w:w="2037" w:type="dxa"/>
            <w:gridSpan w:val="2"/>
            <w:tcBorders>
              <w:top w:val="single" w:color="auto" w:sz="4" w:space="0"/>
              <w:left w:val="nil"/>
              <w:bottom w:val="single" w:color="auto" w:sz="4" w:space="0"/>
              <w:right w:val="single" w:color="auto" w:sz="4" w:space="0"/>
            </w:tcBorders>
            <w:noWrap w:val="0"/>
            <w:vAlign w:val="center"/>
          </w:tcPr>
          <w:p w14:paraId="7014E21A">
            <w:pPr>
              <w:kinsoku w:val="0"/>
              <w:overflowPunct w:val="0"/>
              <w:autoSpaceDE w:val="0"/>
              <w:autoSpaceDN w:val="0"/>
              <w:adjustRightInd w:val="0"/>
              <w:snapToGrid w:val="0"/>
              <w:spacing w:line="360" w:lineRule="auto"/>
              <w:jc w:val="left"/>
              <w:outlineLvl w:val="9"/>
              <w:rPr>
                <w:rFonts w:ascii="宋体" w:hAnsi="宋体" w:eastAsia="宋体" w:cs="宋体"/>
                <w:color w:val="auto"/>
                <w:szCs w:val="21"/>
                <w:highlight w:val="none"/>
              </w:rPr>
            </w:pPr>
            <w:r>
              <w:rPr>
                <w:rFonts w:hint="eastAsia"/>
                <w:color w:val="auto"/>
                <w:highlight w:val="none"/>
              </w:rPr>
              <w:t>资格审查标准</w:t>
            </w:r>
          </w:p>
        </w:tc>
        <w:tc>
          <w:tcPr>
            <w:tcW w:w="5611" w:type="dxa"/>
            <w:tcBorders>
              <w:top w:val="single" w:color="auto" w:sz="4" w:space="0"/>
              <w:left w:val="nil"/>
              <w:bottom w:val="single" w:color="auto" w:sz="4" w:space="0"/>
              <w:right w:val="single" w:color="auto" w:sz="4" w:space="0"/>
            </w:tcBorders>
            <w:noWrap w:val="0"/>
            <w:vAlign w:val="center"/>
          </w:tcPr>
          <w:p w14:paraId="6E511880">
            <w:pPr>
              <w:spacing w:line="360" w:lineRule="auto"/>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符合第二章“供应商须知前附表”第</w:t>
            </w:r>
            <w:r>
              <w:rPr>
                <w:rFonts w:hint="eastAsia" w:ascii="宋体" w:hAnsi="宋体" w:eastAsia="宋体" w:cs="宋体"/>
                <w:color w:val="auto"/>
                <w:szCs w:val="21"/>
                <w:highlight w:val="none"/>
                <w:lang w:val="en-US" w:eastAsia="zh-CN"/>
              </w:rPr>
              <w:t>13</w:t>
            </w:r>
            <w:r>
              <w:rPr>
                <w:rFonts w:hint="eastAsia" w:ascii="宋体" w:hAnsi="宋体" w:eastAsia="宋体" w:cs="宋体"/>
                <w:color w:val="auto"/>
                <w:szCs w:val="21"/>
                <w:highlight w:val="none"/>
              </w:rPr>
              <w:t>项规定</w:t>
            </w:r>
          </w:p>
        </w:tc>
      </w:tr>
      <w:tr w14:paraId="0AD71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597" w:hRule="atLeast"/>
          <w:jc w:val="center"/>
        </w:trPr>
        <w:tc>
          <w:tcPr>
            <w:tcW w:w="958" w:type="dxa"/>
            <w:vMerge w:val="restart"/>
            <w:tcBorders>
              <w:top w:val="single" w:color="auto" w:sz="4" w:space="0"/>
              <w:left w:val="single" w:color="auto" w:sz="4" w:space="0"/>
              <w:right w:val="single" w:color="auto" w:sz="4" w:space="0"/>
            </w:tcBorders>
            <w:noWrap w:val="0"/>
            <w:vAlign w:val="center"/>
          </w:tcPr>
          <w:p w14:paraId="489AA047">
            <w:pPr>
              <w:spacing w:line="360" w:lineRule="auto"/>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3</w:t>
            </w:r>
          </w:p>
        </w:tc>
        <w:tc>
          <w:tcPr>
            <w:tcW w:w="1132" w:type="dxa"/>
            <w:gridSpan w:val="2"/>
            <w:vMerge w:val="restart"/>
            <w:tcBorders>
              <w:top w:val="single" w:color="auto" w:sz="4" w:space="0"/>
              <w:left w:val="nil"/>
              <w:right w:val="single" w:color="auto" w:sz="4" w:space="0"/>
            </w:tcBorders>
            <w:noWrap w:val="0"/>
            <w:vAlign w:val="center"/>
          </w:tcPr>
          <w:p w14:paraId="5DB4990E">
            <w:pPr>
              <w:spacing w:line="360" w:lineRule="auto"/>
              <w:jc w:val="center"/>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响 应 性</w:t>
            </w:r>
          </w:p>
          <w:p w14:paraId="56659749">
            <w:pPr>
              <w:spacing w:line="360" w:lineRule="auto"/>
              <w:jc w:val="center"/>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评审标准</w:t>
            </w:r>
          </w:p>
        </w:tc>
        <w:tc>
          <w:tcPr>
            <w:tcW w:w="2037" w:type="dxa"/>
            <w:gridSpan w:val="2"/>
            <w:tcBorders>
              <w:top w:val="single" w:color="auto" w:sz="4" w:space="0"/>
              <w:left w:val="nil"/>
              <w:bottom w:val="single" w:color="auto" w:sz="4" w:space="0"/>
              <w:right w:val="single" w:color="auto" w:sz="4" w:space="0"/>
            </w:tcBorders>
            <w:noWrap w:val="0"/>
            <w:vAlign w:val="center"/>
          </w:tcPr>
          <w:p w14:paraId="6B909021">
            <w:pPr>
              <w:spacing w:line="360" w:lineRule="auto"/>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采购内容</w:t>
            </w:r>
          </w:p>
        </w:tc>
        <w:tc>
          <w:tcPr>
            <w:tcW w:w="5611" w:type="dxa"/>
            <w:tcBorders>
              <w:top w:val="single" w:color="auto" w:sz="4" w:space="0"/>
              <w:left w:val="nil"/>
              <w:bottom w:val="single" w:color="auto" w:sz="4" w:space="0"/>
              <w:right w:val="single" w:color="auto" w:sz="4" w:space="0"/>
            </w:tcBorders>
            <w:noWrap w:val="0"/>
            <w:vAlign w:val="center"/>
          </w:tcPr>
          <w:p w14:paraId="41470778">
            <w:pPr>
              <w:spacing w:line="360" w:lineRule="auto"/>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符合第二章“供应商须知前附表”规定</w:t>
            </w:r>
          </w:p>
        </w:tc>
      </w:tr>
      <w:tr w14:paraId="19CCF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597" w:hRule="atLeast"/>
          <w:jc w:val="center"/>
        </w:trPr>
        <w:tc>
          <w:tcPr>
            <w:tcW w:w="958" w:type="dxa"/>
            <w:vMerge w:val="continue"/>
            <w:tcBorders>
              <w:left w:val="single" w:color="auto" w:sz="4" w:space="0"/>
              <w:right w:val="single" w:color="auto" w:sz="4" w:space="0"/>
            </w:tcBorders>
            <w:noWrap w:val="0"/>
            <w:vAlign w:val="center"/>
          </w:tcPr>
          <w:p w14:paraId="3EECC9B4">
            <w:pPr>
              <w:spacing w:line="360" w:lineRule="auto"/>
              <w:outlineLvl w:val="9"/>
              <w:rPr>
                <w:rFonts w:hint="eastAsia" w:ascii="宋体" w:hAnsi="宋体" w:eastAsia="宋体" w:cs="宋体"/>
                <w:color w:val="auto"/>
                <w:szCs w:val="21"/>
                <w:highlight w:val="none"/>
              </w:rPr>
            </w:pPr>
          </w:p>
        </w:tc>
        <w:tc>
          <w:tcPr>
            <w:tcW w:w="1132" w:type="dxa"/>
            <w:gridSpan w:val="2"/>
            <w:vMerge w:val="continue"/>
            <w:tcBorders>
              <w:left w:val="nil"/>
              <w:right w:val="single" w:color="auto" w:sz="4" w:space="0"/>
            </w:tcBorders>
            <w:noWrap w:val="0"/>
            <w:vAlign w:val="center"/>
          </w:tcPr>
          <w:p w14:paraId="422EEC04">
            <w:pPr>
              <w:spacing w:line="360" w:lineRule="auto"/>
              <w:jc w:val="center"/>
              <w:outlineLvl w:val="9"/>
              <w:rPr>
                <w:rFonts w:hint="eastAsia" w:ascii="宋体" w:hAnsi="宋体" w:eastAsia="宋体" w:cs="宋体"/>
                <w:color w:val="auto"/>
                <w:szCs w:val="21"/>
                <w:highlight w:val="none"/>
              </w:rPr>
            </w:pPr>
          </w:p>
        </w:tc>
        <w:tc>
          <w:tcPr>
            <w:tcW w:w="2037" w:type="dxa"/>
            <w:gridSpan w:val="2"/>
            <w:tcBorders>
              <w:top w:val="single" w:color="auto" w:sz="4" w:space="0"/>
              <w:left w:val="nil"/>
              <w:bottom w:val="single" w:color="auto" w:sz="4" w:space="0"/>
              <w:right w:val="single" w:color="auto" w:sz="4" w:space="0"/>
            </w:tcBorders>
            <w:noWrap w:val="0"/>
            <w:vAlign w:val="center"/>
          </w:tcPr>
          <w:p w14:paraId="508112C1">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服务地点</w:t>
            </w:r>
          </w:p>
        </w:tc>
        <w:tc>
          <w:tcPr>
            <w:tcW w:w="5611" w:type="dxa"/>
            <w:tcBorders>
              <w:top w:val="single" w:color="auto" w:sz="4" w:space="0"/>
              <w:left w:val="nil"/>
              <w:bottom w:val="single" w:color="auto" w:sz="4" w:space="0"/>
              <w:right w:val="single" w:color="auto" w:sz="4" w:space="0"/>
            </w:tcBorders>
            <w:noWrap w:val="0"/>
            <w:vAlign w:val="center"/>
          </w:tcPr>
          <w:p w14:paraId="3ECC58B8">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符合第二章“供应商须知前附表”规定</w:t>
            </w:r>
          </w:p>
        </w:tc>
      </w:tr>
      <w:tr w14:paraId="6337C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588" w:hRule="atLeast"/>
          <w:jc w:val="center"/>
        </w:trPr>
        <w:tc>
          <w:tcPr>
            <w:tcW w:w="958" w:type="dxa"/>
            <w:vMerge w:val="continue"/>
            <w:tcBorders>
              <w:left w:val="single" w:color="auto" w:sz="4" w:space="0"/>
              <w:right w:val="single" w:color="auto" w:sz="4" w:space="0"/>
            </w:tcBorders>
            <w:noWrap w:val="0"/>
            <w:vAlign w:val="center"/>
          </w:tcPr>
          <w:p w14:paraId="2E60F894">
            <w:pPr>
              <w:spacing w:line="360" w:lineRule="auto"/>
              <w:outlineLvl w:val="9"/>
              <w:rPr>
                <w:rFonts w:ascii="宋体" w:hAnsi="宋体" w:eastAsia="宋体" w:cs="宋体"/>
                <w:color w:val="auto"/>
                <w:szCs w:val="21"/>
                <w:highlight w:val="none"/>
              </w:rPr>
            </w:pPr>
          </w:p>
        </w:tc>
        <w:tc>
          <w:tcPr>
            <w:tcW w:w="1132" w:type="dxa"/>
            <w:gridSpan w:val="2"/>
            <w:vMerge w:val="continue"/>
            <w:tcBorders>
              <w:left w:val="nil"/>
              <w:right w:val="single" w:color="auto" w:sz="4" w:space="0"/>
            </w:tcBorders>
            <w:noWrap w:val="0"/>
            <w:vAlign w:val="center"/>
          </w:tcPr>
          <w:p w14:paraId="57EC1929">
            <w:pPr>
              <w:spacing w:line="360" w:lineRule="auto"/>
              <w:outlineLvl w:val="9"/>
              <w:rPr>
                <w:rFonts w:ascii="宋体" w:hAnsi="宋体" w:eastAsia="宋体" w:cs="宋体"/>
                <w:color w:val="auto"/>
                <w:szCs w:val="21"/>
                <w:highlight w:val="none"/>
              </w:rPr>
            </w:pPr>
          </w:p>
        </w:tc>
        <w:tc>
          <w:tcPr>
            <w:tcW w:w="2037" w:type="dxa"/>
            <w:gridSpan w:val="2"/>
            <w:tcBorders>
              <w:top w:val="single" w:color="auto" w:sz="4" w:space="0"/>
              <w:left w:val="nil"/>
              <w:bottom w:val="single" w:color="auto" w:sz="4" w:space="0"/>
              <w:right w:val="single" w:color="auto" w:sz="4" w:space="0"/>
            </w:tcBorders>
            <w:noWrap w:val="0"/>
            <w:vAlign w:val="center"/>
          </w:tcPr>
          <w:p w14:paraId="6D35E473">
            <w:pPr>
              <w:spacing w:line="360" w:lineRule="auto"/>
              <w:outlineLvl w:val="9"/>
              <w:rPr>
                <w:rFonts w:ascii="宋体" w:hAnsi="宋体" w:eastAsia="宋体" w:cs="宋体"/>
                <w:color w:val="auto"/>
                <w:szCs w:val="21"/>
                <w:highlight w:val="none"/>
              </w:rPr>
            </w:pPr>
            <w:r>
              <w:rPr>
                <w:rFonts w:hint="eastAsia" w:ascii="宋体" w:hAnsi="宋体" w:eastAsia="宋体" w:cs="宋体"/>
                <w:color w:val="auto"/>
                <w:szCs w:val="21"/>
              </w:rPr>
              <w:t>服务时间</w:t>
            </w:r>
          </w:p>
        </w:tc>
        <w:tc>
          <w:tcPr>
            <w:tcW w:w="5611" w:type="dxa"/>
            <w:tcBorders>
              <w:top w:val="single" w:color="auto" w:sz="4" w:space="0"/>
              <w:left w:val="nil"/>
              <w:bottom w:val="single" w:color="auto" w:sz="4" w:space="0"/>
              <w:right w:val="single" w:color="auto" w:sz="4" w:space="0"/>
            </w:tcBorders>
            <w:noWrap w:val="0"/>
            <w:vAlign w:val="center"/>
          </w:tcPr>
          <w:p w14:paraId="5B280761">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符合第二章“供应商须知前附表”规定</w:t>
            </w:r>
          </w:p>
        </w:tc>
      </w:tr>
      <w:tr w14:paraId="05686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438" w:hRule="atLeast"/>
          <w:jc w:val="center"/>
        </w:trPr>
        <w:tc>
          <w:tcPr>
            <w:tcW w:w="958" w:type="dxa"/>
            <w:vMerge w:val="continue"/>
            <w:tcBorders>
              <w:left w:val="single" w:color="auto" w:sz="4" w:space="0"/>
              <w:right w:val="single" w:color="auto" w:sz="4" w:space="0"/>
            </w:tcBorders>
            <w:noWrap w:val="0"/>
            <w:vAlign w:val="center"/>
          </w:tcPr>
          <w:p w14:paraId="4D16DDD3">
            <w:pPr>
              <w:spacing w:line="360" w:lineRule="auto"/>
              <w:outlineLvl w:val="9"/>
              <w:rPr>
                <w:rFonts w:ascii="宋体" w:hAnsi="宋体" w:eastAsia="宋体" w:cs="宋体"/>
                <w:color w:val="auto"/>
                <w:szCs w:val="21"/>
                <w:highlight w:val="none"/>
              </w:rPr>
            </w:pPr>
          </w:p>
        </w:tc>
        <w:tc>
          <w:tcPr>
            <w:tcW w:w="1132" w:type="dxa"/>
            <w:gridSpan w:val="2"/>
            <w:vMerge w:val="continue"/>
            <w:tcBorders>
              <w:left w:val="nil"/>
              <w:right w:val="single" w:color="auto" w:sz="4" w:space="0"/>
            </w:tcBorders>
            <w:noWrap w:val="0"/>
            <w:vAlign w:val="center"/>
          </w:tcPr>
          <w:p w14:paraId="1E031B43">
            <w:pPr>
              <w:spacing w:line="360" w:lineRule="auto"/>
              <w:outlineLvl w:val="9"/>
              <w:rPr>
                <w:rFonts w:ascii="宋体" w:hAnsi="宋体" w:eastAsia="宋体" w:cs="宋体"/>
                <w:color w:val="auto"/>
                <w:szCs w:val="21"/>
                <w:highlight w:val="none"/>
              </w:rPr>
            </w:pPr>
          </w:p>
        </w:tc>
        <w:tc>
          <w:tcPr>
            <w:tcW w:w="2037" w:type="dxa"/>
            <w:gridSpan w:val="2"/>
            <w:tcBorders>
              <w:top w:val="single" w:color="auto" w:sz="4" w:space="0"/>
              <w:left w:val="nil"/>
              <w:bottom w:val="single" w:color="auto" w:sz="4" w:space="0"/>
              <w:right w:val="single" w:color="auto" w:sz="4" w:space="0"/>
            </w:tcBorders>
            <w:noWrap w:val="0"/>
            <w:vAlign w:val="center"/>
          </w:tcPr>
          <w:p w14:paraId="3EB5265F">
            <w:pPr>
              <w:spacing w:line="360" w:lineRule="auto"/>
              <w:outlineLvl w:val="9"/>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服务</w:t>
            </w:r>
            <w:r>
              <w:rPr>
                <w:rFonts w:hint="eastAsia" w:ascii="宋体" w:hAnsi="宋体" w:cs="宋体"/>
                <w:color w:val="auto"/>
                <w:szCs w:val="21"/>
                <w:highlight w:val="none"/>
                <w:lang w:val="en-US" w:eastAsia="zh-CN"/>
              </w:rPr>
              <w:t>标准</w:t>
            </w:r>
          </w:p>
        </w:tc>
        <w:tc>
          <w:tcPr>
            <w:tcW w:w="5611" w:type="dxa"/>
            <w:tcBorders>
              <w:top w:val="single" w:color="auto" w:sz="4" w:space="0"/>
              <w:left w:val="nil"/>
              <w:bottom w:val="single" w:color="auto" w:sz="4" w:space="0"/>
              <w:right w:val="single" w:color="auto" w:sz="4" w:space="0"/>
            </w:tcBorders>
            <w:noWrap w:val="0"/>
            <w:vAlign w:val="center"/>
          </w:tcPr>
          <w:p w14:paraId="7E7CEB68">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符合第二章“供应商须知前附表”规定</w:t>
            </w:r>
          </w:p>
        </w:tc>
      </w:tr>
      <w:tr w14:paraId="713EC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438" w:hRule="atLeast"/>
          <w:jc w:val="center"/>
        </w:trPr>
        <w:tc>
          <w:tcPr>
            <w:tcW w:w="958" w:type="dxa"/>
            <w:vMerge w:val="continue"/>
            <w:tcBorders>
              <w:left w:val="single" w:color="auto" w:sz="4" w:space="0"/>
              <w:right w:val="single" w:color="auto" w:sz="4" w:space="0"/>
            </w:tcBorders>
            <w:noWrap w:val="0"/>
            <w:vAlign w:val="center"/>
          </w:tcPr>
          <w:p w14:paraId="05EBB4A2">
            <w:pPr>
              <w:spacing w:line="360" w:lineRule="auto"/>
              <w:outlineLvl w:val="9"/>
              <w:rPr>
                <w:rFonts w:ascii="宋体" w:hAnsi="宋体" w:eastAsia="宋体" w:cs="宋体"/>
                <w:color w:val="auto"/>
                <w:szCs w:val="21"/>
                <w:highlight w:val="none"/>
              </w:rPr>
            </w:pPr>
          </w:p>
        </w:tc>
        <w:tc>
          <w:tcPr>
            <w:tcW w:w="1132" w:type="dxa"/>
            <w:gridSpan w:val="2"/>
            <w:vMerge w:val="continue"/>
            <w:tcBorders>
              <w:left w:val="nil"/>
              <w:right w:val="single" w:color="auto" w:sz="4" w:space="0"/>
            </w:tcBorders>
            <w:noWrap w:val="0"/>
            <w:vAlign w:val="center"/>
          </w:tcPr>
          <w:p w14:paraId="22D7E46A">
            <w:pPr>
              <w:spacing w:line="360" w:lineRule="auto"/>
              <w:outlineLvl w:val="9"/>
              <w:rPr>
                <w:rFonts w:ascii="宋体" w:hAnsi="宋体" w:eastAsia="宋体" w:cs="宋体"/>
                <w:color w:val="auto"/>
                <w:szCs w:val="21"/>
                <w:highlight w:val="none"/>
              </w:rPr>
            </w:pPr>
          </w:p>
        </w:tc>
        <w:tc>
          <w:tcPr>
            <w:tcW w:w="2037" w:type="dxa"/>
            <w:gridSpan w:val="2"/>
            <w:tcBorders>
              <w:top w:val="single" w:color="auto" w:sz="4" w:space="0"/>
              <w:left w:val="nil"/>
              <w:bottom w:val="single" w:color="auto" w:sz="4" w:space="0"/>
              <w:right w:val="single" w:color="auto" w:sz="4" w:space="0"/>
            </w:tcBorders>
            <w:noWrap w:val="0"/>
            <w:vAlign w:val="center"/>
          </w:tcPr>
          <w:p w14:paraId="015824FA">
            <w:pPr>
              <w:spacing w:line="360" w:lineRule="auto"/>
              <w:outlineLvl w:val="9"/>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服务要求</w:t>
            </w:r>
          </w:p>
        </w:tc>
        <w:tc>
          <w:tcPr>
            <w:tcW w:w="5611" w:type="dxa"/>
            <w:tcBorders>
              <w:top w:val="single" w:color="auto" w:sz="4" w:space="0"/>
              <w:left w:val="nil"/>
              <w:bottom w:val="single" w:color="auto" w:sz="4" w:space="0"/>
              <w:right w:val="single" w:color="auto" w:sz="4" w:space="0"/>
            </w:tcBorders>
            <w:noWrap w:val="0"/>
            <w:vAlign w:val="center"/>
          </w:tcPr>
          <w:p w14:paraId="3EF690F9">
            <w:pPr>
              <w:spacing w:line="360" w:lineRule="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符合</w:t>
            </w:r>
            <w:r>
              <w:rPr>
                <w:rFonts w:hint="eastAsia" w:ascii="宋体" w:hAnsi="宋体" w:eastAsia="宋体" w:cs="宋体"/>
                <w:color w:val="auto"/>
                <w:szCs w:val="21"/>
                <w:highlight w:val="none"/>
              </w:rPr>
              <w:t>第五章“服务要求”</w:t>
            </w:r>
            <w:r>
              <w:rPr>
                <w:rFonts w:hint="eastAsia" w:ascii="宋体" w:hAnsi="宋体" w:eastAsia="宋体" w:cs="宋体"/>
                <w:color w:val="auto"/>
                <w:szCs w:val="21"/>
                <w:highlight w:val="none"/>
                <w:lang w:val="en-US" w:eastAsia="zh-CN"/>
              </w:rPr>
              <w:t>要求</w:t>
            </w:r>
          </w:p>
        </w:tc>
      </w:tr>
      <w:tr w14:paraId="05A99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598" w:hRule="atLeast"/>
          <w:jc w:val="center"/>
        </w:trPr>
        <w:tc>
          <w:tcPr>
            <w:tcW w:w="958" w:type="dxa"/>
            <w:vMerge w:val="continue"/>
            <w:tcBorders>
              <w:left w:val="single" w:color="auto" w:sz="4" w:space="0"/>
              <w:right w:val="single" w:color="auto" w:sz="4" w:space="0"/>
            </w:tcBorders>
            <w:noWrap w:val="0"/>
            <w:vAlign w:val="center"/>
          </w:tcPr>
          <w:p w14:paraId="1C1D34B9">
            <w:pPr>
              <w:spacing w:line="360" w:lineRule="auto"/>
              <w:outlineLvl w:val="9"/>
              <w:rPr>
                <w:rFonts w:ascii="宋体" w:hAnsi="宋体" w:eastAsia="宋体" w:cs="宋体"/>
                <w:color w:val="auto"/>
                <w:szCs w:val="21"/>
                <w:highlight w:val="none"/>
              </w:rPr>
            </w:pPr>
          </w:p>
        </w:tc>
        <w:tc>
          <w:tcPr>
            <w:tcW w:w="1132" w:type="dxa"/>
            <w:gridSpan w:val="2"/>
            <w:vMerge w:val="continue"/>
            <w:tcBorders>
              <w:left w:val="nil"/>
              <w:right w:val="single" w:color="auto" w:sz="4" w:space="0"/>
            </w:tcBorders>
            <w:noWrap w:val="0"/>
            <w:vAlign w:val="center"/>
          </w:tcPr>
          <w:p w14:paraId="4A5FC144">
            <w:pPr>
              <w:spacing w:line="360" w:lineRule="auto"/>
              <w:outlineLvl w:val="9"/>
              <w:rPr>
                <w:rFonts w:ascii="宋体" w:hAnsi="宋体" w:eastAsia="宋体" w:cs="宋体"/>
                <w:color w:val="auto"/>
                <w:szCs w:val="21"/>
                <w:highlight w:val="none"/>
              </w:rPr>
            </w:pPr>
          </w:p>
        </w:tc>
        <w:tc>
          <w:tcPr>
            <w:tcW w:w="2037" w:type="dxa"/>
            <w:gridSpan w:val="2"/>
            <w:tcBorders>
              <w:top w:val="single" w:color="auto" w:sz="4" w:space="0"/>
              <w:left w:val="nil"/>
              <w:bottom w:val="single" w:color="auto" w:sz="4" w:space="0"/>
              <w:right w:val="single" w:color="auto" w:sz="4" w:space="0"/>
            </w:tcBorders>
            <w:noWrap w:val="0"/>
            <w:vAlign w:val="center"/>
          </w:tcPr>
          <w:p w14:paraId="5FF72028">
            <w:pPr>
              <w:spacing w:line="360" w:lineRule="auto"/>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投标有效期</w:t>
            </w:r>
          </w:p>
        </w:tc>
        <w:tc>
          <w:tcPr>
            <w:tcW w:w="5611" w:type="dxa"/>
            <w:tcBorders>
              <w:top w:val="single" w:color="auto" w:sz="4" w:space="0"/>
              <w:left w:val="nil"/>
              <w:bottom w:val="single" w:color="auto" w:sz="4" w:space="0"/>
              <w:right w:val="single" w:color="auto" w:sz="4" w:space="0"/>
            </w:tcBorders>
            <w:noWrap w:val="0"/>
            <w:vAlign w:val="center"/>
          </w:tcPr>
          <w:p w14:paraId="579F754E">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符合第二章“供应商须知前附表”规定</w:t>
            </w:r>
          </w:p>
        </w:tc>
      </w:tr>
      <w:tr w14:paraId="22A14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707" w:hRule="atLeast"/>
          <w:jc w:val="center"/>
        </w:trPr>
        <w:tc>
          <w:tcPr>
            <w:tcW w:w="958" w:type="dxa"/>
            <w:vMerge w:val="continue"/>
            <w:tcBorders>
              <w:left w:val="single" w:color="auto" w:sz="4" w:space="0"/>
              <w:right w:val="single" w:color="auto" w:sz="4" w:space="0"/>
            </w:tcBorders>
            <w:noWrap w:val="0"/>
            <w:vAlign w:val="center"/>
          </w:tcPr>
          <w:p w14:paraId="77123A9D">
            <w:pPr>
              <w:spacing w:line="360" w:lineRule="auto"/>
              <w:outlineLvl w:val="9"/>
              <w:rPr>
                <w:rFonts w:ascii="宋体" w:hAnsi="宋体" w:eastAsia="宋体" w:cs="宋体"/>
                <w:color w:val="auto"/>
                <w:szCs w:val="21"/>
                <w:highlight w:val="none"/>
              </w:rPr>
            </w:pPr>
          </w:p>
        </w:tc>
        <w:tc>
          <w:tcPr>
            <w:tcW w:w="1132" w:type="dxa"/>
            <w:gridSpan w:val="2"/>
            <w:vMerge w:val="continue"/>
            <w:tcBorders>
              <w:left w:val="nil"/>
              <w:right w:val="single" w:color="auto" w:sz="4" w:space="0"/>
            </w:tcBorders>
            <w:noWrap w:val="0"/>
            <w:vAlign w:val="center"/>
          </w:tcPr>
          <w:p w14:paraId="354BE82E">
            <w:pPr>
              <w:spacing w:line="360" w:lineRule="auto"/>
              <w:outlineLvl w:val="9"/>
              <w:rPr>
                <w:rFonts w:ascii="宋体" w:hAnsi="宋体" w:eastAsia="宋体" w:cs="宋体"/>
                <w:color w:val="auto"/>
                <w:szCs w:val="21"/>
                <w:highlight w:val="none"/>
              </w:rPr>
            </w:pPr>
          </w:p>
        </w:tc>
        <w:tc>
          <w:tcPr>
            <w:tcW w:w="2037" w:type="dxa"/>
            <w:gridSpan w:val="2"/>
            <w:tcBorders>
              <w:top w:val="single" w:color="auto" w:sz="4" w:space="0"/>
              <w:left w:val="nil"/>
              <w:bottom w:val="single" w:color="auto" w:sz="4" w:space="0"/>
              <w:right w:val="single" w:color="auto" w:sz="4" w:space="0"/>
            </w:tcBorders>
            <w:noWrap w:val="0"/>
            <w:vAlign w:val="center"/>
          </w:tcPr>
          <w:p w14:paraId="572C6F7B">
            <w:pPr>
              <w:spacing w:line="360" w:lineRule="auto"/>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最高投标限价</w:t>
            </w:r>
          </w:p>
        </w:tc>
        <w:tc>
          <w:tcPr>
            <w:tcW w:w="5611" w:type="dxa"/>
            <w:tcBorders>
              <w:top w:val="single" w:color="auto" w:sz="4" w:space="0"/>
              <w:left w:val="nil"/>
              <w:bottom w:val="single" w:color="auto" w:sz="4" w:space="0"/>
              <w:right w:val="single" w:color="auto" w:sz="4" w:space="0"/>
            </w:tcBorders>
            <w:noWrap w:val="0"/>
            <w:vAlign w:val="center"/>
          </w:tcPr>
          <w:p w14:paraId="7838DCEE">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响应文件投标价格不高于采购人最高投标限价</w:t>
            </w:r>
          </w:p>
        </w:tc>
      </w:tr>
      <w:tr w14:paraId="205B9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707" w:hRule="atLeast"/>
          <w:jc w:val="center"/>
        </w:trPr>
        <w:tc>
          <w:tcPr>
            <w:tcW w:w="958" w:type="dxa"/>
            <w:vMerge w:val="continue"/>
            <w:tcBorders>
              <w:left w:val="single" w:color="auto" w:sz="4" w:space="0"/>
              <w:bottom w:val="single" w:color="auto" w:sz="4" w:space="0"/>
              <w:right w:val="single" w:color="auto" w:sz="4" w:space="0"/>
            </w:tcBorders>
            <w:noWrap w:val="0"/>
            <w:vAlign w:val="center"/>
          </w:tcPr>
          <w:p w14:paraId="56BA0F34">
            <w:pPr>
              <w:spacing w:line="360" w:lineRule="auto"/>
              <w:outlineLvl w:val="9"/>
              <w:rPr>
                <w:rFonts w:ascii="宋体" w:hAnsi="宋体" w:eastAsia="宋体" w:cs="宋体"/>
                <w:color w:val="auto"/>
                <w:szCs w:val="21"/>
                <w:highlight w:val="none"/>
              </w:rPr>
            </w:pPr>
          </w:p>
        </w:tc>
        <w:tc>
          <w:tcPr>
            <w:tcW w:w="1132" w:type="dxa"/>
            <w:gridSpan w:val="2"/>
            <w:vMerge w:val="continue"/>
            <w:tcBorders>
              <w:left w:val="nil"/>
              <w:bottom w:val="single" w:color="auto" w:sz="4" w:space="0"/>
              <w:right w:val="single" w:color="auto" w:sz="4" w:space="0"/>
            </w:tcBorders>
            <w:noWrap w:val="0"/>
            <w:vAlign w:val="center"/>
          </w:tcPr>
          <w:p w14:paraId="38FD0978">
            <w:pPr>
              <w:spacing w:line="360" w:lineRule="auto"/>
              <w:outlineLvl w:val="9"/>
              <w:rPr>
                <w:rFonts w:ascii="宋体" w:hAnsi="宋体" w:eastAsia="宋体" w:cs="宋体"/>
                <w:color w:val="auto"/>
                <w:szCs w:val="21"/>
                <w:highlight w:val="none"/>
              </w:rPr>
            </w:pPr>
          </w:p>
        </w:tc>
        <w:tc>
          <w:tcPr>
            <w:tcW w:w="2037" w:type="dxa"/>
            <w:gridSpan w:val="2"/>
            <w:tcBorders>
              <w:top w:val="single" w:color="auto" w:sz="4" w:space="0"/>
              <w:left w:val="nil"/>
              <w:bottom w:val="single" w:color="auto" w:sz="4" w:space="0"/>
              <w:right w:val="single" w:color="auto" w:sz="4" w:space="0"/>
            </w:tcBorders>
            <w:noWrap w:val="0"/>
            <w:vAlign w:val="center"/>
          </w:tcPr>
          <w:p w14:paraId="62FDBBA9">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出现下列情况将会导致响应文件无效</w:t>
            </w:r>
          </w:p>
        </w:tc>
        <w:tc>
          <w:tcPr>
            <w:tcW w:w="5611" w:type="dxa"/>
            <w:tcBorders>
              <w:top w:val="single" w:color="auto" w:sz="4" w:space="0"/>
              <w:left w:val="nil"/>
              <w:bottom w:val="single" w:color="auto" w:sz="4" w:space="0"/>
              <w:right w:val="single" w:color="auto" w:sz="4" w:space="0"/>
            </w:tcBorders>
            <w:noWrap w:val="0"/>
            <w:vAlign w:val="center"/>
          </w:tcPr>
          <w:p w14:paraId="625DC254">
            <w:pPr>
              <w:spacing w:line="360" w:lineRule="auto"/>
              <w:outlineLvl w:val="9"/>
              <w:rPr>
                <w:rFonts w:hint="eastAsia" w:ascii="宋体" w:hAnsi="宋体" w:eastAsia="宋体" w:cs="宋体"/>
                <w:color w:val="auto"/>
                <w:szCs w:val="21"/>
              </w:rPr>
            </w:pPr>
            <w:r>
              <w:rPr>
                <w:rFonts w:hint="eastAsia" w:ascii="宋体" w:hAnsi="宋体" w:eastAsia="宋体" w:cs="宋体"/>
                <w:color w:val="auto"/>
                <w:szCs w:val="21"/>
                <w:lang w:val="en-US" w:eastAsia="zh-CN"/>
              </w:rPr>
              <w:t>1.</w:t>
            </w:r>
            <w:r>
              <w:rPr>
                <w:rFonts w:hint="eastAsia" w:ascii="宋体" w:hAnsi="宋体" w:eastAsia="宋体" w:cs="宋体"/>
                <w:color w:val="auto"/>
                <w:szCs w:val="21"/>
              </w:rPr>
              <w:t>供应商代表未能出具有效身份证明，或与身份不符的</w:t>
            </w:r>
          </w:p>
          <w:p w14:paraId="2E23BDC8">
            <w:pPr>
              <w:spacing w:line="360" w:lineRule="auto"/>
              <w:outlineLvl w:val="9"/>
              <w:rPr>
                <w:rFonts w:hint="eastAsia" w:ascii="宋体" w:hAnsi="宋体" w:eastAsia="宋体" w:cs="宋体"/>
                <w:color w:val="auto"/>
                <w:szCs w:val="21"/>
              </w:rPr>
            </w:pPr>
            <w:r>
              <w:rPr>
                <w:rFonts w:hint="eastAsia" w:ascii="宋体" w:hAnsi="宋体" w:eastAsia="宋体" w:cs="宋体"/>
                <w:color w:val="auto"/>
                <w:szCs w:val="21"/>
                <w:lang w:val="en-US" w:eastAsia="zh-CN"/>
              </w:rPr>
              <w:t>2.</w:t>
            </w:r>
            <w:r>
              <w:rPr>
                <w:rFonts w:hint="eastAsia" w:ascii="宋体" w:hAnsi="宋体" w:eastAsia="宋体" w:cs="宋体"/>
                <w:color w:val="auto"/>
                <w:szCs w:val="21"/>
              </w:rPr>
              <w:t xml:space="preserve">在一份投标文件中报有两个（含两个）以上报价的。 </w:t>
            </w:r>
          </w:p>
          <w:p w14:paraId="5810A755">
            <w:pPr>
              <w:spacing w:line="360" w:lineRule="auto"/>
              <w:outlineLvl w:val="9"/>
              <w:rPr>
                <w:rFonts w:hint="eastAsia" w:ascii="宋体" w:hAnsi="宋体" w:eastAsia="宋体" w:cs="宋体"/>
                <w:color w:val="auto"/>
                <w:szCs w:val="21"/>
              </w:rPr>
            </w:pPr>
            <w:r>
              <w:rPr>
                <w:rFonts w:hint="eastAsia" w:ascii="宋体" w:hAnsi="宋体" w:eastAsia="宋体" w:cs="宋体"/>
                <w:color w:val="auto"/>
                <w:szCs w:val="21"/>
                <w:lang w:val="en-US" w:eastAsia="zh-CN"/>
              </w:rPr>
              <w:t>3.</w:t>
            </w:r>
            <w:r>
              <w:rPr>
                <w:rFonts w:hint="eastAsia" w:ascii="宋体" w:hAnsi="宋体" w:eastAsia="宋体" w:cs="宋体"/>
                <w:color w:val="auto"/>
                <w:szCs w:val="21"/>
              </w:rPr>
              <w:t>以他人名义投标、串通投标、弄虚作假的。</w:t>
            </w:r>
          </w:p>
          <w:p w14:paraId="5AE1C7B2">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lang w:val="en-US" w:eastAsia="zh-CN"/>
              </w:rPr>
              <w:t>4.</w:t>
            </w:r>
            <w:r>
              <w:rPr>
                <w:rFonts w:hint="eastAsia" w:ascii="宋体" w:hAnsi="宋体" w:eastAsia="宋体" w:cs="宋体"/>
                <w:color w:val="auto"/>
                <w:szCs w:val="21"/>
              </w:rPr>
              <w:t>其它实质性偏离或不响应</w:t>
            </w:r>
            <w:r>
              <w:rPr>
                <w:rFonts w:hint="eastAsia" w:ascii="宋体" w:hAnsi="宋体" w:eastAsia="宋体" w:cs="宋体"/>
                <w:color w:val="auto"/>
                <w:szCs w:val="21"/>
                <w:lang w:val="en-US" w:eastAsia="zh-CN"/>
              </w:rPr>
              <w:t>磋商</w:t>
            </w:r>
            <w:r>
              <w:rPr>
                <w:rFonts w:hint="eastAsia" w:ascii="宋体" w:hAnsi="宋体" w:eastAsia="宋体" w:cs="宋体"/>
                <w:color w:val="auto"/>
                <w:szCs w:val="21"/>
              </w:rPr>
              <w:t>文件、不符合法律法规的情况</w:t>
            </w:r>
            <w:r>
              <w:rPr>
                <w:rFonts w:hint="eastAsia" w:ascii="宋体" w:hAnsi="宋体"/>
                <w:color w:val="auto"/>
                <w:kern w:val="24"/>
                <w:sz w:val="24"/>
                <w:szCs w:val="24"/>
              </w:rPr>
              <w:t>。</w:t>
            </w:r>
          </w:p>
        </w:tc>
      </w:tr>
      <w:tr w14:paraId="251CB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3460" w:type="dxa"/>
            <w:gridSpan w:val="4"/>
            <w:noWrap w:val="0"/>
            <w:vAlign w:val="center"/>
          </w:tcPr>
          <w:p w14:paraId="239553C8">
            <w:pPr>
              <w:widowControl w:val="0"/>
              <w:autoSpaceDE w:val="0"/>
              <w:autoSpaceDN w:val="0"/>
              <w:adjustRightInd w:val="0"/>
              <w:spacing w:line="360" w:lineRule="auto"/>
              <w:jc w:val="center"/>
              <w:outlineLvl w:val="9"/>
              <w:rPr>
                <w:rFonts w:hint="eastAsia" w:ascii="宋体" w:hAnsi="宋体" w:eastAsia="宋体" w:cs="宋体"/>
                <w:b/>
                <w:color w:val="auto"/>
                <w:sz w:val="21"/>
                <w:szCs w:val="21"/>
                <w:highlight w:val="none"/>
                <w:lang w:val="en-US" w:eastAsia="zh-CN" w:bidi="ar-SA"/>
              </w:rPr>
            </w:pPr>
            <w:r>
              <w:rPr>
                <w:rFonts w:hint="eastAsia" w:ascii="宋体" w:hAnsi="宋体" w:eastAsia="宋体" w:cs="宋体"/>
                <w:b/>
                <w:color w:val="auto"/>
                <w:sz w:val="21"/>
                <w:szCs w:val="21"/>
                <w:highlight w:val="none"/>
                <w:lang w:val="en-US" w:eastAsia="zh-CN" w:bidi="ar-SA"/>
              </w:rPr>
              <w:t>分值构成（总分100分）</w:t>
            </w:r>
          </w:p>
        </w:tc>
        <w:tc>
          <w:tcPr>
            <w:tcW w:w="6294" w:type="dxa"/>
            <w:gridSpan w:val="3"/>
            <w:noWrap w:val="0"/>
            <w:vAlign w:val="center"/>
          </w:tcPr>
          <w:p w14:paraId="00FD54A7">
            <w:pPr>
              <w:widowControl w:val="0"/>
              <w:autoSpaceDE w:val="0"/>
              <w:autoSpaceDN w:val="0"/>
              <w:adjustRightInd w:val="0"/>
              <w:spacing w:line="360" w:lineRule="auto"/>
              <w:outlineLvl w:val="9"/>
              <w:rPr>
                <w:rFonts w:hint="eastAsia" w:ascii="宋体" w:hAnsi="宋体" w:eastAsia="宋体" w:cs="宋体"/>
                <w:b/>
                <w:color w:val="auto"/>
                <w:sz w:val="21"/>
                <w:szCs w:val="21"/>
                <w:highlight w:val="none"/>
                <w:lang w:val="en-US" w:eastAsia="zh-CN" w:bidi="ar-SA"/>
              </w:rPr>
            </w:pPr>
            <w:r>
              <w:rPr>
                <w:rFonts w:hint="eastAsia" w:ascii="宋体" w:hAnsi="宋体" w:eastAsia="宋体" w:cs="宋体"/>
                <w:b/>
                <w:color w:val="auto"/>
                <w:sz w:val="21"/>
                <w:szCs w:val="21"/>
                <w:highlight w:val="none"/>
                <w:lang w:val="en-US" w:eastAsia="zh-CN" w:bidi="ar-SA"/>
              </w:rPr>
              <w:t>报价得分：1</w:t>
            </w:r>
            <w:r>
              <w:rPr>
                <w:rFonts w:hint="eastAsia" w:ascii="宋体" w:hAnsi="宋体" w:cs="宋体"/>
                <w:b/>
                <w:color w:val="auto"/>
                <w:sz w:val="21"/>
                <w:szCs w:val="21"/>
                <w:highlight w:val="none"/>
                <w:lang w:val="en-US" w:eastAsia="zh-CN" w:bidi="ar-SA"/>
              </w:rPr>
              <w:t>0</w:t>
            </w:r>
            <w:r>
              <w:rPr>
                <w:rFonts w:hint="eastAsia" w:ascii="宋体" w:hAnsi="宋体" w:eastAsia="宋体" w:cs="宋体"/>
                <w:b/>
                <w:color w:val="auto"/>
                <w:sz w:val="21"/>
                <w:szCs w:val="21"/>
                <w:highlight w:val="none"/>
                <w:lang w:val="en-US" w:eastAsia="zh-CN" w:bidi="ar-SA"/>
              </w:rPr>
              <w:t>分，商务部分：</w:t>
            </w:r>
            <w:r>
              <w:rPr>
                <w:rFonts w:hint="eastAsia" w:ascii="宋体" w:hAnsi="宋体" w:cs="宋体"/>
                <w:b/>
                <w:color w:val="auto"/>
                <w:sz w:val="21"/>
                <w:szCs w:val="21"/>
                <w:highlight w:val="none"/>
                <w:lang w:val="en-US" w:eastAsia="zh-CN" w:bidi="ar-SA"/>
              </w:rPr>
              <w:t>18</w:t>
            </w:r>
            <w:r>
              <w:rPr>
                <w:rFonts w:hint="eastAsia" w:ascii="宋体" w:hAnsi="宋体" w:eastAsia="宋体" w:cs="宋体"/>
                <w:b/>
                <w:color w:val="auto"/>
                <w:sz w:val="21"/>
                <w:szCs w:val="21"/>
                <w:highlight w:val="none"/>
                <w:lang w:val="en-US" w:eastAsia="zh-CN" w:bidi="ar-SA"/>
              </w:rPr>
              <w:t>分，技术部分：</w:t>
            </w:r>
            <w:r>
              <w:rPr>
                <w:rFonts w:hint="eastAsia" w:ascii="宋体" w:hAnsi="宋体" w:cs="宋体"/>
                <w:b/>
                <w:color w:val="auto"/>
                <w:sz w:val="21"/>
                <w:szCs w:val="21"/>
                <w:highlight w:val="none"/>
                <w:lang w:val="en-US" w:eastAsia="zh-CN" w:bidi="ar-SA"/>
              </w:rPr>
              <w:t>72</w:t>
            </w:r>
            <w:r>
              <w:rPr>
                <w:rFonts w:hint="eastAsia" w:ascii="宋体" w:hAnsi="宋体" w:eastAsia="宋体" w:cs="宋体"/>
                <w:b/>
                <w:color w:val="auto"/>
                <w:sz w:val="21"/>
                <w:szCs w:val="21"/>
                <w:highlight w:val="none"/>
                <w:lang w:val="en-US" w:eastAsia="zh-CN" w:bidi="ar-SA"/>
              </w:rPr>
              <w:t>分</w:t>
            </w:r>
          </w:p>
        </w:tc>
      </w:tr>
      <w:tr w14:paraId="53A08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0" w:type="dxa"/>
            <w:gridSpan w:val="2"/>
            <w:noWrap w:val="0"/>
            <w:vAlign w:val="center"/>
          </w:tcPr>
          <w:p w14:paraId="706BACBF">
            <w:pPr>
              <w:widowControl w:val="0"/>
              <w:autoSpaceDE w:val="0"/>
              <w:autoSpaceDN w:val="0"/>
              <w:adjustRightInd w:val="0"/>
              <w:spacing w:line="360" w:lineRule="auto"/>
              <w:jc w:val="center"/>
              <w:outlineLvl w:val="9"/>
              <w:rPr>
                <w:rFonts w:hint="eastAsia" w:ascii="宋体" w:hAnsi="宋体" w:eastAsia="宋体" w:cs="宋体"/>
                <w:b/>
                <w:color w:val="auto"/>
                <w:sz w:val="21"/>
                <w:szCs w:val="21"/>
                <w:highlight w:val="none"/>
                <w:lang w:val="en-US" w:eastAsia="zh-CN" w:bidi="ar-SA"/>
              </w:rPr>
            </w:pPr>
            <w:r>
              <w:rPr>
                <w:rFonts w:hint="eastAsia" w:ascii="宋体" w:hAnsi="宋体" w:eastAsia="宋体" w:cs="宋体"/>
                <w:b/>
                <w:color w:val="auto"/>
                <w:sz w:val="21"/>
                <w:szCs w:val="21"/>
                <w:highlight w:val="none"/>
                <w:lang w:val="en-US" w:eastAsia="zh-CN" w:bidi="ar-SA"/>
              </w:rPr>
              <w:t>评分因素</w:t>
            </w:r>
          </w:p>
        </w:tc>
        <w:tc>
          <w:tcPr>
            <w:tcW w:w="2200" w:type="dxa"/>
            <w:gridSpan w:val="2"/>
            <w:noWrap w:val="0"/>
            <w:vAlign w:val="center"/>
          </w:tcPr>
          <w:p w14:paraId="661CF24B">
            <w:pPr>
              <w:widowControl w:val="0"/>
              <w:autoSpaceDE w:val="0"/>
              <w:autoSpaceDN w:val="0"/>
              <w:adjustRightInd w:val="0"/>
              <w:spacing w:line="360" w:lineRule="auto"/>
              <w:jc w:val="center"/>
              <w:outlineLvl w:val="9"/>
              <w:rPr>
                <w:rFonts w:hint="eastAsia" w:ascii="宋体" w:hAnsi="宋体" w:eastAsia="宋体" w:cs="宋体"/>
                <w:b/>
                <w:color w:val="auto"/>
                <w:sz w:val="21"/>
                <w:szCs w:val="21"/>
                <w:highlight w:val="none"/>
                <w:lang w:val="en-US" w:eastAsia="zh-CN" w:bidi="ar-SA"/>
              </w:rPr>
            </w:pPr>
            <w:r>
              <w:rPr>
                <w:rFonts w:hint="eastAsia" w:ascii="宋体" w:hAnsi="宋体" w:eastAsia="宋体" w:cs="宋体"/>
                <w:b/>
                <w:color w:val="auto"/>
                <w:sz w:val="21"/>
                <w:szCs w:val="21"/>
                <w:highlight w:val="none"/>
                <w:lang w:val="en-US" w:eastAsia="zh-CN" w:bidi="ar-SA"/>
              </w:rPr>
              <w:t>评分内容</w:t>
            </w:r>
          </w:p>
        </w:tc>
        <w:tc>
          <w:tcPr>
            <w:tcW w:w="6294" w:type="dxa"/>
            <w:gridSpan w:val="3"/>
            <w:noWrap w:val="0"/>
            <w:vAlign w:val="center"/>
          </w:tcPr>
          <w:p w14:paraId="725FB51D">
            <w:pPr>
              <w:widowControl w:val="0"/>
              <w:autoSpaceDE w:val="0"/>
              <w:autoSpaceDN w:val="0"/>
              <w:adjustRightInd w:val="0"/>
              <w:spacing w:line="360" w:lineRule="auto"/>
              <w:jc w:val="center"/>
              <w:outlineLvl w:val="9"/>
              <w:rPr>
                <w:rFonts w:hint="eastAsia" w:ascii="宋体" w:hAnsi="宋体" w:eastAsia="宋体" w:cs="宋体"/>
                <w:b/>
                <w:color w:val="auto"/>
                <w:sz w:val="21"/>
                <w:szCs w:val="21"/>
                <w:highlight w:val="none"/>
                <w:lang w:val="en-US" w:eastAsia="zh-CN" w:bidi="ar-SA"/>
              </w:rPr>
            </w:pPr>
            <w:r>
              <w:rPr>
                <w:rFonts w:hint="eastAsia" w:ascii="宋体" w:hAnsi="宋体" w:eastAsia="宋体" w:cs="宋体"/>
                <w:b/>
                <w:color w:val="auto"/>
                <w:sz w:val="21"/>
                <w:szCs w:val="21"/>
                <w:highlight w:val="none"/>
                <w:lang w:val="en-US" w:eastAsia="zh-CN" w:bidi="ar-SA"/>
              </w:rPr>
              <w:t>评分标准</w:t>
            </w:r>
          </w:p>
        </w:tc>
      </w:tr>
      <w:tr w14:paraId="16F59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0" w:type="dxa"/>
            <w:gridSpan w:val="2"/>
            <w:noWrap w:val="0"/>
            <w:vAlign w:val="center"/>
          </w:tcPr>
          <w:p w14:paraId="53E9E9F5">
            <w:pPr>
              <w:widowControl w:val="0"/>
              <w:tabs>
                <w:tab w:val="center" w:pos="4153"/>
                <w:tab w:val="right" w:pos="8306"/>
              </w:tabs>
              <w:snapToGrid w:val="0"/>
              <w:spacing w:line="360" w:lineRule="auto"/>
              <w:jc w:val="center"/>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报价部分（1</w:t>
            </w:r>
            <w:r>
              <w:rPr>
                <w:rFonts w:hint="eastAsia" w:ascii="宋体" w:hAnsi="宋体" w:cs="宋体"/>
                <w:color w:val="auto"/>
                <w:kern w:val="2"/>
                <w:sz w:val="21"/>
                <w:szCs w:val="21"/>
                <w:highlight w:val="none"/>
                <w:lang w:val="en-US" w:eastAsia="zh-CN" w:bidi="ar-SA"/>
              </w:rPr>
              <w:t>0</w:t>
            </w:r>
            <w:r>
              <w:rPr>
                <w:rFonts w:hint="eastAsia" w:ascii="宋体" w:hAnsi="宋体" w:eastAsia="宋体" w:cs="宋体"/>
                <w:color w:val="auto"/>
                <w:kern w:val="2"/>
                <w:sz w:val="21"/>
                <w:szCs w:val="21"/>
                <w:highlight w:val="none"/>
                <w:lang w:val="en-US" w:eastAsia="zh-CN" w:bidi="ar-SA"/>
              </w:rPr>
              <w:t>分）</w:t>
            </w:r>
          </w:p>
        </w:tc>
        <w:tc>
          <w:tcPr>
            <w:tcW w:w="2200" w:type="dxa"/>
            <w:gridSpan w:val="2"/>
            <w:noWrap w:val="0"/>
            <w:vAlign w:val="center"/>
          </w:tcPr>
          <w:p w14:paraId="01DFDF56">
            <w:pPr>
              <w:widowControl w:val="0"/>
              <w:autoSpaceDE w:val="0"/>
              <w:autoSpaceDN w:val="0"/>
              <w:adjustRightInd w:val="0"/>
              <w:spacing w:line="360" w:lineRule="auto"/>
              <w:jc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投标报价</w:t>
            </w:r>
          </w:p>
          <w:p w14:paraId="56884F11">
            <w:pPr>
              <w:widowControl w:val="0"/>
              <w:autoSpaceDE w:val="0"/>
              <w:autoSpaceDN w:val="0"/>
              <w:adjustRightInd w:val="0"/>
              <w:spacing w:line="360" w:lineRule="auto"/>
              <w:jc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w:t>
            </w:r>
            <w:r>
              <w:rPr>
                <w:rFonts w:hint="eastAsia" w:ascii="宋体" w:hAnsi="宋体" w:cs="宋体"/>
                <w:color w:val="auto"/>
                <w:sz w:val="21"/>
                <w:szCs w:val="21"/>
                <w:highlight w:val="none"/>
                <w:lang w:val="en-US" w:eastAsia="zh-CN" w:bidi="ar-SA"/>
              </w:rPr>
              <w:t>0</w:t>
            </w:r>
            <w:r>
              <w:rPr>
                <w:rFonts w:hint="eastAsia" w:ascii="宋体" w:hAnsi="宋体" w:eastAsia="宋体" w:cs="宋体"/>
                <w:color w:val="auto"/>
                <w:sz w:val="21"/>
                <w:szCs w:val="21"/>
                <w:highlight w:val="none"/>
                <w:lang w:val="en-US" w:eastAsia="zh-CN" w:bidi="ar-SA"/>
              </w:rPr>
              <w:t>分)</w:t>
            </w:r>
          </w:p>
        </w:tc>
        <w:tc>
          <w:tcPr>
            <w:tcW w:w="6294" w:type="dxa"/>
            <w:gridSpan w:val="3"/>
            <w:noWrap w:val="0"/>
            <w:vAlign w:val="center"/>
          </w:tcPr>
          <w:p w14:paraId="29CA1325">
            <w:p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投标报价得分统一采用低价优先法计算，即满足招标文件要求且投标价格最低的投标报价为评标基准价，其价格分为满分。其他供应商的价格分统一按照下列公式计算：</w:t>
            </w:r>
          </w:p>
          <w:p w14:paraId="4E99CB6A">
            <w:pPr>
              <w:spacing w:line="360" w:lineRule="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投标报价得分=（评标基准价/投标报价）×1</w:t>
            </w:r>
            <w:r>
              <w:rPr>
                <w:rFonts w:hint="eastAsia" w:ascii="宋体" w:hAnsi="宋体" w:cs="宋体"/>
                <w:color w:val="auto"/>
                <w:sz w:val="21"/>
                <w:szCs w:val="21"/>
                <w:highlight w:val="none"/>
                <w:lang w:val="en-US" w:eastAsia="zh-CN"/>
              </w:rPr>
              <w:t>0</w:t>
            </w:r>
          </w:p>
          <w:p w14:paraId="5410B230">
            <w:p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最终得分计算保留小数点两位。</w:t>
            </w:r>
          </w:p>
          <w:p w14:paraId="3069E92C">
            <w:pPr>
              <w:snapToGri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注：1、有效供应商是指实质上响应</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文件要求并通过实质性审核未被否决投标的所有供应商。</w:t>
            </w:r>
          </w:p>
          <w:p w14:paraId="3E08B3EC">
            <w:pPr>
              <w:snapToGrid w:val="0"/>
              <w:spacing w:line="360" w:lineRule="auto"/>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评标委员会认为供应商的报价明显低于其他通过符合性审查供应商的报价或成本价，有可能影响产品质量或者不能诚信履约的，应当要求其在评标现场合理的时间内提供书面说明，必要时提交相关证明材料；供应商不能证明其报价合理性的，评标委员会应当将其作为无效投标处理。</w:t>
            </w:r>
          </w:p>
        </w:tc>
      </w:tr>
      <w:tr w14:paraId="4249C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0" w:type="dxa"/>
            <w:gridSpan w:val="2"/>
            <w:vMerge w:val="restart"/>
            <w:noWrap w:val="0"/>
            <w:vAlign w:val="center"/>
          </w:tcPr>
          <w:p w14:paraId="3B9D78CE">
            <w:pPr>
              <w:widowControl w:val="0"/>
              <w:tabs>
                <w:tab w:val="center" w:pos="4153"/>
                <w:tab w:val="right" w:pos="8306"/>
              </w:tabs>
              <w:snapToGrid w:val="0"/>
              <w:spacing w:line="360" w:lineRule="auto"/>
              <w:jc w:val="center"/>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商务部分（</w:t>
            </w:r>
            <w:r>
              <w:rPr>
                <w:rFonts w:hint="eastAsia" w:ascii="宋体" w:hAnsi="宋体" w:cs="宋体"/>
                <w:color w:val="auto"/>
                <w:kern w:val="2"/>
                <w:sz w:val="21"/>
                <w:szCs w:val="21"/>
                <w:highlight w:val="none"/>
                <w:lang w:val="en-US" w:eastAsia="zh-CN" w:bidi="ar-SA"/>
              </w:rPr>
              <w:t>18</w:t>
            </w:r>
            <w:r>
              <w:rPr>
                <w:rFonts w:hint="eastAsia" w:ascii="宋体" w:hAnsi="宋体" w:eastAsia="宋体" w:cs="宋体"/>
                <w:color w:val="auto"/>
                <w:kern w:val="2"/>
                <w:sz w:val="21"/>
                <w:szCs w:val="21"/>
                <w:highlight w:val="none"/>
                <w:lang w:val="en-US" w:eastAsia="zh-CN" w:bidi="ar-SA"/>
              </w:rPr>
              <w:t>分)</w:t>
            </w:r>
          </w:p>
        </w:tc>
        <w:tc>
          <w:tcPr>
            <w:tcW w:w="2200" w:type="dxa"/>
            <w:gridSpan w:val="2"/>
            <w:noWrap w:val="0"/>
            <w:vAlign w:val="center"/>
          </w:tcPr>
          <w:p w14:paraId="06B1CE82">
            <w:pPr>
              <w:widowControl w:val="0"/>
              <w:tabs>
                <w:tab w:val="left" w:pos="854"/>
              </w:tabs>
              <w:autoSpaceDE w:val="0"/>
              <w:autoSpaceDN w:val="0"/>
              <w:adjustRightInd w:val="0"/>
              <w:spacing w:line="360" w:lineRule="auto"/>
              <w:jc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企业业绩</w:t>
            </w:r>
          </w:p>
          <w:p w14:paraId="455C1891">
            <w:pPr>
              <w:widowControl w:val="0"/>
              <w:tabs>
                <w:tab w:val="left" w:pos="854"/>
              </w:tabs>
              <w:autoSpaceDE w:val="0"/>
              <w:autoSpaceDN w:val="0"/>
              <w:adjustRightInd w:val="0"/>
              <w:spacing w:line="360" w:lineRule="auto"/>
              <w:jc w:val="center"/>
              <w:outlineLvl w:val="9"/>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w:t>
            </w:r>
            <w:r>
              <w:rPr>
                <w:rFonts w:hint="eastAsia" w:ascii="宋体" w:hAnsi="宋体" w:cs="宋体"/>
                <w:color w:val="auto"/>
                <w:sz w:val="21"/>
                <w:szCs w:val="21"/>
                <w:highlight w:val="none"/>
                <w:lang w:val="en-US" w:eastAsia="zh-CN" w:bidi="ar-SA"/>
              </w:rPr>
              <w:t>6</w:t>
            </w:r>
            <w:r>
              <w:rPr>
                <w:rFonts w:hint="eastAsia" w:ascii="宋体" w:hAnsi="宋体" w:eastAsia="宋体" w:cs="宋体"/>
                <w:color w:val="auto"/>
                <w:sz w:val="21"/>
                <w:szCs w:val="21"/>
                <w:highlight w:val="none"/>
                <w:lang w:val="en-US" w:eastAsia="zh-CN" w:bidi="ar-SA"/>
              </w:rPr>
              <w:t>分）</w:t>
            </w:r>
          </w:p>
        </w:tc>
        <w:tc>
          <w:tcPr>
            <w:tcW w:w="6294" w:type="dxa"/>
            <w:gridSpan w:val="3"/>
            <w:noWrap w:val="0"/>
            <w:vAlign w:val="center"/>
          </w:tcPr>
          <w:p w14:paraId="0BF46A92">
            <w:pPr>
              <w:spacing w:line="360" w:lineRule="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提供自202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年1月1日以来（以合同签订时间为准），承担的类似项目业绩，每有一份得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分，最高得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分。</w:t>
            </w:r>
          </w:p>
          <w:p w14:paraId="74A05015">
            <w:pPr>
              <w:spacing w:line="360" w:lineRule="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注：提供业绩合同，日期以合同签订日期为准，投标文件中附扫描件。</w:t>
            </w:r>
          </w:p>
        </w:tc>
      </w:tr>
      <w:tr w14:paraId="43852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0" w:type="dxa"/>
            <w:gridSpan w:val="2"/>
            <w:vMerge w:val="continue"/>
            <w:noWrap w:val="0"/>
            <w:vAlign w:val="center"/>
          </w:tcPr>
          <w:p w14:paraId="52CBED47">
            <w:pPr>
              <w:widowControl w:val="0"/>
              <w:tabs>
                <w:tab w:val="center" w:pos="4153"/>
                <w:tab w:val="right" w:pos="8306"/>
              </w:tabs>
              <w:snapToGrid w:val="0"/>
              <w:spacing w:line="360" w:lineRule="auto"/>
              <w:jc w:val="center"/>
              <w:outlineLvl w:val="9"/>
              <w:rPr>
                <w:rFonts w:hint="eastAsia" w:ascii="宋体" w:hAnsi="宋体" w:eastAsia="宋体" w:cs="宋体"/>
                <w:color w:val="auto"/>
                <w:kern w:val="2"/>
                <w:sz w:val="21"/>
                <w:szCs w:val="21"/>
                <w:highlight w:val="none"/>
                <w:lang w:val="en-US" w:eastAsia="zh-CN" w:bidi="ar-SA"/>
              </w:rPr>
            </w:pPr>
          </w:p>
        </w:tc>
        <w:tc>
          <w:tcPr>
            <w:tcW w:w="2200" w:type="dxa"/>
            <w:gridSpan w:val="2"/>
            <w:noWrap w:val="0"/>
            <w:vAlign w:val="center"/>
          </w:tcPr>
          <w:p w14:paraId="71BDFC8A">
            <w:pPr>
              <w:widowControl w:val="0"/>
              <w:tabs>
                <w:tab w:val="left" w:pos="854"/>
              </w:tabs>
              <w:autoSpaceDE w:val="0"/>
              <w:autoSpaceDN w:val="0"/>
              <w:adjustRightInd w:val="0"/>
              <w:spacing w:line="360" w:lineRule="auto"/>
              <w:jc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人员配备</w:t>
            </w:r>
          </w:p>
          <w:p w14:paraId="7ECFE29A">
            <w:pPr>
              <w:widowControl w:val="0"/>
              <w:tabs>
                <w:tab w:val="left" w:pos="854"/>
              </w:tabs>
              <w:autoSpaceDE w:val="0"/>
              <w:autoSpaceDN w:val="0"/>
              <w:adjustRightInd w:val="0"/>
              <w:spacing w:line="360" w:lineRule="auto"/>
              <w:jc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w:t>
            </w:r>
            <w:r>
              <w:rPr>
                <w:rFonts w:hint="eastAsia" w:ascii="宋体" w:hAnsi="宋体" w:cs="宋体"/>
                <w:color w:val="auto"/>
                <w:sz w:val="21"/>
                <w:szCs w:val="21"/>
                <w:highlight w:val="none"/>
                <w:lang w:val="en-US" w:eastAsia="zh-CN" w:bidi="ar-SA"/>
              </w:rPr>
              <w:t>12</w:t>
            </w:r>
            <w:r>
              <w:rPr>
                <w:rFonts w:hint="eastAsia" w:ascii="宋体" w:hAnsi="宋体" w:eastAsia="宋体" w:cs="宋体"/>
                <w:color w:val="auto"/>
                <w:sz w:val="21"/>
                <w:szCs w:val="21"/>
                <w:highlight w:val="none"/>
                <w:lang w:val="en-US" w:eastAsia="zh-CN" w:bidi="ar-SA"/>
              </w:rPr>
              <w:t>分）</w:t>
            </w:r>
          </w:p>
        </w:tc>
        <w:tc>
          <w:tcPr>
            <w:tcW w:w="6294" w:type="dxa"/>
            <w:gridSpan w:val="3"/>
            <w:noWrap w:val="0"/>
            <w:vAlign w:val="center"/>
          </w:tcPr>
          <w:p w14:paraId="15B0D0AE">
            <w:pPr>
              <w:spacing w:line="360" w:lineRule="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供应商拟派项目负责人①</w:t>
            </w:r>
            <w:r>
              <w:rPr>
                <w:rFonts w:hint="eastAsia" w:ascii="宋体" w:hAnsi="宋体" w:cs="宋体"/>
                <w:color w:val="auto"/>
                <w:sz w:val="21"/>
                <w:szCs w:val="21"/>
                <w:highlight w:val="none"/>
                <w:lang w:val="en-US" w:eastAsia="zh-CN"/>
              </w:rPr>
              <w:t>大专及以上</w:t>
            </w:r>
            <w:r>
              <w:rPr>
                <w:rFonts w:hint="eastAsia" w:ascii="宋体" w:hAnsi="宋体" w:eastAsia="宋体" w:cs="宋体"/>
                <w:color w:val="auto"/>
                <w:sz w:val="21"/>
                <w:szCs w:val="21"/>
                <w:highlight w:val="none"/>
                <w:lang w:val="en-US" w:eastAsia="zh-CN"/>
              </w:rPr>
              <w:t>学历；②具有中级（四级）以上消防设施操作员证书；</w:t>
            </w:r>
            <w:r>
              <w:rPr>
                <w:rFonts w:hint="default" w:ascii="宋体" w:hAnsi="宋体" w:eastAsia="宋体" w:cs="宋体"/>
                <w:color w:val="auto"/>
                <w:sz w:val="21"/>
                <w:szCs w:val="21"/>
                <w:highlight w:val="none"/>
                <w:lang w:val="en-US" w:eastAsia="zh-CN"/>
              </w:rPr>
              <w:t>③</w:t>
            </w:r>
            <w:r>
              <w:rPr>
                <w:rFonts w:hint="eastAsia" w:ascii="宋体" w:hAnsi="宋体" w:eastAsia="宋体" w:cs="宋体"/>
                <w:color w:val="auto"/>
                <w:sz w:val="21"/>
                <w:szCs w:val="21"/>
                <w:highlight w:val="none"/>
                <w:lang w:val="en-US" w:eastAsia="zh-CN"/>
              </w:rPr>
              <w:t>复转军人；每具备一项得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分，最高得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w:t>
            </w:r>
          </w:p>
          <w:p w14:paraId="27852B8E">
            <w:pPr>
              <w:spacing w:line="360" w:lineRule="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（2）供应商针对本项目配备人员中</w:t>
            </w:r>
            <w:r>
              <w:rPr>
                <w:rFonts w:hint="eastAsia" w:ascii="宋体" w:hAnsi="宋体" w:eastAsia="宋体" w:cs="宋体"/>
                <w:color w:val="auto"/>
                <w:sz w:val="21"/>
                <w:szCs w:val="21"/>
                <w:highlight w:val="none"/>
                <w:lang w:val="en-US" w:eastAsia="zh-CN"/>
              </w:rPr>
              <w:t>（除项目负责人外）</w:t>
            </w:r>
            <w:r>
              <w:rPr>
                <w:rFonts w:hint="eastAsia" w:ascii="宋体" w:hAnsi="宋体" w:eastAsia="宋体" w:cs="宋体"/>
                <w:color w:val="auto"/>
                <w:sz w:val="21"/>
                <w:szCs w:val="21"/>
                <w:highlight w:val="none"/>
                <w:lang w:eastAsia="zh-CN"/>
              </w:rPr>
              <w:t>每配备有1名具有消防证的人员得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分，本项最高得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分。</w:t>
            </w:r>
          </w:p>
          <w:p w14:paraId="4B921767">
            <w:pPr>
              <w:spacing w:line="360" w:lineRule="auto"/>
              <w:outlineLvl w:val="9"/>
              <w:rPr>
                <w:rFonts w:hint="eastAsia"/>
                <w:color w:val="auto"/>
              </w:rPr>
            </w:pPr>
            <w:r>
              <w:rPr>
                <w:rFonts w:hint="eastAsia" w:ascii="宋体" w:hAnsi="宋体" w:eastAsia="宋体" w:cs="宋体"/>
                <w:color w:val="auto"/>
                <w:sz w:val="21"/>
                <w:szCs w:val="21"/>
                <w:highlight w:val="none"/>
                <w:lang w:val="en-US" w:eastAsia="zh-CN"/>
              </w:rPr>
              <w:t>注：</w:t>
            </w:r>
            <w:r>
              <w:rPr>
                <w:rFonts w:hint="eastAsia" w:ascii="宋体" w:hAnsi="宋体" w:eastAsia="宋体" w:cs="宋体"/>
                <w:color w:val="auto"/>
                <w:sz w:val="21"/>
                <w:szCs w:val="21"/>
                <w:highlight w:val="none"/>
                <w:lang w:eastAsia="zh-CN"/>
              </w:rPr>
              <w:t>以上所配备人员需同时提供相关证书、供应商为其缴纳2025年</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月以来任意</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lang w:eastAsia="zh-CN"/>
              </w:rPr>
              <w:t>个月的养老保险证明。</w:t>
            </w:r>
          </w:p>
        </w:tc>
      </w:tr>
      <w:tr w14:paraId="46E22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0" w:type="dxa"/>
            <w:gridSpan w:val="2"/>
            <w:vMerge w:val="restart"/>
            <w:noWrap w:val="0"/>
            <w:vAlign w:val="center"/>
          </w:tcPr>
          <w:p w14:paraId="7CB61028">
            <w:pPr>
              <w:widowControl w:val="0"/>
              <w:tabs>
                <w:tab w:val="center" w:pos="4153"/>
                <w:tab w:val="right" w:pos="8306"/>
              </w:tabs>
              <w:snapToGrid w:val="0"/>
              <w:spacing w:line="360" w:lineRule="auto"/>
              <w:jc w:val="center"/>
              <w:outlineLvl w:val="9"/>
              <w:rPr>
                <w:rFonts w:hint="eastAsia" w:ascii="宋体" w:hAnsi="宋体" w:eastAsia="宋体" w:cs="宋体"/>
                <w:color w:val="auto"/>
                <w:kern w:val="2"/>
                <w:sz w:val="21"/>
                <w:szCs w:val="21"/>
                <w:highlight w:val="none"/>
                <w:lang w:val="en-US" w:eastAsia="zh-CN" w:bidi="ar-SA"/>
              </w:rPr>
            </w:pPr>
            <w:bookmarkStart w:id="64" w:name="_Toc393959557"/>
            <w:bookmarkEnd w:id="64"/>
            <w:bookmarkStart w:id="65" w:name="_Toc393959555"/>
            <w:bookmarkEnd w:id="65"/>
            <w:r>
              <w:rPr>
                <w:rFonts w:hint="eastAsia" w:ascii="宋体" w:hAnsi="宋体" w:eastAsia="宋体" w:cs="宋体"/>
                <w:color w:val="auto"/>
                <w:kern w:val="2"/>
                <w:sz w:val="21"/>
                <w:szCs w:val="21"/>
                <w:highlight w:val="none"/>
                <w:lang w:val="en-US" w:eastAsia="zh-CN" w:bidi="ar-SA"/>
              </w:rPr>
              <w:t>技术部分（</w:t>
            </w:r>
            <w:r>
              <w:rPr>
                <w:rFonts w:hint="eastAsia" w:ascii="宋体" w:hAnsi="宋体" w:cs="宋体"/>
                <w:color w:val="auto"/>
                <w:kern w:val="2"/>
                <w:sz w:val="21"/>
                <w:szCs w:val="21"/>
                <w:highlight w:val="none"/>
                <w:lang w:val="en-US" w:eastAsia="zh-CN" w:bidi="ar-SA"/>
              </w:rPr>
              <w:t>72</w:t>
            </w:r>
            <w:r>
              <w:rPr>
                <w:rFonts w:hint="eastAsia" w:ascii="宋体" w:hAnsi="宋体" w:eastAsia="宋体" w:cs="宋体"/>
                <w:color w:val="auto"/>
                <w:kern w:val="2"/>
                <w:sz w:val="21"/>
                <w:szCs w:val="21"/>
                <w:highlight w:val="none"/>
                <w:lang w:val="en-US" w:eastAsia="zh-CN" w:bidi="ar-SA"/>
              </w:rPr>
              <w:t>分）</w:t>
            </w:r>
          </w:p>
        </w:tc>
        <w:tc>
          <w:tcPr>
            <w:tcW w:w="2200" w:type="dxa"/>
            <w:gridSpan w:val="2"/>
            <w:noWrap w:val="0"/>
            <w:vAlign w:val="center"/>
          </w:tcPr>
          <w:p w14:paraId="15EB2214">
            <w:pPr>
              <w:spacing w:line="360" w:lineRule="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实施方案（15分）</w:t>
            </w:r>
          </w:p>
        </w:tc>
        <w:tc>
          <w:tcPr>
            <w:tcW w:w="6294" w:type="dxa"/>
            <w:gridSpan w:val="3"/>
            <w:noWrap w:val="0"/>
            <w:vAlign w:val="center"/>
          </w:tcPr>
          <w:p w14:paraId="5BDDEFC7">
            <w:pPr>
              <w:spacing w:line="360" w:lineRule="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磋商小组根据各供应商响应文件中提供的实施方案（包括</w:t>
            </w:r>
            <w:r>
              <w:rPr>
                <w:rFonts w:hint="eastAsia" w:ascii="宋体" w:hAnsi="宋体" w:eastAsia="宋体" w:cs="宋体"/>
                <w:color w:val="auto"/>
                <w:sz w:val="21"/>
                <w:szCs w:val="21"/>
                <w:highlight w:val="none"/>
                <w:lang w:val="en-US" w:eastAsia="zh-CN"/>
              </w:rPr>
              <w:t>执勤任务</w:t>
            </w:r>
            <w:r>
              <w:rPr>
                <w:rFonts w:hint="eastAsia" w:ascii="宋体" w:hAnsi="宋体" w:eastAsia="宋体" w:cs="宋体"/>
                <w:color w:val="auto"/>
                <w:sz w:val="21"/>
                <w:szCs w:val="21"/>
                <w:highlight w:val="none"/>
                <w:lang w:eastAsia="zh-CN"/>
              </w:rPr>
              <w:t>、秩序维护、重大活动时的安全与秩序保障、视频监控日常管理、治安、消防等内容）的科学、合理、实用的程度进行评分。</w:t>
            </w:r>
          </w:p>
          <w:p w14:paraId="764F4A2F">
            <w:pPr>
              <w:spacing w:line="360" w:lineRule="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（1）方案科学完善、合理，有针对性、可操作性强的得15分；</w:t>
            </w:r>
          </w:p>
          <w:p w14:paraId="1A392A11">
            <w:pPr>
              <w:spacing w:line="360" w:lineRule="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（2）方案科学完善、合理，有针对性、可操作性的得11分；</w:t>
            </w:r>
          </w:p>
          <w:p w14:paraId="6BC07536">
            <w:pPr>
              <w:spacing w:line="360" w:lineRule="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（3）方案较完善、合理，针对性一般、可操作性一般的得7分；</w:t>
            </w:r>
          </w:p>
          <w:p w14:paraId="2DF45921">
            <w:pPr>
              <w:spacing w:line="360" w:lineRule="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（4）方案科学性、合理性一般，针对性、可操作性较差的得3分；</w:t>
            </w:r>
          </w:p>
          <w:p w14:paraId="1BD1C5BA">
            <w:pPr>
              <w:spacing w:line="360" w:lineRule="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缺项得0分。</w:t>
            </w:r>
          </w:p>
        </w:tc>
      </w:tr>
      <w:tr w14:paraId="4A915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0" w:type="dxa"/>
            <w:gridSpan w:val="2"/>
            <w:vMerge w:val="continue"/>
            <w:noWrap w:val="0"/>
            <w:vAlign w:val="center"/>
          </w:tcPr>
          <w:p w14:paraId="5585E1E9">
            <w:pPr>
              <w:widowControl w:val="0"/>
              <w:tabs>
                <w:tab w:val="center" w:pos="4153"/>
                <w:tab w:val="right" w:pos="8306"/>
              </w:tabs>
              <w:snapToGrid w:val="0"/>
              <w:spacing w:line="360" w:lineRule="auto"/>
              <w:jc w:val="center"/>
              <w:outlineLvl w:val="9"/>
              <w:rPr>
                <w:rFonts w:hint="eastAsia" w:ascii="宋体" w:hAnsi="宋体" w:eastAsia="宋体" w:cs="宋体"/>
                <w:color w:val="auto"/>
                <w:kern w:val="2"/>
                <w:sz w:val="21"/>
                <w:szCs w:val="21"/>
                <w:highlight w:val="none"/>
                <w:lang w:val="en-US" w:eastAsia="zh-CN" w:bidi="ar-SA"/>
              </w:rPr>
            </w:pPr>
          </w:p>
        </w:tc>
        <w:tc>
          <w:tcPr>
            <w:tcW w:w="2200" w:type="dxa"/>
            <w:gridSpan w:val="2"/>
            <w:noWrap w:val="0"/>
            <w:vAlign w:val="center"/>
          </w:tcPr>
          <w:p w14:paraId="4AB66CF9">
            <w:pPr>
              <w:spacing w:line="360" w:lineRule="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管理规章制度</w:t>
            </w:r>
          </w:p>
          <w:p w14:paraId="29AB5F0B">
            <w:pPr>
              <w:spacing w:line="360" w:lineRule="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（15分）</w:t>
            </w:r>
          </w:p>
        </w:tc>
        <w:tc>
          <w:tcPr>
            <w:tcW w:w="6294" w:type="dxa"/>
            <w:gridSpan w:val="3"/>
            <w:noWrap w:val="0"/>
            <w:vAlign w:val="center"/>
          </w:tcPr>
          <w:p w14:paraId="52D42574">
            <w:pPr>
              <w:spacing w:line="360" w:lineRule="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磋商小组根据各供应商响应文件提供的保安服务管理制度（各项工作制度、岗位责任制度、考核监督制度及其他管理制度）是否科学合理、健全进行评分。</w:t>
            </w:r>
          </w:p>
          <w:p w14:paraId="133C7348">
            <w:pPr>
              <w:spacing w:line="360" w:lineRule="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(1)制度科学合理、健全，有针对性、可操作性强的得15分；</w:t>
            </w:r>
          </w:p>
          <w:p w14:paraId="416316EF">
            <w:pPr>
              <w:spacing w:line="360" w:lineRule="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(2)制度科学合理、健全，有针对性、可操作性较好的得11分；</w:t>
            </w:r>
          </w:p>
          <w:p w14:paraId="6962AD08">
            <w:pPr>
              <w:spacing w:line="360" w:lineRule="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(3)制度不够科学合理、不够健全，针对性一般、可操作性一般的得7分；</w:t>
            </w:r>
          </w:p>
          <w:p w14:paraId="50909008">
            <w:pPr>
              <w:spacing w:line="360" w:lineRule="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(4)管理规章较差的得3分；</w:t>
            </w:r>
          </w:p>
          <w:p w14:paraId="267F5D39">
            <w:pPr>
              <w:spacing w:line="360" w:lineRule="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缺项得0分。</w:t>
            </w:r>
          </w:p>
        </w:tc>
      </w:tr>
      <w:tr w14:paraId="0987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0" w:type="dxa"/>
            <w:gridSpan w:val="2"/>
            <w:vMerge w:val="continue"/>
            <w:noWrap w:val="0"/>
            <w:vAlign w:val="center"/>
          </w:tcPr>
          <w:p w14:paraId="48B18AFF">
            <w:pPr>
              <w:widowControl w:val="0"/>
              <w:tabs>
                <w:tab w:val="center" w:pos="4153"/>
                <w:tab w:val="right" w:pos="8306"/>
              </w:tabs>
              <w:snapToGrid w:val="0"/>
              <w:spacing w:line="360" w:lineRule="auto"/>
              <w:jc w:val="center"/>
              <w:outlineLvl w:val="9"/>
              <w:rPr>
                <w:rFonts w:hint="eastAsia" w:ascii="宋体" w:hAnsi="宋体" w:eastAsia="宋体" w:cs="宋体"/>
                <w:color w:val="auto"/>
                <w:kern w:val="2"/>
                <w:sz w:val="21"/>
                <w:szCs w:val="21"/>
                <w:highlight w:val="none"/>
                <w:lang w:val="en-US" w:eastAsia="zh-CN" w:bidi="ar-SA"/>
              </w:rPr>
            </w:pPr>
          </w:p>
        </w:tc>
        <w:tc>
          <w:tcPr>
            <w:tcW w:w="2200" w:type="dxa"/>
            <w:gridSpan w:val="2"/>
            <w:noWrap w:val="0"/>
            <w:vAlign w:val="center"/>
          </w:tcPr>
          <w:p w14:paraId="71C818E2">
            <w:pPr>
              <w:spacing w:line="360" w:lineRule="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人员培训、监督考核机制（15分）</w:t>
            </w:r>
          </w:p>
        </w:tc>
        <w:tc>
          <w:tcPr>
            <w:tcW w:w="6294" w:type="dxa"/>
            <w:gridSpan w:val="3"/>
            <w:noWrap w:val="0"/>
            <w:vAlign w:val="center"/>
          </w:tcPr>
          <w:p w14:paraId="2D7B37F5">
            <w:pPr>
              <w:spacing w:line="360" w:lineRule="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磋商小组根据各供应商响应文件提供的人员培训、监督考核机制的完善、合理、可操作性性情况进行评分。</w:t>
            </w:r>
          </w:p>
          <w:p w14:paraId="1B17F615">
            <w:pPr>
              <w:spacing w:line="360" w:lineRule="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(1)人员培训、监督考核机制完善、合理，可操作性强的得15分；</w:t>
            </w:r>
          </w:p>
          <w:p w14:paraId="1237AA2C">
            <w:pPr>
              <w:spacing w:line="360" w:lineRule="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(2)人员培训、监督考核机制不够完善、合理，可操作性良好得11分；</w:t>
            </w:r>
          </w:p>
          <w:p w14:paraId="32485526">
            <w:pPr>
              <w:spacing w:line="360" w:lineRule="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(3)人员培训、监督考核机制不够完善、合理，可操作性一般得7分；</w:t>
            </w:r>
          </w:p>
          <w:p w14:paraId="2DD7B77C">
            <w:pPr>
              <w:spacing w:line="360" w:lineRule="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(4)人员培训、监督考核机制较差，可操作性较差的得3分；</w:t>
            </w:r>
          </w:p>
          <w:p w14:paraId="649DA670">
            <w:pPr>
              <w:spacing w:line="360" w:lineRule="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缺项得0分。</w:t>
            </w:r>
          </w:p>
        </w:tc>
      </w:tr>
      <w:tr w14:paraId="216BA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0" w:type="dxa"/>
            <w:gridSpan w:val="2"/>
            <w:vMerge w:val="continue"/>
            <w:noWrap w:val="0"/>
            <w:vAlign w:val="center"/>
          </w:tcPr>
          <w:p w14:paraId="4F3DF6AC">
            <w:pPr>
              <w:widowControl w:val="0"/>
              <w:tabs>
                <w:tab w:val="center" w:pos="4153"/>
                <w:tab w:val="right" w:pos="8306"/>
              </w:tabs>
              <w:snapToGrid w:val="0"/>
              <w:spacing w:line="360" w:lineRule="auto"/>
              <w:jc w:val="center"/>
              <w:outlineLvl w:val="9"/>
              <w:rPr>
                <w:rFonts w:hint="eastAsia" w:ascii="宋体" w:hAnsi="宋体" w:eastAsia="宋体" w:cs="宋体"/>
                <w:color w:val="auto"/>
                <w:kern w:val="2"/>
                <w:sz w:val="21"/>
                <w:szCs w:val="21"/>
                <w:highlight w:val="none"/>
                <w:lang w:val="en-US" w:eastAsia="zh-CN" w:bidi="ar-SA"/>
              </w:rPr>
            </w:pPr>
          </w:p>
        </w:tc>
        <w:tc>
          <w:tcPr>
            <w:tcW w:w="2200" w:type="dxa"/>
            <w:gridSpan w:val="2"/>
            <w:noWrap w:val="0"/>
            <w:vAlign w:val="center"/>
          </w:tcPr>
          <w:p w14:paraId="04127FA9">
            <w:pPr>
              <w:spacing w:line="360" w:lineRule="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拟投入的设施设备（1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分）</w:t>
            </w:r>
          </w:p>
        </w:tc>
        <w:tc>
          <w:tcPr>
            <w:tcW w:w="6294" w:type="dxa"/>
            <w:gridSpan w:val="3"/>
            <w:noWrap w:val="0"/>
            <w:vAlign w:val="center"/>
          </w:tcPr>
          <w:p w14:paraId="4FF9B60E">
            <w:pPr>
              <w:spacing w:line="360" w:lineRule="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磋商小组根据各供应商安保装备的配备情况，包括人员制服、安保器材等用于本项目的装备投入计划、装备配备等情况进行评审：</w:t>
            </w:r>
          </w:p>
          <w:p w14:paraId="2A067788">
            <w:pPr>
              <w:spacing w:line="360" w:lineRule="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(1)提供实施设备齐全、满足项目需求、实用性强的得1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分；</w:t>
            </w:r>
          </w:p>
          <w:p w14:paraId="1CEE4169">
            <w:pPr>
              <w:spacing w:line="360" w:lineRule="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(2)提供实施设备较齐全、基本满足项目需求、实用性强的得</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分；</w:t>
            </w:r>
          </w:p>
          <w:p w14:paraId="02DE4CCC">
            <w:pPr>
              <w:spacing w:line="360" w:lineRule="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(3)提供实施设备较齐全、基本满足项目需求、实用性一般的得4分；</w:t>
            </w:r>
          </w:p>
          <w:p w14:paraId="1C4F83F1">
            <w:pPr>
              <w:spacing w:line="360" w:lineRule="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(4)提供实施装备基本齐全、基本满足项目需求、实用性一般的，得2分；</w:t>
            </w:r>
          </w:p>
          <w:p w14:paraId="3EC66FEB">
            <w:pPr>
              <w:spacing w:line="360" w:lineRule="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缺项得0分。</w:t>
            </w:r>
          </w:p>
        </w:tc>
      </w:tr>
      <w:tr w14:paraId="41898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0" w:type="dxa"/>
            <w:gridSpan w:val="2"/>
            <w:vMerge w:val="continue"/>
            <w:noWrap w:val="0"/>
            <w:vAlign w:val="center"/>
          </w:tcPr>
          <w:p w14:paraId="08A19BB1">
            <w:pPr>
              <w:widowControl w:val="0"/>
              <w:tabs>
                <w:tab w:val="center" w:pos="4153"/>
                <w:tab w:val="right" w:pos="8306"/>
              </w:tabs>
              <w:snapToGrid w:val="0"/>
              <w:spacing w:line="360" w:lineRule="auto"/>
              <w:jc w:val="center"/>
              <w:outlineLvl w:val="9"/>
              <w:rPr>
                <w:rFonts w:hint="eastAsia" w:ascii="宋体" w:hAnsi="宋体" w:eastAsia="宋体" w:cs="宋体"/>
                <w:color w:val="auto"/>
                <w:kern w:val="2"/>
                <w:sz w:val="21"/>
                <w:szCs w:val="21"/>
                <w:highlight w:val="none"/>
                <w:lang w:val="en-US" w:eastAsia="zh-CN" w:bidi="ar-SA"/>
              </w:rPr>
            </w:pPr>
          </w:p>
        </w:tc>
        <w:tc>
          <w:tcPr>
            <w:tcW w:w="2200" w:type="dxa"/>
            <w:gridSpan w:val="2"/>
            <w:noWrap w:val="0"/>
            <w:vAlign w:val="center"/>
          </w:tcPr>
          <w:p w14:paraId="574F6858">
            <w:pPr>
              <w:spacing w:line="360" w:lineRule="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突发事件应急措施（15分）</w:t>
            </w:r>
          </w:p>
        </w:tc>
        <w:tc>
          <w:tcPr>
            <w:tcW w:w="6294" w:type="dxa"/>
            <w:gridSpan w:val="3"/>
            <w:shd w:val="clear" w:color="auto" w:fill="auto"/>
            <w:noWrap w:val="0"/>
            <w:vAlign w:val="center"/>
          </w:tcPr>
          <w:p w14:paraId="438A70D9">
            <w:pPr>
              <w:spacing w:line="360" w:lineRule="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磋商小组根据各供应商提供的突发事件应急措施（包括但不限于治安、消防、群体性事件等）的重难点把握、合理性、针对性、可操作性等进行综合评分。</w:t>
            </w:r>
          </w:p>
          <w:p w14:paraId="527CC8DD">
            <w:pPr>
              <w:spacing w:line="360" w:lineRule="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(1)应急措施满足上述基本要求、有优化方案且内容全面合理，针对性强、可操作性强的得15分；</w:t>
            </w:r>
          </w:p>
          <w:p w14:paraId="0208AAA5">
            <w:pPr>
              <w:spacing w:line="360" w:lineRule="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(2)应急措施满足上述基本要求、有优化方案且内容针对性较强、可操作性较强的得11分；</w:t>
            </w:r>
          </w:p>
          <w:p w14:paraId="0FAD475A">
            <w:pPr>
              <w:spacing w:line="360" w:lineRule="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(3)应急措施满足上述基本要求、内 容针对性一般、可操作性一般的得7分；</w:t>
            </w:r>
          </w:p>
          <w:p w14:paraId="5649484E">
            <w:pPr>
              <w:spacing w:line="360" w:lineRule="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(4)应急措施满足上述基本要求、内容针对性较差、可操作性较差的得3分；</w:t>
            </w:r>
          </w:p>
          <w:p w14:paraId="321F7DDB">
            <w:pPr>
              <w:spacing w:line="360" w:lineRule="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缺项得0分。</w:t>
            </w:r>
          </w:p>
        </w:tc>
      </w:tr>
      <w:tr w14:paraId="49640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0" w:type="dxa"/>
            <w:gridSpan w:val="2"/>
            <w:vMerge w:val="continue"/>
            <w:noWrap w:val="0"/>
            <w:vAlign w:val="center"/>
          </w:tcPr>
          <w:p w14:paraId="1C0FA981">
            <w:pPr>
              <w:widowControl w:val="0"/>
              <w:tabs>
                <w:tab w:val="center" w:pos="4153"/>
                <w:tab w:val="right" w:pos="8306"/>
              </w:tabs>
              <w:snapToGrid w:val="0"/>
              <w:spacing w:line="360" w:lineRule="auto"/>
              <w:jc w:val="center"/>
              <w:outlineLvl w:val="9"/>
              <w:rPr>
                <w:rFonts w:hint="eastAsia" w:ascii="宋体" w:hAnsi="宋体" w:eastAsia="宋体" w:cs="宋体"/>
                <w:color w:val="auto"/>
                <w:kern w:val="2"/>
                <w:sz w:val="21"/>
                <w:szCs w:val="21"/>
                <w:highlight w:val="none"/>
                <w:lang w:val="en-US" w:eastAsia="zh-CN" w:bidi="ar-SA"/>
              </w:rPr>
            </w:pPr>
          </w:p>
        </w:tc>
        <w:tc>
          <w:tcPr>
            <w:tcW w:w="8494" w:type="dxa"/>
            <w:gridSpan w:val="5"/>
            <w:noWrap w:val="0"/>
            <w:vAlign w:val="center"/>
          </w:tcPr>
          <w:p w14:paraId="2391A64D">
            <w:pPr>
              <w:widowControl w:val="0"/>
              <w:spacing w:line="360" w:lineRule="auto"/>
              <w:ind w:firstLine="0" w:firstLineChars="0"/>
              <w:jc w:val="both"/>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以上各项缺项为0分。</w:t>
            </w:r>
          </w:p>
        </w:tc>
      </w:tr>
    </w:tbl>
    <w:p w14:paraId="57DDEFE9">
      <w:pPr>
        <w:spacing w:line="360" w:lineRule="auto"/>
        <w:ind w:firstLine="420" w:firstLineChars="200"/>
        <w:outlineLvl w:val="9"/>
        <w:rPr>
          <w:rFonts w:hint="eastAsia" w:ascii="宋体" w:hAnsi="宋体" w:eastAsia="宋体" w:cs="宋体"/>
          <w:color w:val="auto"/>
          <w:kern w:val="0"/>
          <w:sz w:val="21"/>
          <w:szCs w:val="21"/>
        </w:rPr>
      </w:pPr>
    </w:p>
    <w:p w14:paraId="4088FA5B">
      <w:pPr>
        <w:spacing w:line="360" w:lineRule="auto"/>
        <w:ind w:firstLine="420" w:firstLineChars="200"/>
        <w:outlineLvl w:val="9"/>
        <w:rPr>
          <w:rFonts w:ascii="宋体" w:hAnsi="宋体" w:eastAsia="宋体" w:cs="宋体"/>
          <w:color w:val="auto"/>
          <w:szCs w:val="21"/>
        </w:rPr>
      </w:pPr>
      <w:r>
        <w:rPr>
          <w:rFonts w:hint="eastAsia" w:ascii="宋体" w:hAnsi="宋体" w:eastAsia="宋体" w:cs="宋体"/>
          <w:color w:val="auto"/>
          <w:kern w:val="0"/>
          <w:szCs w:val="21"/>
        </w:rPr>
        <w:t>一、供应商在响应文件所提供的所有资料必须为真实有效的，采购人有权在任何时间核实其真实性。如提供虚</w:t>
      </w:r>
      <w:r>
        <w:rPr>
          <w:rFonts w:hint="eastAsia" w:ascii="宋体" w:hAnsi="宋体" w:eastAsia="宋体" w:cs="宋体"/>
          <w:color w:val="auto"/>
          <w:szCs w:val="21"/>
        </w:rPr>
        <w:t>假资料，供应商承担由此导致的一切不良后果并承担法律责任。</w:t>
      </w:r>
    </w:p>
    <w:p w14:paraId="1D5F2E7B">
      <w:pPr>
        <w:spacing w:line="360" w:lineRule="auto"/>
        <w:ind w:firstLine="420" w:firstLineChars="200"/>
        <w:outlineLvl w:val="9"/>
        <w:rPr>
          <w:rFonts w:ascii="宋体" w:hAnsi="宋体" w:eastAsia="宋体" w:cs="宋体"/>
          <w:color w:val="auto"/>
          <w:szCs w:val="21"/>
        </w:rPr>
      </w:pPr>
      <w:r>
        <w:rPr>
          <w:rFonts w:hint="eastAsia" w:ascii="宋体" w:hAnsi="宋体" w:eastAsia="宋体" w:cs="宋体"/>
          <w:color w:val="auto"/>
          <w:szCs w:val="21"/>
        </w:rPr>
        <w:t>二、最终得分的计算</w:t>
      </w:r>
    </w:p>
    <w:p w14:paraId="29312CEC">
      <w:pPr>
        <w:spacing w:line="360" w:lineRule="auto"/>
        <w:ind w:firstLine="420" w:firstLineChars="200"/>
        <w:outlineLvl w:val="9"/>
        <w:rPr>
          <w:rFonts w:ascii="宋体" w:hAnsi="宋体" w:eastAsia="宋体" w:cs="宋体"/>
          <w:color w:val="auto"/>
          <w:szCs w:val="21"/>
        </w:rPr>
      </w:pPr>
      <w:r>
        <w:rPr>
          <w:rFonts w:hint="eastAsia" w:ascii="宋体" w:hAnsi="宋体" w:eastAsia="宋体" w:cs="宋体"/>
          <w:color w:val="auto"/>
          <w:szCs w:val="21"/>
        </w:rPr>
        <w:t>评标委员会成员评分=商务</w:t>
      </w:r>
      <w:r>
        <w:rPr>
          <w:rFonts w:hint="eastAsia" w:ascii="宋体" w:hAnsi="宋体" w:eastAsia="宋体" w:cs="宋体"/>
          <w:color w:val="auto"/>
          <w:szCs w:val="21"/>
          <w:lang w:eastAsia="zh-CN"/>
        </w:rPr>
        <w:t>部分</w:t>
      </w:r>
      <w:r>
        <w:rPr>
          <w:rFonts w:hint="eastAsia" w:ascii="宋体" w:hAnsi="宋体" w:eastAsia="宋体" w:cs="宋体"/>
          <w:color w:val="auto"/>
          <w:szCs w:val="21"/>
          <w:lang w:val="en-US" w:eastAsia="zh-CN"/>
        </w:rPr>
        <w:t>+</w:t>
      </w:r>
      <w:r>
        <w:rPr>
          <w:rFonts w:hint="eastAsia" w:ascii="宋体" w:hAnsi="宋体" w:eastAsia="宋体" w:cs="宋体"/>
          <w:color w:val="auto"/>
          <w:szCs w:val="21"/>
        </w:rPr>
        <w:t>技术</w:t>
      </w:r>
      <w:r>
        <w:rPr>
          <w:rFonts w:hint="eastAsia" w:ascii="宋体" w:hAnsi="宋体" w:eastAsia="宋体" w:cs="宋体"/>
          <w:color w:val="auto"/>
          <w:szCs w:val="21"/>
          <w:lang w:eastAsia="zh-CN"/>
        </w:rPr>
        <w:t>部分</w:t>
      </w:r>
      <w:r>
        <w:rPr>
          <w:rFonts w:hint="eastAsia" w:ascii="宋体" w:hAnsi="宋体" w:eastAsia="宋体" w:cs="宋体"/>
          <w:color w:val="auto"/>
          <w:szCs w:val="21"/>
          <w:lang w:val="en-US" w:eastAsia="zh-CN"/>
        </w:rPr>
        <w:t>+综合部分</w:t>
      </w:r>
      <w:r>
        <w:rPr>
          <w:rFonts w:hint="eastAsia" w:ascii="宋体" w:hAnsi="宋体" w:eastAsia="宋体" w:cs="宋体"/>
          <w:color w:val="auto"/>
          <w:szCs w:val="21"/>
        </w:rPr>
        <w:t>。</w:t>
      </w:r>
    </w:p>
    <w:p w14:paraId="25CB2D6F">
      <w:pPr>
        <w:spacing w:line="360" w:lineRule="auto"/>
        <w:ind w:firstLine="420" w:firstLineChars="200"/>
        <w:outlineLvl w:val="9"/>
        <w:rPr>
          <w:rFonts w:ascii="宋体" w:hAnsi="宋体" w:eastAsia="宋体" w:cs="宋体"/>
          <w:color w:val="auto"/>
          <w:szCs w:val="21"/>
        </w:rPr>
      </w:pPr>
      <w:r>
        <w:rPr>
          <w:rFonts w:hint="eastAsia" w:ascii="宋体" w:hAnsi="宋体" w:eastAsia="宋体" w:cs="宋体"/>
          <w:color w:val="auto"/>
          <w:szCs w:val="21"/>
        </w:rPr>
        <w:t>评标总得分=所有评标委员合计评分的算术平均值</w:t>
      </w:r>
    </w:p>
    <w:p w14:paraId="5832F4B9">
      <w:pPr>
        <w:spacing w:line="360" w:lineRule="auto"/>
        <w:ind w:firstLine="420" w:firstLineChars="200"/>
        <w:outlineLvl w:val="9"/>
        <w:rPr>
          <w:rFonts w:ascii="宋体" w:hAnsi="宋体" w:eastAsia="宋体" w:cs="宋体"/>
          <w:color w:val="auto"/>
          <w:kern w:val="0"/>
          <w:szCs w:val="21"/>
        </w:rPr>
      </w:pPr>
      <w:r>
        <w:rPr>
          <w:rFonts w:hint="eastAsia" w:ascii="宋体" w:hAnsi="宋体" w:eastAsia="宋体" w:cs="宋体"/>
          <w:color w:val="auto"/>
          <w:szCs w:val="21"/>
        </w:rPr>
        <w:t>评标委员会按照经评审</w:t>
      </w:r>
      <w:r>
        <w:rPr>
          <w:rFonts w:hint="eastAsia" w:ascii="宋体" w:hAnsi="宋体" w:eastAsia="宋体" w:cs="宋体"/>
          <w:color w:val="auto"/>
          <w:kern w:val="0"/>
          <w:szCs w:val="21"/>
        </w:rPr>
        <w:t>的得分由高到低顺序推荐 1-3 名成交候选人，并标明推荐顺序。</w:t>
      </w:r>
    </w:p>
    <w:p w14:paraId="11E86F76">
      <w:pPr>
        <w:spacing w:line="360" w:lineRule="auto"/>
        <w:jc w:val="center"/>
        <w:outlineLvl w:val="0"/>
        <w:rPr>
          <w:rFonts w:ascii="宋体" w:hAnsi="宋体" w:eastAsia="宋体" w:cs="宋体"/>
          <w:b/>
          <w:bCs/>
          <w:color w:val="auto"/>
          <w:kern w:val="0"/>
          <w:sz w:val="32"/>
          <w:szCs w:val="32"/>
        </w:rPr>
      </w:pPr>
      <w:r>
        <w:rPr>
          <w:rFonts w:ascii="宋体" w:hAnsi="宋体" w:eastAsia="宋体" w:cs="宋体"/>
          <w:b/>
          <w:bCs/>
          <w:color w:val="auto"/>
          <w:kern w:val="0"/>
          <w:sz w:val="30"/>
          <w:szCs w:val="30"/>
        </w:rPr>
        <w:br w:type="page"/>
      </w:r>
      <w:bookmarkStart w:id="66" w:name="_Toc8184"/>
      <w:bookmarkEnd w:id="66"/>
      <w:bookmarkStart w:id="67" w:name="_Toc3890"/>
      <w:bookmarkStart w:id="68" w:name="_Toc113437300"/>
      <w:bookmarkStart w:id="69" w:name="_Toc17723"/>
      <w:r>
        <w:rPr>
          <w:rFonts w:hint="eastAsia" w:ascii="宋体" w:hAnsi="宋体" w:eastAsia="宋体" w:cs="宋体"/>
          <w:b/>
          <w:bCs/>
          <w:color w:val="auto"/>
          <w:kern w:val="0"/>
          <w:sz w:val="32"/>
          <w:szCs w:val="32"/>
        </w:rPr>
        <w:t>第四章 合同</w:t>
      </w:r>
      <w:bookmarkEnd w:id="67"/>
      <w:r>
        <w:rPr>
          <w:rFonts w:hint="eastAsia" w:ascii="宋体" w:hAnsi="宋体" w:eastAsia="宋体" w:cs="宋体"/>
          <w:b/>
          <w:bCs/>
          <w:color w:val="auto"/>
          <w:kern w:val="0"/>
          <w:sz w:val="32"/>
          <w:szCs w:val="32"/>
        </w:rPr>
        <w:t>条款及格式</w:t>
      </w:r>
      <w:bookmarkEnd w:id="68"/>
      <w:bookmarkEnd w:id="69"/>
    </w:p>
    <w:p w14:paraId="202B5FA8">
      <w:pPr>
        <w:widowControl/>
        <w:wordWrap w:val="0"/>
        <w:snapToGrid w:val="0"/>
        <w:spacing w:line="360" w:lineRule="auto"/>
        <w:ind w:firstLine="422" w:firstLineChars="200"/>
        <w:jc w:val="center"/>
        <w:outlineLvl w:val="9"/>
        <w:rPr>
          <w:rFonts w:hAnsi="宋体"/>
          <w:b/>
          <w:bCs/>
          <w:color w:val="auto"/>
          <w:kern w:val="0"/>
        </w:rPr>
      </w:pPr>
      <w:bookmarkStart w:id="70" w:name="_Toc24351"/>
      <w:bookmarkStart w:id="71" w:name="_Toc113437301"/>
      <w:r>
        <w:rPr>
          <w:rFonts w:hint="eastAsia" w:hAnsi="宋体"/>
          <w:b/>
          <w:bCs/>
          <w:color w:val="auto"/>
          <w:kern w:val="0"/>
        </w:rPr>
        <w:t>（</w:t>
      </w:r>
      <w:r>
        <w:rPr>
          <w:rFonts w:hint="eastAsia" w:hAnsi="宋体"/>
          <w:color w:val="auto"/>
          <w:kern w:val="0"/>
        </w:rPr>
        <w:t>采购人可根据采购项目的实际情况增减条款和内容</w:t>
      </w:r>
      <w:r>
        <w:rPr>
          <w:rFonts w:hint="eastAsia" w:hAnsi="宋体"/>
          <w:b/>
          <w:bCs/>
          <w:color w:val="auto"/>
          <w:kern w:val="0"/>
        </w:rPr>
        <w:t>）</w:t>
      </w:r>
    </w:p>
    <w:p w14:paraId="124A44B1">
      <w:pPr>
        <w:pStyle w:val="24"/>
        <w:spacing w:after="0"/>
        <w:rPr>
          <w:rFonts w:ascii="Times New Roman"/>
          <w:color w:val="auto"/>
          <w:sz w:val="20"/>
        </w:rPr>
      </w:pPr>
    </w:p>
    <w:p w14:paraId="6A05ECF7">
      <w:pPr>
        <w:spacing w:line="360" w:lineRule="auto"/>
        <w:jc w:val="center"/>
        <w:rPr>
          <w:rFonts w:hint="eastAsia" w:ascii="宋体" w:hAnsi="宋体" w:eastAsia="宋体" w:cs="宋体"/>
          <w:b/>
          <w:color w:val="auto"/>
          <w:sz w:val="44"/>
          <w:szCs w:val="44"/>
        </w:rPr>
      </w:pPr>
      <w:r>
        <w:rPr>
          <w:rFonts w:hint="eastAsia" w:ascii="宋体" w:hAnsi="宋体" w:eastAsia="宋体" w:cs="宋体"/>
          <w:b/>
          <w:color w:val="auto"/>
          <w:sz w:val="44"/>
          <w:szCs w:val="44"/>
        </w:rPr>
        <w:t>保安服务合同</w:t>
      </w:r>
    </w:p>
    <w:p w14:paraId="1EEF47E5">
      <w:pPr>
        <w:spacing w:line="360" w:lineRule="auto"/>
        <w:rPr>
          <w:rFonts w:hint="eastAsia" w:ascii="宋体" w:hAnsi="宋体" w:eastAsia="宋体" w:cs="宋体"/>
          <w:color w:val="auto"/>
          <w:szCs w:val="24"/>
        </w:rPr>
      </w:pPr>
    </w:p>
    <w:p w14:paraId="10325E6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甲方：</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（以下简称甲方）</w:t>
      </w:r>
    </w:p>
    <w:p w14:paraId="70A9DCB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乙方：</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（以下简称乙方）</w:t>
      </w:r>
    </w:p>
    <w:p w14:paraId="20041BE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u w:val="none"/>
          <w:lang w:val="en-US" w:eastAsia="zh-CN"/>
        </w:rPr>
        <w:t>项目名称：</w:t>
      </w:r>
      <w:r>
        <w:rPr>
          <w:rFonts w:hint="eastAsia" w:ascii="宋体" w:hAnsi="宋体" w:eastAsia="宋体" w:cs="宋体"/>
          <w:color w:val="auto"/>
          <w:sz w:val="24"/>
          <w:szCs w:val="24"/>
          <w:u w:val="single"/>
          <w:lang w:val="en-US" w:eastAsia="zh-CN"/>
        </w:rPr>
        <w:t>平顶山市第一高级中学2026-2027年度安全管理服务项目</w:t>
      </w:r>
    </w:p>
    <w:p w14:paraId="0C4DF6E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u w:val="none"/>
          <w:lang w:val="en-US" w:eastAsia="zh-CN"/>
        </w:rPr>
        <w:t>采购编号：</w:t>
      </w:r>
      <w:r>
        <w:rPr>
          <w:rFonts w:hint="eastAsia" w:ascii="宋体" w:hAnsi="宋体" w:eastAsia="宋体" w:cs="宋体"/>
          <w:color w:val="auto"/>
          <w:sz w:val="24"/>
          <w:szCs w:val="24"/>
          <w:u w:val="single"/>
          <w:lang w:val="en-US" w:eastAsia="zh-CN"/>
        </w:rPr>
        <w:t xml:space="preserve">        </w:t>
      </w:r>
    </w:p>
    <w:p w14:paraId="1993D82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经公开招标，甲乙双方根据相关法律法规，就乙方为甲方提供安保服务工作，经甲乙双方协商，签订合同如下：</w:t>
      </w:r>
    </w:p>
    <w:p w14:paraId="3D08537B">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lang w:eastAsia="zh-CN"/>
        </w:rPr>
        <w:t>甲方聘用人员数量、</w:t>
      </w:r>
      <w:r>
        <w:rPr>
          <w:rFonts w:hint="eastAsia" w:ascii="宋体" w:hAnsi="宋体" w:eastAsia="宋体" w:cs="宋体"/>
          <w:color w:val="auto"/>
          <w:sz w:val="24"/>
          <w:szCs w:val="24"/>
          <w:u w:val="none"/>
          <w:lang w:val="en-US" w:eastAsia="zh-CN"/>
        </w:rPr>
        <w:t>服务费用标准</w:t>
      </w:r>
    </w:p>
    <w:p w14:paraId="484C024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u w:val="none"/>
          <w:lang w:val="en-US" w:eastAsia="zh-CN"/>
        </w:rPr>
        <w:t xml:space="preserve">     甲方聘用乙方</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名保安队员，每人每月服务费</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元人民币，每月保安服务费共计</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元，全年保安服务费共计：</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元人民币，大写：</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圆整。</w:t>
      </w:r>
    </w:p>
    <w:p w14:paraId="47B1B4D2">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服务区域、内容</w:t>
      </w:r>
    </w:p>
    <w:p w14:paraId="6A85245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eastAsia="zh-CN"/>
        </w:rPr>
        <w:t>甲方指定保安区域门卫、守护和巡逻，公共秩序维护，治安及其它突发事件处理等；校院内道路交通管理，机动车和非机动车停放管理等，其他甲方安排的临时性工作任务。</w:t>
      </w:r>
    </w:p>
    <w:p w14:paraId="2C3CA29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第</w:t>
      </w:r>
      <w:r>
        <w:rPr>
          <w:rFonts w:hint="eastAsia" w:ascii="宋体" w:hAnsi="宋体" w:eastAsia="宋体" w:cs="宋体"/>
          <w:color w:val="auto"/>
          <w:sz w:val="24"/>
          <w:szCs w:val="24"/>
          <w:u w:val="none"/>
          <w:lang w:eastAsia="zh-CN"/>
        </w:rPr>
        <w:t>三</w:t>
      </w:r>
      <w:r>
        <w:rPr>
          <w:rFonts w:hint="eastAsia" w:ascii="宋体" w:hAnsi="宋体" w:eastAsia="宋体" w:cs="宋体"/>
          <w:color w:val="auto"/>
          <w:sz w:val="24"/>
          <w:szCs w:val="24"/>
          <w:u w:val="none"/>
        </w:rPr>
        <w:t>条 服务期限</w:t>
      </w:r>
    </w:p>
    <w:p w14:paraId="649F6F7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委托服务期限自</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rPr>
        <w:t>年</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rPr>
        <w:t>月</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rPr>
        <w:t>日起至</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rPr>
        <w:t>年</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rPr>
        <w:t>月</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rPr>
        <w:t>日止。</w:t>
      </w:r>
    </w:p>
    <w:p w14:paraId="73DA512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w:t>
      </w:r>
      <w:r>
        <w:rPr>
          <w:rFonts w:hint="eastAsia" w:ascii="宋体" w:hAnsi="宋体" w:eastAsia="宋体" w:cs="宋体"/>
          <w:color w:val="auto"/>
          <w:sz w:val="24"/>
          <w:szCs w:val="24"/>
          <w:lang w:eastAsia="zh-CN"/>
        </w:rPr>
        <w:t>四</w:t>
      </w:r>
      <w:r>
        <w:rPr>
          <w:rFonts w:hint="eastAsia" w:ascii="宋体" w:hAnsi="宋体" w:eastAsia="宋体" w:cs="宋体"/>
          <w:color w:val="auto"/>
          <w:sz w:val="24"/>
          <w:szCs w:val="24"/>
        </w:rPr>
        <w:t>条 人事关系</w:t>
      </w:r>
    </w:p>
    <w:p w14:paraId="4AA466D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保安人员为乙方公司雇员，与甲方不存在劳动或雇佣关系。</w:t>
      </w:r>
    </w:p>
    <w:p w14:paraId="4D9D15D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保安人员进行执勤过程中，本人致伤、致残、致亡的，或者导致他人财产、人身损害的，甲方不承担任何责任；如出现上述问题，乙方承担相应责任，并负责妥善处理善后工作；因乙方公司原因造成的劳资纠纷，由乙方承担全部责任。</w:t>
      </w:r>
    </w:p>
    <w:p w14:paraId="797C009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w:t>
      </w:r>
      <w:r>
        <w:rPr>
          <w:rFonts w:hint="eastAsia" w:ascii="宋体" w:hAnsi="宋体" w:eastAsia="宋体" w:cs="宋体"/>
          <w:color w:val="auto"/>
          <w:sz w:val="24"/>
          <w:szCs w:val="24"/>
          <w:lang w:eastAsia="zh-CN"/>
        </w:rPr>
        <w:t>五</w:t>
      </w:r>
      <w:r>
        <w:rPr>
          <w:rFonts w:hint="eastAsia" w:ascii="宋体" w:hAnsi="宋体" w:eastAsia="宋体" w:cs="宋体"/>
          <w:color w:val="auto"/>
          <w:sz w:val="24"/>
          <w:szCs w:val="24"/>
        </w:rPr>
        <w:t>条 项目服务要求</w:t>
      </w:r>
    </w:p>
    <w:p w14:paraId="055F8E2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按照</w:t>
      </w:r>
      <w:r>
        <w:rPr>
          <w:rFonts w:hint="eastAsia" w:ascii="宋体" w:hAnsi="宋体" w:eastAsia="宋体" w:cs="宋体"/>
          <w:color w:val="auto"/>
          <w:sz w:val="24"/>
          <w:szCs w:val="24"/>
        </w:rPr>
        <w:t>保安服务项目招标文件“项目需求及有关要求”</w:t>
      </w:r>
      <w:r>
        <w:rPr>
          <w:rFonts w:hint="eastAsia" w:ascii="宋体" w:hAnsi="宋体" w:eastAsia="宋体" w:cs="宋体"/>
          <w:color w:val="auto"/>
          <w:sz w:val="24"/>
          <w:szCs w:val="24"/>
          <w:lang w:eastAsia="zh-CN"/>
        </w:rPr>
        <w:t>执行。</w:t>
      </w:r>
    </w:p>
    <w:p w14:paraId="6C8398C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w:t>
      </w:r>
      <w:r>
        <w:rPr>
          <w:rFonts w:hint="eastAsia" w:ascii="宋体" w:hAnsi="宋体" w:eastAsia="宋体" w:cs="宋体"/>
          <w:color w:val="auto"/>
          <w:sz w:val="24"/>
          <w:szCs w:val="24"/>
          <w:lang w:eastAsia="zh-CN"/>
        </w:rPr>
        <w:t>六</w:t>
      </w:r>
      <w:r>
        <w:rPr>
          <w:rFonts w:hint="eastAsia" w:ascii="宋体" w:hAnsi="宋体" w:eastAsia="宋体" w:cs="宋体"/>
          <w:color w:val="auto"/>
          <w:sz w:val="24"/>
          <w:szCs w:val="24"/>
        </w:rPr>
        <w:t>条 双方权利义务</w:t>
      </w:r>
    </w:p>
    <w:p w14:paraId="40A6CAA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（一）甲方权利义务</w:t>
      </w:r>
    </w:p>
    <w:p w14:paraId="03B2F15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1、甲方按照合同</w:t>
      </w:r>
      <w:r>
        <w:rPr>
          <w:rFonts w:hint="eastAsia" w:ascii="宋体" w:hAnsi="宋体" w:eastAsia="宋体" w:cs="宋体"/>
          <w:color w:val="auto"/>
          <w:sz w:val="24"/>
          <w:szCs w:val="24"/>
          <w:lang w:val="en-US" w:eastAsia="zh-CN"/>
        </w:rPr>
        <w:t>约</w:t>
      </w:r>
      <w:r>
        <w:rPr>
          <w:rFonts w:hint="eastAsia" w:ascii="宋体" w:hAnsi="宋体" w:eastAsia="宋体" w:cs="宋体"/>
          <w:color w:val="auto"/>
          <w:sz w:val="24"/>
          <w:szCs w:val="24"/>
        </w:rPr>
        <w:t>定的安全保卫服务内容，全权负责对保安人员的各项日常工作的部署安排，并对工作完成质量进行检查验收。乙方不得对甲方依据合同安排的工作进行任何形式的干涉。</w:t>
      </w:r>
    </w:p>
    <w:p w14:paraId="601F316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trike/>
          <w:dstrike w:val="0"/>
          <w:color w:val="auto"/>
          <w:sz w:val="24"/>
          <w:szCs w:val="24"/>
          <w:highlight w:val="none"/>
        </w:rPr>
      </w:pPr>
      <w:r>
        <w:rPr>
          <w:rFonts w:hint="eastAsia" w:ascii="宋体" w:hAnsi="宋体" w:eastAsia="宋体" w:cs="宋体"/>
          <w:color w:val="auto"/>
          <w:sz w:val="24"/>
          <w:szCs w:val="24"/>
        </w:rPr>
        <w:t>2、甲方根据各岗位职责对所在岗位保安的工作质量和效果进行评价</w:t>
      </w:r>
      <w:r>
        <w:rPr>
          <w:rFonts w:hint="eastAsia" w:ascii="宋体" w:hAnsi="宋体" w:eastAsia="宋体" w:cs="宋体"/>
          <w:strike w:val="0"/>
          <w:dstrike w:val="0"/>
          <w:color w:val="auto"/>
          <w:sz w:val="24"/>
          <w:szCs w:val="24"/>
          <w:highlight w:val="none"/>
        </w:rPr>
        <w:t>，</w:t>
      </w:r>
      <w:r>
        <w:rPr>
          <w:rFonts w:hint="eastAsia" w:ascii="宋体" w:hAnsi="宋体" w:eastAsia="宋体" w:cs="宋体"/>
          <w:strike w:val="0"/>
          <w:dstrike w:val="0"/>
          <w:color w:val="auto"/>
          <w:sz w:val="24"/>
          <w:szCs w:val="24"/>
          <w:lang w:val="en-US" w:eastAsia="zh-CN"/>
        </w:rPr>
        <w:t>保安人员</w:t>
      </w:r>
      <w:r>
        <w:rPr>
          <w:rFonts w:hint="eastAsia" w:ascii="宋体" w:hAnsi="宋体" w:eastAsia="宋体" w:cs="宋体"/>
          <w:color w:val="auto"/>
          <w:sz w:val="24"/>
          <w:szCs w:val="24"/>
          <w:lang w:val="en-US" w:eastAsia="zh-CN"/>
        </w:rPr>
        <w:t>提供的服务不符合合同约定标准的，</w:t>
      </w:r>
      <w:r>
        <w:rPr>
          <w:rFonts w:hint="eastAsia" w:ascii="宋体" w:hAnsi="宋体" w:eastAsia="宋体" w:cs="宋体"/>
          <w:color w:val="auto"/>
          <w:sz w:val="24"/>
          <w:szCs w:val="24"/>
        </w:rPr>
        <w:t>有权要求乙方及时调换，乙方不得以任何理由进行干涉和拒绝</w:t>
      </w:r>
      <w:r>
        <w:rPr>
          <w:rFonts w:hint="eastAsia" w:ascii="宋体" w:hAnsi="宋体" w:eastAsia="宋体" w:cs="宋体"/>
          <w:strike w:val="0"/>
          <w:dstrike w:val="0"/>
          <w:color w:val="auto"/>
          <w:sz w:val="24"/>
          <w:szCs w:val="24"/>
          <w:highlight w:val="none"/>
        </w:rPr>
        <w:t xml:space="preserve">。 </w:t>
      </w:r>
    </w:p>
    <w:p w14:paraId="2D7825F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3、乙方负责保安人员岗位的调配、工作绩效的评定及人员的考核，负责制定甲方认可的保安人员值勤方案和日常管理制度。甲方对乙方确定的保安人员的工作有建议及监督权，乙方应予以配合。 </w:t>
      </w:r>
    </w:p>
    <w:p w14:paraId="4142F18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4、甲方有权根据工作需要，依法依规安排保安人员执行临时任务。保安个人和乙方不得予以拒绝。</w:t>
      </w:r>
    </w:p>
    <w:p w14:paraId="3ED953C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甲方有权督促乙方组织保安人员进行有关安全防范措施和相关规章制度的学习，保安须按照甲方制定的规章制度和要求生活和工作。根据情况，甲方有权要求乙方按照甲方的要求配合处理保安执勤过程中发生的纠纷。</w:t>
      </w:r>
    </w:p>
    <w:p w14:paraId="61AB9EB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6、甲方有权对不按甲方要求履行职责、违反保安守则或者有关规章制度的保安人员按照甲方的相关制度规定进行处罚，情节严重不符合甲方要求的，甲方有权利将此保安人员退回乙方</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并由乙方重新在甲方规定的时间内推荐新的保安人员。</w:t>
      </w:r>
    </w:p>
    <w:p w14:paraId="1C317BA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7、甲方不负责提供乙方保安人员的饮食及医疗等费用。</w:t>
      </w:r>
    </w:p>
    <w:p w14:paraId="4FDC9CD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8、甲方对乙方保安人员的一切个人行为所引起的法律后果不承担任何责任，由乙方自行负责解决处理。甲方对乙方保安人员在执行工作任务期间，违反甲方规定或保安守则，所引起的法律后果不承担任何责任，由乙方自行负责解决处理。 </w:t>
      </w:r>
    </w:p>
    <w:p w14:paraId="488839C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9、甲方应按照合同约定的服务费的标准、支付时间和支付方式向乙方支付保安服务费。</w:t>
      </w:r>
    </w:p>
    <w:p w14:paraId="4EA56AD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10、甲方不得安排保安人员做违反法律法规的事情。</w:t>
      </w:r>
    </w:p>
    <w:p w14:paraId="4F564BD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11、如有以下行为和违约责任，</w:t>
      </w:r>
      <w:r>
        <w:rPr>
          <w:rFonts w:hint="eastAsia" w:ascii="宋体" w:hAnsi="宋体" w:eastAsia="宋体" w:cs="宋体"/>
          <w:color w:val="auto"/>
          <w:sz w:val="24"/>
          <w:szCs w:val="24"/>
          <w:lang w:eastAsia="zh-CN"/>
        </w:rPr>
        <w:t>甲方</w:t>
      </w:r>
      <w:r>
        <w:rPr>
          <w:rFonts w:hint="eastAsia" w:ascii="宋体" w:hAnsi="宋体" w:eastAsia="宋体" w:cs="宋体"/>
          <w:color w:val="auto"/>
          <w:sz w:val="24"/>
          <w:szCs w:val="24"/>
        </w:rPr>
        <w:t>有权立即终止合同，因此产生的损失由</w:t>
      </w:r>
      <w:r>
        <w:rPr>
          <w:rFonts w:hint="eastAsia" w:ascii="宋体" w:hAnsi="宋体" w:eastAsia="宋体" w:cs="宋体"/>
          <w:color w:val="auto"/>
          <w:sz w:val="24"/>
          <w:szCs w:val="24"/>
          <w:lang w:eastAsia="zh-CN"/>
        </w:rPr>
        <w:t>乙方</w:t>
      </w:r>
      <w:r>
        <w:rPr>
          <w:rFonts w:hint="eastAsia" w:ascii="宋体" w:hAnsi="宋体" w:eastAsia="宋体" w:cs="宋体"/>
          <w:color w:val="auto"/>
          <w:sz w:val="24"/>
          <w:szCs w:val="24"/>
        </w:rPr>
        <w:t>负全责，直至追究法律责任。</w:t>
      </w:r>
    </w:p>
    <w:p w14:paraId="1E2EA33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（1）泄露在保安服务中获知的国家秘密、商业秘密以及客户单位明确要求保密的信息的；</w:t>
      </w:r>
    </w:p>
    <w:p w14:paraId="31A9006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（2）使用监控设备侵犯他人合法权益或者个人隐私的；</w:t>
      </w:r>
    </w:p>
    <w:p w14:paraId="57D1F0C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（3）删改或者扩散保安服务中形成的监控影像资料、报警记录的；</w:t>
      </w:r>
    </w:p>
    <w:p w14:paraId="1AD0A53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（4）指使、纵容保安员阻碍依法执行公务、参与追索债务、采用暴力或者以暴力相威胁的手段处置纠纷的；</w:t>
      </w:r>
    </w:p>
    <w:p w14:paraId="5A1BE70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（5）对保安员疏于管理、教育和培训，发生保安员违法犯罪案件，造成严重后果的；</w:t>
      </w:r>
    </w:p>
    <w:p w14:paraId="77C0254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（6）滥用职权，非法限制他人人身自由、搜查他人身体或者侮辱、殴打他人；</w:t>
      </w:r>
    </w:p>
    <w:p w14:paraId="1C7DE20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（7）扣押、没收他人证件、财物的；</w:t>
      </w:r>
    </w:p>
    <w:p w14:paraId="68350C4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（8）阻碍依法执行公务的；</w:t>
      </w:r>
    </w:p>
    <w:p w14:paraId="54D3B11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（9）有违反法律、行政法规的其他行为的。</w:t>
      </w:r>
    </w:p>
    <w:p w14:paraId="039F2E9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（二）乙方权利义务</w:t>
      </w:r>
    </w:p>
    <w:p w14:paraId="5003524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zh-CN" w:bidi="zh-CN"/>
        </w:rPr>
        <w:t>1、乙方必须在双方签订合同后，</w:t>
      </w:r>
      <w:r>
        <w:rPr>
          <w:rFonts w:hint="eastAsia" w:ascii="宋体" w:hAnsi="宋体" w:eastAsia="宋体" w:cs="宋体"/>
          <w:color w:val="auto"/>
          <w:sz w:val="24"/>
          <w:szCs w:val="24"/>
        </w:rPr>
        <w:t>按照合同约定的符合条件并经甲方确定的保安人员送至</w:t>
      </w:r>
      <w:r>
        <w:rPr>
          <w:rFonts w:hint="eastAsia" w:ascii="宋体" w:hAnsi="宋体" w:eastAsia="宋体" w:cs="宋体"/>
          <w:color w:val="auto"/>
          <w:sz w:val="24"/>
          <w:szCs w:val="24"/>
          <w:lang w:eastAsia="zh-CN"/>
        </w:rPr>
        <w:t>甲方指定保安区域</w:t>
      </w:r>
      <w:r>
        <w:rPr>
          <w:rFonts w:hint="eastAsia" w:ascii="宋体" w:hAnsi="宋体" w:eastAsia="宋体" w:cs="宋体"/>
          <w:color w:val="auto"/>
          <w:sz w:val="24"/>
          <w:szCs w:val="24"/>
        </w:rPr>
        <w:t>上岗履职。乙方保安人员入职后必须服从甲方管理人员的指挥，但有权拒绝不合法的服务。</w:t>
      </w:r>
    </w:p>
    <w:p w14:paraId="21404F3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2、乙方应对派驻甲方的保安人员进行上岗前身体检查，确保派驻甲方的保安人员身体健康并能胜任甲方所分配的工作。</w:t>
      </w:r>
    </w:p>
    <w:p w14:paraId="0BDE72B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、乙方负责</w:t>
      </w:r>
      <w:r>
        <w:rPr>
          <w:rFonts w:hint="eastAsia" w:ascii="宋体" w:hAnsi="宋体" w:eastAsia="宋体" w:cs="宋体"/>
          <w:color w:val="auto"/>
          <w:sz w:val="24"/>
          <w:szCs w:val="24"/>
          <w:lang w:val="en-US" w:eastAsia="zh-CN"/>
        </w:rPr>
        <w:t>向</w:t>
      </w:r>
      <w:r>
        <w:rPr>
          <w:rFonts w:hint="eastAsia" w:ascii="宋体" w:hAnsi="宋体" w:eastAsia="宋体" w:cs="宋体"/>
          <w:color w:val="auto"/>
          <w:sz w:val="24"/>
          <w:szCs w:val="24"/>
        </w:rPr>
        <w:t>保安人员</w:t>
      </w:r>
      <w:r>
        <w:rPr>
          <w:rFonts w:hint="eastAsia" w:ascii="宋体" w:hAnsi="宋体" w:eastAsia="宋体" w:cs="宋体"/>
          <w:color w:val="auto"/>
          <w:sz w:val="24"/>
          <w:szCs w:val="24"/>
          <w:lang w:val="en-US" w:eastAsia="zh-CN"/>
        </w:rPr>
        <w:t>支付相应的报酬</w:t>
      </w:r>
      <w:r>
        <w:rPr>
          <w:rFonts w:hint="eastAsia" w:ascii="宋体" w:hAnsi="宋体" w:eastAsia="宋体" w:cs="宋体"/>
          <w:color w:val="auto"/>
          <w:sz w:val="24"/>
          <w:szCs w:val="24"/>
        </w:rPr>
        <w:t>。</w:t>
      </w:r>
    </w:p>
    <w:p w14:paraId="78A986F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 xml:space="preserve">、为了保护甲方人员的生命、财产安全，在防火、防盗、救灾和维护治安秩序中，造成甲方财产损失的，乙方可不予赔偿。构成治安或者刑事案件的，按照公安、司法部门的裁决、判决执行。       </w:t>
      </w:r>
    </w:p>
    <w:p w14:paraId="5D7FB0C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、对甲方认为不合格的保安人员，乙方须在接到甲方书面通知次日撤回不合格人员，并在自撤走不合格人员之次日起3日内将新的符合条件的保安人员派到甲方。 </w:t>
      </w:r>
    </w:p>
    <w:p w14:paraId="21EA4B2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 xml:space="preserve">、乙方管理该项目人员必须保持手机24小时开机，确保甲方随时联系畅通。 </w:t>
      </w:r>
    </w:p>
    <w:p w14:paraId="63AEBDD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 xml:space="preserve">、乙方应对本合同之所有条款以及其他在谈判、本合同实施或履行过程中所得到的所有信息予以保密。该保密责任应在本合同到期及终止后依然有效。 </w:t>
      </w:r>
    </w:p>
    <w:p w14:paraId="1249CB3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 xml:space="preserve">、乙方有义务将甲方的安全隐患告知甲方管理人员或者以书面形式递交，甲方就乙方提出的一些关于安全隐患的告知和书面报告应及时答复，积极改进。 </w:t>
      </w:r>
    </w:p>
    <w:p w14:paraId="7855BA1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、乙方负责协调社会治安、交通、消防等政府部门关系，积极配合相关部门处理好发生在服务区域内的治安案件、交通及火灾事故等。</w:t>
      </w:r>
    </w:p>
    <w:p w14:paraId="27FDBE3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 xml:space="preserve">、乙方应派公司1名管理人员常驻甲方解决相关问题。 </w:t>
      </w:r>
    </w:p>
    <w:p w14:paraId="63C5B27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第</w:t>
      </w:r>
      <w:r>
        <w:rPr>
          <w:rFonts w:hint="eastAsia" w:ascii="宋体" w:hAnsi="宋体" w:eastAsia="宋体" w:cs="宋体"/>
          <w:color w:val="auto"/>
          <w:sz w:val="24"/>
          <w:szCs w:val="24"/>
          <w:lang w:eastAsia="zh-CN"/>
        </w:rPr>
        <w:t>七</w:t>
      </w:r>
      <w:r>
        <w:rPr>
          <w:rFonts w:hint="eastAsia" w:ascii="宋体" w:hAnsi="宋体" w:eastAsia="宋体" w:cs="宋体"/>
          <w:color w:val="auto"/>
          <w:sz w:val="24"/>
          <w:szCs w:val="24"/>
        </w:rPr>
        <w:t>条 服务费用及支付</w:t>
      </w:r>
      <w:r>
        <w:rPr>
          <w:rFonts w:hint="eastAsia" w:ascii="宋体" w:hAnsi="宋体" w:eastAsia="宋体" w:cs="宋体"/>
          <w:color w:val="auto"/>
          <w:sz w:val="24"/>
          <w:szCs w:val="24"/>
          <w:lang w:val="en-US" w:eastAsia="zh-CN"/>
        </w:rPr>
        <w:t>方式</w:t>
      </w:r>
    </w:p>
    <w:p w14:paraId="02890D3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strike/>
          <w:dstrike w:val="0"/>
          <w:color w:val="auto"/>
          <w:sz w:val="24"/>
          <w:szCs w:val="24"/>
          <w:highlight w:val="lightGray"/>
          <w:u w:val="single"/>
          <w:lang w:val="en-US"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支付</w:t>
      </w:r>
      <w:r>
        <w:rPr>
          <w:rFonts w:hint="eastAsia" w:ascii="宋体" w:hAnsi="宋体" w:eastAsia="宋体" w:cs="宋体"/>
          <w:color w:val="auto"/>
          <w:sz w:val="24"/>
          <w:szCs w:val="24"/>
        </w:rPr>
        <w:t>方式：</w:t>
      </w:r>
      <w:r>
        <w:rPr>
          <w:rFonts w:hint="eastAsia" w:ascii="宋体" w:hAnsi="宋体" w:cs="宋体"/>
          <w:color w:val="auto"/>
          <w:sz w:val="24"/>
          <w:szCs w:val="24"/>
          <w:u w:val="single"/>
          <w:lang w:val="en-US" w:eastAsia="zh-CN"/>
        </w:rPr>
        <w:t xml:space="preserve">        </w:t>
      </w:r>
    </w:p>
    <w:p w14:paraId="559D013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八</w:t>
      </w:r>
      <w:r>
        <w:rPr>
          <w:rFonts w:hint="eastAsia" w:ascii="宋体" w:hAnsi="宋体" w:eastAsia="宋体" w:cs="宋体"/>
          <w:color w:val="auto"/>
          <w:sz w:val="24"/>
          <w:szCs w:val="24"/>
        </w:rPr>
        <w:t>条 违约责任及纠纷解决</w:t>
      </w:r>
    </w:p>
    <w:p w14:paraId="46357B6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在合同期间，并在合同规定责任区，因乙方保安人员工作失误、失职而造成甲方财产损失和在甲方责任区内的人员人身伤害，经公安部门认定属实，确定责任大小，由乙方按责任比例赔偿甲方相应的经济损失。</w:t>
      </w:r>
    </w:p>
    <w:p w14:paraId="05D6723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bookmarkStart w:id="72" w:name="_Toc11051"/>
      <w:r>
        <w:rPr>
          <w:rFonts w:hint="eastAsia" w:ascii="宋体" w:hAnsi="宋体" w:eastAsia="宋体" w:cs="宋体"/>
          <w:color w:val="auto"/>
          <w:sz w:val="24"/>
          <w:szCs w:val="24"/>
          <w:lang w:val="en-US" w:eastAsia="zh-CN"/>
        </w:rPr>
        <w:t>2、甲方如未按本合同约定的支付方式及支付时间足额向乙方支付保安服务费，每逾期一日应向乙方支付合同总金额的</w:t>
      </w:r>
      <w:r>
        <w:rPr>
          <w:rFonts w:hint="eastAsia" w:ascii="宋体" w:hAnsi="宋体" w:eastAsia="宋体" w:cs="宋体"/>
          <w:b w:val="0"/>
          <w:bCs w:val="0"/>
          <w:color w:val="auto"/>
          <w:kern w:val="2"/>
          <w:sz w:val="24"/>
          <w:szCs w:val="24"/>
          <w:u w:val="single"/>
          <w:lang w:val="en-US" w:eastAsia="zh-CN" w:bidi="ar-SA"/>
        </w:rPr>
        <w:t xml:space="preserve">   </w:t>
      </w:r>
      <w:r>
        <w:rPr>
          <w:rFonts w:hint="eastAsia" w:ascii="宋体" w:hAnsi="宋体" w:eastAsia="宋体" w:cs="宋体"/>
          <w:b w:val="0"/>
          <w:bCs w:val="0"/>
          <w:color w:val="auto"/>
          <w:kern w:val="2"/>
          <w:sz w:val="24"/>
          <w:szCs w:val="24"/>
          <w:lang w:val="en-US" w:eastAsia="zh-CN" w:bidi="ar-SA"/>
        </w:rPr>
        <w:t xml:space="preserve"> %为违约金，逾期</w:t>
      </w:r>
      <w:r>
        <w:rPr>
          <w:rFonts w:hint="eastAsia" w:ascii="宋体" w:hAnsi="宋体" w:eastAsia="宋体" w:cs="宋体"/>
          <w:b w:val="0"/>
          <w:bCs w:val="0"/>
          <w:color w:val="auto"/>
          <w:kern w:val="2"/>
          <w:sz w:val="24"/>
          <w:szCs w:val="24"/>
          <w:u w:val="single"/>
          <w:lang w:val="en-US" w:eastAsia="zh-CN" w:bidi="ar-SA"/>
        </w:rPr>
        <w:t xml:space="preserve">    </w:t>
      </w:r>
      <w:r>
        <w:rPr>
          <w:rFonts w:hint="eastAsia" w:ascii="宋体" w:hAnsi="宋体" w:eastAsia="宋体" w:cs="宋体"/>
          <w:b w:val="0"/>
          <w:bCs w:val="0"/>
          <w:color w:val="auto"/>
          <w:kern w:val="2"/>
          <w:sz w:val="24"/>
          <w:szCs w:val="24"/>
          <w:lang w:val="en-US" w:eastAsia="zh-CN" w:bidi="ar-SA"/>
        </w:rPr>
        <w:t>日仍未支付的，乙方有权解除本合同，并要求甲方承担因此造成的全部损失。</w:t>
      </w:r>
      <w:bookmarkEnd w:id="72"/>
    </w:p>
    <w:p w14:paraId="525F530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、根据国家有关规定，因下列原因造成的</w:t>
      </w:r>
      <w:r>
        <w:rPr>
          <w:rFonts w:hint="eastAsia" w:ascii="宋体" w:hAnsi="宋体" w:eastAsia="宋体" w:cs="宋体"/>
          <w:color w:val="auto"/>
          <w:sz w:val="24"/>
          <w:szCs w:val="24"/>
          <w:lang w:eastAsia="zh-CN"/>
        </w:rPr>
        <w:t>甲方</w:t>
      </w:r>
      <w:r>
        <w:rPr>
          <w:rFonts w:hint="eastAsia" w:ascii="宋体" w:hAnsi="宋体" w:eastAsia="宋体" w:cs="宋体"/>
          <w:color w:val="auto"/>
          <w:sz w:val="24"/>
          <w:szCs w:val="24"/>
        </w:rPr>
        <w:t>损失，</w:t>
      </w:r>
      <w:r>
        <w:rPr>
          <w:rFonts w:hint="eastAsia" w:ascii="宋体" w:hAnsi="宋体" w:eastAsia="宋体" w:cs="宋体"/>
          <w:color w:val="auto"/>
          <w:sz w:val="24"/>
          <w:szCs w:val="24"/>
          <w:lang w:eastAsia="zh-CN"/>
        </w:rPr>
        <w:t>乙方</w:t>
      </w:r>
      <w:r>
        <w:rPr>
          <w:rFonts w:hint="eastAsia" w:ascii="宋体" w:hAnsi="宋体" w:eastAsia="宋体" w:cs="宋体"/>
          <w:color w:val="auto"/>
          <w:sz w:val="24"/>
          <w:szCs w:val="24"/>
        </w:rPr>
        <w:t>不负责赔偿：</w:t>
      </w:r>
    </w:p>
    <w:p w14:paraId="456DBA1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（1）因紧急避险造成的损失；</w:t>
      </w:r>
    </w:p>
    <w:p w14:paraId="0A02D3A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（2）在紧急情况下从事对</w:t>
      </w:r>
      <w:r>
        <w:rPr>
          <w:rFonts w:hint="eastAsia" w:ascii="宋体" w:hAnsi="宋体" w:eastAsia="宋体" w:cs="宋体"/>
          <w:color w:val="auto"/>
          <w:sz w:val="24"/>
          <w:szCs w:val="24"/>
          <w:lang w:eastAsia="zh-CN"/>
        </w:rPr>
        <w:t>甲方</w:t>
      </w:r>
      <w:r>
        <w:rPr>
          <w:rFonts w:hint="eastAsia" w:ascii="宋体" w:hAnsi="宋体" w:eastAsia="宋体" w:cs="宋体"/>
          <w:color w:val="auto"/>
          <w:sz w:val="24"/>
          <w:szCs w:val="24"/>
        </w:rPr>
        <w:t>或社会有益的工作而造成的损失</w:t>
      </w:r>
    </w:p>
    <w:p w14:paraId="7E49FFB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（3）遭受不可抗拒的意外事故造成的损失；</w:t>
      </w:r>
    </w:p>
    <w:p w14:paraId="2D168C1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第九条 </w:t>
      </w:r>
      <w:r>
        <w:rPr>
          <w:rFonts w:hint="eastAsia" w:ascii="宋体" w:hAnsi="宋体" w:eastAsia="宋体" w:cs="宋体"/>
          <w:color w:val="auto"/>
          <w:sz w:val="24"/>
          <w:szCs w:val="24"/>
        </w:rPr>
        <w:t>其他</w:t>
      </w:r>
    </w:p>
    <w:p w14:paraId="6662DE4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甲、乙</w:t>
      </w:r>
      <w:r>
        <w:rPr>
          <w:rFonts w:hint="eastAsia" w:ascii="宋体" w:hAnsi="宋体" w:eastAsia="宋体" w:cs="宋体"/>
          <w:color w:val="auto"/>
          <w:sz w:val="24"/>
          <w:szCs w:val="24"/>
        </w:rPr>
        <w:t>双方之间包括本协议在内的协议、补充协议、确认书、结算书、往来函等任何与本协议相关的文件必须加盖</w:t>
      </w:r>
      <w:r>
        <w:rPr>
          <w:rFonts w:hint="eastAsia" w:ascii="宋体" w:hAnsi="宋体" w:eastAsia="宋体" w:cs="宋体"/>
          <w:color w:val="auto"/>
          <w:sz w:val="24"/>
          <w:szCs w:val="24"/>
          <w:lang w:eastAsia="zh-CN"/>
        </w:rPr>
        <w:t>甲方</w:t>
      </w:r>
      <w:r>
        <w:rPr>
          <w:rFonts w:hint="eastAsia" w:ascii="宋体" w:hAnsi="宋体" w:eastAsia="宋体" w:cs="宋体"/>
          <w:color w:val="auto"/>
          <w:sz w:val="24"/>
          <w:szCs w:val="24"/>
        </w:rPr>
        <w:t>公章并由授权代表人签字方可有效。</w:t>
      </w:r>
    </w:p>
    <w:p w14:paraId="421301F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2、任何无书面授权的个人在未加盖</w:t>
      </w:r>
      <w:r>
        <w:rPr>
          <w:rFonts w:hint="eastAsia" w:ascii="宋体" w:hAnsi="宋体" w:eastAsia="宋体" w:cs="宋体"/>
          <w:color w:val="auto"/>
          <w:sz w:val="24"/>
          <w:szCs w:val="24"/>
          <w:lang w:eastAsia="zh-CN"/>
        </w:rPr>
        <w:t>甲方</w:t>
      </w:r>
      <w:r>
        <w:rPr>
          <w:rFonts w:hint="eastAsia" w:ascii="宋体" w:hAnsi="宋体" w:eastAsia="宋体" w:cs="宋体"/>
          <w:color w:val="auto"/>
          <w:sz w:val="24"/>
          <w:szCs w:val="24"/>
        </w:rPr>
        <w:t>公章的情况下签订的任何与本协议有关的文件，非</w:t>
      </w:r>
      <w:r>
        <w:rPr>
          <w:rFonts w:hint="eastAsia" w:ascii="宋体" w:hAnsi="宋体" w:eastAsia="宋体" w:cs="宋体"/>
          <w:color w:val="auto"/>
          <w:sz w:val="24"/>
          <w:szCs w:val="24"/>
          <w:lang w:eastAsia="zh-CN"/>
        </w:rPr>
        <w:t>甲方</w:t>
      </w:r>
      <w:r>
        <w:rPr>
          <w:rFonts w:hint="eastAsia" w:ascii="宋体" w:hAnsi="宋体" w:eastAsia="宋体" w:cs="宋体"/>
          <w:color w:val="auto"/>
          <w:sz w:val="24"/>
          <w:szCs w:val="24"/>
        </w:rPr>
        <w:t>的意思表示，对</w:t>
      </w:r>
      <w:r>
        <w:rPr>
          <w:rFonts w:hint="eastAsia" w:ascii="宋体" w:hAnsi="宋体" w:eastAsia="宋体" w:cs="宋体"/>
          <w:color w:val="auto"/>
          <w:sz w:val="24"/>
          <w:szCs w:val="24"/>
          <w:lang w:eastAsia="zh-CN"/>
        </w:rPr>
        <w:t>乙方</w:t>
      </w:r>
      <w:r>
        <w:rPr>
          <w:rFonts w:hint="eastAsia" w:ascii="宋体" w:hAnsi="宋体" w:eastAsia="宋体" w:cs="宋体"/>
          <w:color w:val="auto"/>
          <w:sz w:val="24"/>
          <w:szCs w:val="24"/>
        </w:rPr>
        <w:t>不具有任何约束力，</w:t>
      </w:r>
      <w:r>
        <w:rPr>
          <w:rFonts w:hint="eastAsia" w:ascii="宋体" w:hAnsi="宋体" w:eastAsia="宋体" w:cs="宋体"/>
          <w:color w:val="auto"/>
          <w:sz w:val="24"/>
          <w:szCs w:val="24"/>
          <w:lang w:eastAsia="zh-CN"/>
        </w:rPr>
        <w:t>乙方</w:t>
      </w:r>
      <w:r>
        <w:rPr>
          <w:rFonts w:hint="eastAsia" w:ascii="宋体" w:hAnsi="宋体" w:eastAsia="宋体" w:cs="宋体"/>
          <w:color w:val="auto"/>
          <w:sz w:val="24"/>
          <w:szCs w:val="24"/>
        </w:rPr>
        <w:t>已确知</w:t>
      </w:r>
      <w:r>
        <w:rPr>
          <w:rFonts w:hint="eastAsia" w:ascii="宋体" w:hAnsi="宋体" w:eastAsia="宋体" w:cs="宋体"/>
          <w:color w:val="auto"/>
          <w:sz w:val="24"/>
          <w:szCs w:val="24"/>
          <w:lang w:eastAsia="zh-CN"/>
        </w:rPr>
        <w:t>甲</w:t>
      </w:r>
      <w:r>
        <w:rPr>
          <w:rFonts w:hint="eastAsia" w:ascii="宋体" w:hAnsi="宋体" w:eastAsia="宋体" w:cs="宋体"/>
          <w:color w:val="auto"/>
          <w:sz w:val="24"/>
          <w:szCs w:val="24"/>
        </w:rPr>
        <w:t>方的上述告示内容，若</w:t>
      </w:r>
      <w:r>
        <w:rPr>
          <w:rFonts w:hint="eastAsia" w:ascii="宋体" w:hAnsi="宋体" w:eastAsia="宋体" w:cs="宋体"/>
          <w:color w:val="auto"/>
          <w:sz w:val="24"/>
          <w:szCs w:val="24"/>
          <w:lang w:eastAsia="zh-CN"/>
        </w:rPr>
        <w:t>乙方</w:t>
      </w:r>
      <w:r>
        <w:rPr>
          <w:rFonts w:hint="eastAsia" w:ascii="宋体" w:hAnsi="宋体" w:eastAsia="宋体" w:cs="宋体"/>
          <w:color w:val="auto"/>
          <w:sz w:val="24"/>
          <w:szCs w:val="24"/>
        </w:rPr>
        <w:t>认可、履行上述文件，所产生的任何经济及法律问题与</w:t>
      </w:r>
      <w:r>
        <w:rPr>
          <w:rFonts w:hint="eastAsia" w:ascii="宋体" w:hAnsi="宋体" w:eastAsia="宋体" w:cs="宋体"/>
          <w:color w:val="auto"/>
          <w:sz w:val="24"/>
          <w:szCs w:val="24"/>
          <w:lang w:eastAsia="zh-CN"/>
        </w:rPr>
        <w:t>甲</w:t>
      </w:r>
      <w:r>
        <w:rPr>
          <w:rFonts w:hint="eastAsia" w:ascii="宋体" w:hAnsi="宋体" w:eastAsia="宋体" w:cs="宋体"/>
          <w:color w:val="auto"/>
          <w:sz w:val="24"/>
          <w:szCs w:val="24"/>
        </w:rPr>
        <w:t>方无关，相关责任由</w:t>
      </w:r>
      <w:r>
        <w:rPr>
          <w:rFonts w:hint="eastAsia" w:ascii="宋体" w:hAnsi="宋体" w:eastAsia="宋体" w:cs="宋体"/>
          <w:color w:val="auto"/>
          <w:sz w:val="24"/>
          <w:szCs w:val="24"/>
          <w:lang w:eastAsia="zh-CN"/>
        </w:rPr>
        <w:t>乙方</w:t>
      </w:r>
      <w:r>
        <w:rPr>
          <w:rFonts w:hint="eastAsia" w:ascii="宋体" w:hAnsi="宋体" w:eastAsia="宋体" w:cs="宋体"/>
          <w:color w:val="auto"/>
          <w:sz w:val="24"/>
          <w:szCs w:val="24"/>
        </w:rPr>
        <w:t>自负，</w:t>
      </w:r>
      <w:r>
        <w:rPr>
          <w:rFonts w:hint="eastAsia" w:ascii="宋体" w:hAnsi="宋体" w:eastAsia="宋体" w:cs="宋体"/>
          <w:color w:val="auto"/>
          <w:sz w:val="24"/>
          <w:szCs w:val="24"/>
          <w:lang w:eastAsia="zh-CN"/>
        </w:rPr>
        <w:t>乙方</w:t>
      </w:r>
      <w:r>
        <w:rPr>
          <w:rFonts w:hint="eastAsia" w:ascii="宋体" w:hAnsi="宋体" w:eastAsia="宋体" w:cs="宋体"/>
          <w:color w:val="auto"/>
          <w:sz w:val="24"/>
          <w:szCs w:val="24"/>
        </w:rPr>
        <w:t>无权向</w:t>
      </w:r>
      <w:r>
        <w:rPr>
          <w:rFonts w:hint="eastAsia" w:ascii="宋体" w:hAnsi="宋体" w:eastAsia="宋体" w:cs="宋体"/>
          <w:color w:val="auto"/>
          <w:sz w:val="24"/>
          <w:szCs w:val="24"/>
          <w:lang w:eastAsia="zh-CN"/>
        </w:rPr>
        <w:t>甲方</w:t>
      </w:r>
      <w:r>
        <w:rPr>
          <w:rFonts w:hint="eastAsia" w:ascii="宋体" w:hAnsi="宋体" w:eastAsia="宋体" w:cs="宋体"/>
          <w:color w:val="auto"/>
          <w:sz w:val="24"/>
          <w:szCs w:val="24"/>
        </w:rPr>
        <w:t>主张任何权利。</w:t>
      </w:r>
    </w:p>
    <w:p w14:paraId="0189B81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甲方</w:t>
      </w:r>
      <w:r>
        <w:rPr>
          <w:rFonts w:hint="eastAsia" w:ascii="宋体" w:hAnsi="宋体" w:eastAsia="宋体" w:cs="宋体"/>
          <w:color w:val="auto"/>
          <w:sz w:val="24"/>
          <w:szCs w:val="24"/>
        </w:rPr>
        <w:t>的各项安全制度和管理规定为与</w:t>
      </w:r>
      <w:r>
        <w:rPr>
          <w:rFonts w:hint="eastAsia" w:ascii="宋体" w:hAnsi="宋体" w:eastAsia="宋体" w:cs="宋体"/>
          <w:color w:val="auto"/>
          <w:sz w:val="24"/>
          <w:szCs w:val="24"/>
          <w:lang w:eastAsia="zh-CN"/>
        </w:rPr>
        <w:t>乙方</w:t>
      </w:r>
      <w:r>
        <w:rPr>
          <w:rFonts w:hint="eastAsia" w:ascii="宋体" w:hAnsi="宋体" w:eastAsia="宋体" w:cs="宋体"/>
          <w:color w:val="auto"/>
          <w:sz w:val="24"/>
          <w:szCs w:val="24"/>
        </w:rPr>
        <w:t>签订合同的组成部分，</w:t>
      </w:r>
      <w:r>
        <w:rPr>
          <w:rFonts w:hint="eastAsia" w:ascii="宋体" w:hAnsi="宋体" w:eastAsia="宋体" w:cs="宋体"/>
          <w:color w:val="auto"/>
          <w:sz w:val="24"/>
          <w:szCs w:val="24"/>
          <w:lang w:eastAsia="zh-CN"/>
        </w:rPr>
        <w:t>乙方</w:t>
      </w:r>
      <w:r>
        <w:rPr>
          <w:rFonts w:hint="eastAsia" w:ascii="宋体" w:hAnsi="宋体" w:eastAsia="宋体" w:cs="宋体"/>
          <w:color w:val="auto"/>
          <w:sz w:val="24"/>
          <w:szCs w:val="24"/>
        </w:rPr>
        <w:t>及</w:t>
      </w:r>
      <w:r>
        <w:rPr>
          <w:rFonts w:hint="eastAsia" w:ascii="宋体" w:hAnsi="宋体" w:eastAsia="宋体" w:cs="宋体"/>
          <w:color w:val="auto"/>
          <w:sz w:val="24"/>
          <w:szCs w:val="24"/>
          <w:lang w:eastAsia="zh-CN"/>
        </w:rPr>
        <w:t>乙方</w:t>
      </w:r>
      <w:r>
        <w:rPr>
          <w:rFonts w:hint="eastAsia" w:ascii="宋体" w:hAnsi="宋体" w:eastAsia="宋体" w:cs="宋体"/>
          <w:color w:val="auto"/>
          <w:sz w:val="24"/>
          <w:szCs w:val="24"/>
        </w:rPr>
        <w:t>派出的保安人员在签署本合同前已经知晓并接受其约束和处罚。</w:t>
      </w:r>
    </w:p>
    <w:p w14:paraId="5C26B6F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lang w:eastAsia="zh-CN"/>
        </w:rPr>
        <w:t>甲乙双</w:t>
      </w:r>
      <w:r>
        <w:rPr>
          <w:rFonts w:hint="eastAsia" w:ascii="宋体" w:hAnsi="宋体" w:eastAsia="宋体" w:cs="宋体"/>
          <w:color w:val="auto"/>
          <w:sz w:val="24"/>
          <w:szCs w:val="24"/>
        </w:rPr>
        <w:t>方在执行本合同的过程中发生的争议，应协商解决，协商不成，双方按相关法律法规执行；</w:t>
      </w:r>
    </w:p>
    <w:p w14:paraId="5B7232D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5、若因本合同发生争议无法解决的，由</w:t>
      </w:r>
      <w:r>
        <w:rPr>
          <w:rFonts w:hint="eastAsia" w:ascii="宋体" w:hAnsi="宋体" w:eastAsia="宋体" w:cs="宋体"/>
          <w:color w:val="auto"/>
          <w:sz w:val="24"/>
          <w:szCs w:val="24"/>
          <w:lang w:eastAsia="zh-CN"/>
        </w:rPr>
        <w:t>甲方</w:t>
      </w:r>
      <w:r>
        <w:rPr>
          <w:rFonts w:hint="eastAsia" w:ascii="宋体" w:hAnsi="宋体" w:eastAsia="宋体" w:cs="宋体"/>
          <w:color w:val="auto"/>
          <w:sz w:val="24"/>
          <w:szCs w:val="24"/>
        </w:rPr>
        <w:t>所在地法院管辖。</w:t>
      </w:r>
    </w:p>
    <w:p w14:paraId="5FC6D6B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6、本合同一式</w:t>
      </w:r>
      <w:r>
        <w:rPr>
          <w:rFonts w:hint="eastAsia" w:ascii="宋体" w:hAnsi="宋体" w:eastAsia="宋体" w:cs="宋体"/>
          <w:color w:val="auto"/>
          <w:sz w:val="24"/>
          <w:szCs w:val="24"/>
          <w:lang w:val="en-US" w:eastAsia="zh-CN"/>
        </w:rPr>
        <w:t>肆</w:t>
      </w:r>
      <w:r>
        <w:rPr>
          <w:rFonts w:hint="eastAsia" w:ascii="宋体" w:hAnsi="宋体" w:eastAsia="宋体" w:cs="宋体"/>
          <w:color w:val="auto"/>
          <w:sz w:val="24"/>
          <w:szCs w:val="24"/>
          <w:lang w:eastAsia="zh-CN"/>
        </w:rPr>
        <w:t>份，双方各执</w:t>
      </w:r>
      <w:r>
        <w:rPr>
          <w:rFonts w:hint="eastAsia" w:ascii="宋体" w:hAnsi="宋体" w:eastAsia="宋体" w:cs="宋体"/>
          <w:color w:val="auto"/>
          <w:sz w:val="24"/>
          <w:szCs w:val="24"/>
          <w:lang w:val="en-US" w:eastAsia="zh-CN"/>
        </w:rPr>
        <w:t>贰</w:t>
      </w:r>
      <w:r>
        <w:rPr>
          <w:rFonts w:hint="eastAsia" w:ascii="宋体" w:hAnsi="宋体" w:eastAsia="宋体" w:cs="宋体"/>
          <w:color w:val="auto"/>
          <w:sz w:val="24"/>
          <w:szCs w:val="24"/>
          <w:lang w:eastAsia="zh-CN"/>
        </w:rPr>
        <w:t>份。本合同由双方签字盖章生效。</w:t>
      </w:r>
    </w:p>
    <w:p w14:paraId="02C46E85">
      <w:pPr>
        <w:rPr>
          <w:rFonts w:hint="default"/>
          <w:color w:val="auto"/>
          <w:lang w:val="en-US" w:eastAsia="zh-CN"/>
        </w:rPr>
      </w:pPr>
    </w:p>
    <w:tbl>
      <w:tblPr>
        <w:tblStyle w:val="20"/>
        <w:tblW w:w="0" w:type="auto"/>
        <w:jc w:val="center"/>
        <w:tblLayout w:type="autofit"/>
        <w:tblCellMar>
          <w:top w:w="0" w:type="dxa"/>
          <w:left w:w="108" w:type="dxa"/>
          <w:bottom w:w="0" w:type="dxa"/>
          <w:right w:w="108" w:type="dxa"/>
        </w:tblCellMar>
      </w:tblPr>
      <w:tblGrid>
        <w:gridCol w:w="4395"/>
        <w:gridCol w:w="3570"/>
      </w:tblGrid>
      <w:tr w14:paraId="5EA79A5D">
        <w:tblPrEx>
          <w:tblCellMar>
            <w:top w:w="0" w:type="dxa"/>
            <w:left w:w="108" w:type="dxa"/>
            <w:bottom w:w="0" w:type="dxa"/>
            <w:right w:w="108" w:type="dxa"/>
          </w:tblCellMar>
        </w:tblPrEx>
        <w:trPr>
          <w:trHeight w:val="3460" w:hRule="atLeast"/>
          <w:jc w:val="center"/>
        </w:trPr>
        <w:tc>
          <w:tcPr>
            <w:tcW w:w="4395" w:type="dxa"/>
            <w:noWrap w:val="0"/>
            <w:vAlign w:val="top"/>
          </w:tcPr>
          <w:p w14:paraId="308E5163">
            <w:pPr>
              <w:pageBreakBefore w:val="0"/>
              <w:widowControl w:val="0"/>
              <w:kinsoku/>
              <w:wordWrap/>
              <w:overflowPunct/>
              <w:topLinePunct w:val="0"/>
              <w:autoSpaceDE w:val="0"/>
              <w:autoSpaceDN/>
              <w:bidi w:val="0"/>
              <w:adjustRightInd/>
              <w:snapToGrid/>
              <w:spacing w:line="460" w:lineRule="exact"/>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lang w:val="en-US" w:eastAsia="zh-CN"/>
              </w:rPr>
              <w:t>甲方</w:t>
            </w:r>
            <w:r>
              <w:rPr>
                <w:rFonts w:hint="eastAsia" w:ascii="宋体" w:hAnsi="宋体" w:eastAsia="宋体" w:cs="宋体"/>
                <w:color w:val="auto"/>
                <w:sz w:val="24"/>
                <w:szCs w:val="24"/>
                <w:u w:val="none"/>
              </w:rPr>
              <w:t>：</w:t>
            </w:r>
          </w:p>
          <w:p w14:paraId="22618575">
            <w:pPr>
              <w:pageBreakBefore w:val="0"/>
              <w:widowControl w:val="0"/>
              <w:kinsoku/>
              <w:wordWrap/>
              <w:overflowPunct/>
              <w:topLinePunct w:val="0"/>
              <w:autoSpaceDE w:val="0"/>
              <w:autoSpaceDN/>
              <w:bidi w:val="0"/>
              <w:adjustRightInd/>
              <w:snapToGrid/>
              <w:spacing w:line="460" w:lineRule="exact"/>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lang w:val="zh-CN"/>
              </w:rPr>
              <w:t>法定代表人</w:t>
            </w:r>
            <w:r>
              <w:rPr>
                <w:rFonts w:hint="eastAsia" w:ascii="宋体" w:hAnsi="宋体" w:eastAsia="宋体" w:cs="宋体"/>
                <w:color w:val="auto"/>
                <w:sz w:val="24"/>
                <w:szCs w:val="24"/>
                <w:u w:val="none"/>
              </w:rPr>
              <w:t>：</w:t>
            </w:r>
          </w:p>
          <w:p w14:paraId="3922A985">
            <w:pPr>
              <w:pageBreakBefore w:val="0"/>
              <w:widowControl w:val="0"/>
              <w:kinsoku/>
              <w:wordWrap/>
              <w:overflowPunct/>
              <w:topLinePunct w:val="0"/>
              <w:autoSpaceDE w:val="0"/>
              <w:autoSpaceDN/>
              <w:bidi w:val="0"/>
              <w:adjustRightInd/>
              <w:snapToGrid/>
              <w:spacing w:line="460" w:lineRule="exact"/>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lang w:val="zh-CN"/>
              </w:rPr>
              <w:t>或委托代理人</w:t>
            </w:r>
            <w:r>
              <w:rPr>
                <w:rFonts w:hint="eastAsia" w:ascii="宋体" w:hAnsi="宋体" w:eastAsia="宋体" w:cs="宋体"/>
                <w:color w:val="auto"/>
                <w:sz w:val="24"/>
                <w:szCs w:val="24"/>
                <w:u w:val="none"/>
              </w:rPr>
              <w:t>：</w:t>
            </w:r>
          </w:p>
          <w:p w14:paraId="02EC2802">
            <w:pPr>
              <w:pageBreakBefore w:val="0"/>
              <w:widowControl w:val="0"/>
              <w:kinsoku/>
              <w:wordWrap/>
              <w:overflowPunct/>
              <w:topLinePunct w:val="0"/>
              <w:autoSpaceDE w:val="0"/>
              <w:autoSpaceDN/>
              <w:bidi w:val="0"/>
              <w:adjustRightInd/>
              <w:snapToGrid/>
              <w:spacing w:line="460" w:lineRule="exact"/>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lang w:val="zh-CN"/>
              </w:rPr>
              <w:t>开户行：</w:t>
            </w:r>
          </w:p>
          <w:p w14:paraId="1AB2EA05">
            <w:pPr>
              <w:pageBreakBefore w:val="0"/>
              <w:widowControl w:val="0"/>
              <w:kinsoku/>
              <w:wordWrap/>
              <w:overflowPunct/>
              <w:topLinePunct w:val="0"/>
              <w:autoSpaceDE w:val="0"/>
              <w:autoSpaceDN/>
              <w:bidi w:val="0"/>
              <w:adjustRightInd/>
              <w:snapToGrid/>
              <w:spacing w:line="460" w:lineRule="exact"/>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lang w:val="zh-CN"/>
              </w:rPr>
              <w:t>账号：</w:t>
            </w:r>
          </w:p>
          <w:p w14:paraId="43153FB0">
            <w:pPr>
              <w:pageBreakBefore w:val="0"/>
              <w:widowControl w:val="0"/>
              <w:kinsoku/>
              <w:wordWrap/>
              <w:overflowPunct/>
              <w:topLinePunct w:val="0"/>
              <w:autoSpaceDE w:val="0"/>
              <w:autoSpaceDN/>
              <w:bidi w:val="0"/>
              <w:adjustRightInd/>
              <w:snapToGrid/>
              <w:spacing w:line="460" w:lineRule="exact"/>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lang w:val="zh-CN"/>
              </w:rPr>
              <w:t>税号：</w:t>
            </w:r>
          </w:p>
        </w:tc>
        <w:tc>
          <w:tcPr>
            <w:tcW w:w="3570" w:type="dxa"/>
            <w:noWrap w:val="0"/>
            <w:vAlign w:val="top"/>
          </w:tcPr>
          <w:p w14:paraId="43095A4F">
            <w:pPr>
              <w:pageBreakBefore w:val="0"/>
              <w:widowControl w:val="0"/>
              <w:kinsoku/>
              <w:wordWrap/>
              <w:overflowPunct/>
              <w:topLinePunct w:val="0"/>
              <w:autoSpaceDE w:val="0"/>
              <w:autoSpaceDN/>
              <w:bidi w:val="0"/>
              <w:adjustRightInd/>
              <w:snapToGrid/>
              <w:spacing w:line="460" w:lineRule="exact"/>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lang w:val="en-US" w:eastAsia="zh-CN"/>
              </w:rPr>
              <w:t>乙方</w:t>
            </w:r>
            <w:r>
              <w:rPr>
                <w:rFonts w:hint="eastAsia" w:ascii="宋体" w:hAnsi="宋体" w:eastAsia="宋体" w:cs="宋体"/>
                <w:color w:val="auto"/>
                <w:sz w:val="24"/>
                <w:szCs w:val="24"/>
                <w:u w:val="none"/>
              </w:rPr>
              <w:t>：</w:t>
            </w:r>
          </w:p>
          <w:p w14:paraId="5C6E900F">
            <w:pPr>
              <w:pageBreakBefore w:val="0"/>
              <w:widowControl w:val="0"/>
              <w:kinsoku/>
              <w:wordWrap/>
              <w:overflowPunct/>
              <w:topLinePunct w:val="0"/>
              <w:autoSpaceDE w:val="0"/>
              <w:autoSpaceDN/>
              <w:bidi w:val="0"/>
              <w:adjustRightInd/>
              <w:snapToGrid/>
              <w:spacing w:line="460" w:lineRule="exact"/>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zh-CN"/>
              </w:rPr>
              <w:t>法定代表人</w:t>
            </w:r>
            <w:r>
              <w:rPr>
                <w:rFonts w:hint="eastAsia" w:ascii="宋体" w:hAnsi="宋体" w:eastAsia="宋体" w:cs="宋体"/>
                <w:color w:val="auto"/>
                <w:sz w:val="24"/>
                <w:szCs w:val="24"/>
                <w:u w:val="none"/>
              </w:rPr>
              <w:t>：</w:t>
            </w:r>
          </w:p>
          <w:p w14:paraId="51AE80B6">
            <w:pPr>
              <w:pageBreakBefore w:val="0"/>
              <w:widowControl w:val="0"/>
              <w:kinsoku/>
              <w:wordWrap/>
              <w:overflowPunct/>
              <w:topLinePunct w:val="0"/>
              <w:autoSpaceDE w:val="0"/>
              <w:autoSpaceDN/>
              <w:bidi w:val="0"/>
              <w:adjustRightInd/>
              <w:snapToGrid/>
              <w:spacing w:line="460" w:lineRule="exact"/>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lang w:val="zh-CN"/>
              </w:rPr>
              <w:t>或委托代理人</w:t>
            </w:r>
            <w:r>
              <w:rPr>
                <w:rFonts w:hint="eastAsia" w:ascii="宋体" w:hAnsi="宋体" w:eastAsia="宋体" w:cs="宋体"/>
                <w:color w:val="auto"/>
                <w:sz w:val="24"/>
                <w:szCs w:val="24"/>
                <w:u w:val="none"/>
              </w:rPr>
              <w:t>：</w:t>
            </w:r>
          </w:p>
          <w:p w14:paraId="6771AF5B">
            <w:pPr>
              <w:pageBreakBefore w:val="0"/>
              <w:widowControl w:val="0"/>
              <w:kinsoku/>
              <w:wordWrap/>
              <w:overflowPunct/>
              <w:topLinePunct w:val="0"/>
              <w:autoSpaceDE w:val="0"/>
              <w:autoSpaceDN/>
              <w:bidi w:val="0"/>
              <w:adjustRightInd/>
              <w:snapToGrid/>
              <w:spacing w:line="460" w:lineRule="exact"/>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lang w:val="zh-CN"/>
              </w:rPr>
              <w:t>开户行：</w:t>
            </w:r>
          </w:p>
          <w:p w14:paraId="42574CE6">
            <w:pPr>
              <w:pageBreakBefore w:val="0"/>
              <w:widowControl w:val="0"/>
              <w:kinsoku/>
              <w:wordWrap/>
              <w:overflowPunct/>
              <w:topLinePunct w:val="0"/>
              <w:autoSpaceDE w:val="0"/>
              <w:autoSpaceDN/>
              <w:bidi w:val="0"/>
              <w:adjustRightInd/>
              <w:snapToGrid/>
              <w:spacing w:line="460" w:lineRule="exact"/>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lang w:val="zh-CN"/>
              </w:rPr>
              <w:t>账号：</w:t>
            </w:r>
          </w:p>
          <w:p w14:paraId="5585F873">
            <w:pPr>
              <w:pageBreakBefore w:val="0"/>
              <w:widowControl w:val="0"/>
              <w:kinsoku/>
              <w:wordWrap/>
              <w:overflowPunct/>
              <w:topLinePunct w:val="0"/>
              <w:autoSpaceDE w:val="0"/>
              <w:autoSpaceDN/>
              <w:bidi w:val="0"/>
              <w:adjustRightInd/>
              <w:snapToGrid/>
              <w:spacing w:line="460" w:lineRule="exact"/>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zh-CN"/>
              </w:rPr>
              <w:t>税号：</w:t>
            </w:r>
          </w:p>
        </w:tc>
      </w:tr>
    </w:tbl>
    <w:p w14:paraId="019E12B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rPr>
      </w:pPr>
    </w:p>
    <w:p w14:paraId="3D2336F8">
      <w:pPr>
        <w:keepNext w:val="0"/>
        <w:keepLines w:val="0"/>
        <w:pageBreakBefore w:val="0"/>
        <w:widowControl w:val="0"/>
        <w:kinsoku/>
        <w:wordWrap/>
        <w:overflowPunct/>
        <w:topLinePunct w:val="0"/>
        <w:autoSpaceDE/>
        <w:autoSpaceDN/>
        <w:bidi w:val="0"/>
        <w:adjustRightInd/>
        <w:snapToGrid/>
        <w:spacing w:line="460" w:lineRule="exact"/>
        <w:ind w:firstLine="3600" w:firstLineChars="15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lang w:val="en-US" w:eastAsia="zh-CN"/>
        </w:rPr>
        <w:t xml:space="preserve">     年  月   日</w:t>
      </w:r>
      <w:r>
        <w:rPr>
          <w:rFonts w:hint="eastAsia" w:ascii="宋体" w:hAnsi="宋体" w:eastAsia="宋体" w:cs="宋体"/>
          <w:color w:val="auto"/>
          <w:sz w:val="24"/>
          <w:szCs w:val="24"/>
        </w:rPr>
        <w:t xml:space="preserve"> </w:t>
      </w:r>
    </w:p>
    <w:p w14:paraId="71443912">
      <w:pPr>
        <w:pStyle w:val="24"/>
        <w:spacing w:after="0"/>
        <w:rPr>
          <w:rFonts w:ascii="Times New Roman"/>
          <w:color w:val="auto"/>
          <w:sz w:val="20"/>
        </w:rPr>
        <w:sectPr>
          <w:footerReference r:id="rId7" w:type="default"/>
          <w:pgSz w:w="11910" w:h="16840"/>
          <w:pgMar w:top="1320" w:right="850" w:bottom="840" w:left="992" w:header="804" w:footer="649" w:gutter="0"/>
          <w:pgNumType w:fmt="decimal" w:start="1"/>
          <w:cols w:space="720" w:num="1"/>
        </w:sectPr>
      </w:pPr>
    </w:p>
    <w:p w14:paraId="3CB805AA">
      <w:pPr>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outlineLvl w:val="0"/>
        <w:rPr>
          <w:rFonts w:ascii="宋体" w:hAnsi="宋体" w:eastAsia="宋体" w:cs="宋体"/>
          <w:bCs w:val="0"/>
          <w:color w:val="auto"/>
          <w:kern w:val="0"/>
          <w:sz w:val="32"/>
          <w:szCs w:val="32"/>
        </w:rPr>
      </w:pPr>
      <w:bookmarkStart w:id="73" w:name="_Toc26124"/>
      <w:r>
        <w:rPr>
          <w:rFonts w:hint="eastAsia" w:ascii="宋体" w:hAnsi="宋体" w:eastAsia="宋体" w:cs="宋体"/>
          <w:bCs w:val="0"/>
          <w:color w:val="auto"/>
          <w:kern w:val="0"/>
          <w:sz w:val="32"/>
          <w:szCs w:val="32"/>
        </w:rPr>
        <w:t>第五章 服务要求</w:t>
      </w:r>
      <w:bookmarkEnd w:id="70"/>
      <w:bookmarkEnd w:id="71"/>
      <w:bookmarkEnd w:id="73"/>
    </w:p>
    <w:p w14:paraId="351403AD">
      <w:pPr>
        <w:spacing w:line="480" w:lineRule="exact"/>
        <w:rPr>
          <w:rFonts w:ascii="宋体" w:hAnsi="宋体"/>
          <w:color w:val="auto"/>
          <w:sz w:val="24"/>
          <w:szCs w:val="24"/>
        </w:rPr>
      </w:pPr>
      <w:bookmarkStart w:id="74" w:name="_Toc113437302"/>
      <w:r>
        <w:rPr>
          <w:rFonts w:hint="eastAsia" w:ascii="宋体" w:hAnsi="宋体"/>
          <w:b/>
          <w:color w:val="auto"/>
          <w:sz w:val="24"/>
          <w:szCs w:val="24"/>
        </w:rPr>
        <w:t>一、总体工作要求</w:t>
      </w:r>
    </w:p>
    <w:p w14:paraId="2D0F0B70">
      <w:pPr>
        <w:spacing w:line="480" w:lineRule="exact"/>
        <w:ind w:firstLine="240" w:firstLineChars="100"/>
        <w:rPr>
          <w:rFonts w:ascii="宋体" w:hAnsi="宋体"/>
          <w:color w:val="auto"/>
          <w:sz w:val="24"/>
          <w:szCs w:val="24"/>
        </w:rPr>
      </w:pPr>
      <w:r>
        <w:rPr>
          <w:rFonts w:hint="eastAsia" w:ascii="宋体" w:hAnsi="宋体"/>
          <w:color w:val="auto"/>
          <w:sz w:val="24"/>
          <w:szCs w:val="24"/>
        </w:rPr>
        <w:t>1、乙方(中标服务公司，下同)所有在岗人员必须严格遵守国家法律法规和甲方规章制度及岗位要求，自觉服从甲方（平顶山市第一高级中学，下同）管理人员的监督管理。</w:t>
      </w:r>
    </w:p>
    <w:p w14:paraId="750BADFA">
      <w:pPr>
        <w:spacing w:line="480" w:lineRule="exact"/>
        <w:ind w:firstLine="240" w:firstLineChars="100"/>
        <w:rPr>
          <w:rFonts w:ascii="宋体" w:hAnsi="宋体"/>
          <w:color w:val="auto"/>
          <w:sz w:val="24"/>
          <w:szCs w:val="24"/>
        </w:rPr>
      </w:pPr>
      <w:r>
        <w:rPr>
          <w:rFonts w:hint="eastAsia" w:ascii="宋体" w:hAnsi="宋体"/>
          <w:color w:val="auto"/>
          <w:sz w:val="24"/>
          <w:szCs w:val="24"/>
        </w:rPr>
        <w:t>2、乙方管理岗位人员（每周不得少于5个工作日在甲方单位参与管理）应加强与甲方工作人员的联系与沟通，不断更新服务理念，改进工作方法，提高服务质量，共建共享平安和谐美丽校园。</w:t>
      </w:r>
    </w:p>
    <w:p w14:paraId="55A0AF79">
      <w:pPr>
        <w:spacing w:line="480" w:lineRule="exact"/>
        <w:ind w:firstLine="240" w:firstLineChars="100"/>
        <w:rPr>
          <w:rFonts w:ascii="宋体" w:hAnsi="宋体"/>
          <w:color w:val="auto"/>
          <w:sz w:val="24"/>
          <w:szCs w:val="24"/>
        </w:rPr>
      </w:pPr>
      <w:r>
        <w:rPr>
          <w:rFonts w:hint="eastAsia" w:ascii="宋体" w:hAnsi="宋体"/>
          <w:color w:val="auto"/>
          <w:sz w:val="24"/>
          <w:szCs w:val="24"/>
        </w:rPr>
        <w:t>3、乙方在岗值班值守人员必须树立以师生为中心的工作理念和服务意识，严格规范职业道德、值班语言、值岗动作，坚守岗位、衣着整洁、秉公办事、礼貌应询、文明执勤。</w:t>
      </w:r>
    </w:p>
    <w:p w14:paraId="07A3B613">
      <w:pPr>
        <w:spacing w:line="480" w:lineRule="exact"/>
        <w:ind w:firstLine="240" w:firstLineChars="100"/>
        <w:rPr>
          <w:rFonts w:hint="eastAsia" w:ascii="宋体" w:hAnsi="宋体"/>
          <w:color w:val="auto"/>
          <w:sz w:val="24"/>
          <w:szCs w:val="24"/>
        </w:rPr>
      </w:pPr>
      <w:r>
        <w:rPr>
          <w:rFonts w:hint="eastAsia" w:ascii="宋体" w:hAnsi="宋体"/>
          <w:color w:val="auto"/>
          <w:sz w:val="24"/>
          <w:szCs w:val="24"/>
        </w:rPr>
        <w:t>4、甲方可根据工作需要，随时调整岗位设置和任务安排，乙方应积极主动配合，自觉接受调整和调度，确保在规定的时间将规定的保安员人数安排到位，并指定专人负责。</w:t>
      </w:r>
    </w:p>
    <w:p w14:paraId="28194DCA">
      <w:pPr>
        <w:spacing w:line="480" w:lineRule="exact"/>
        <w:ind w:firstLine="240" w:firstLineChars="100"/>
        <w:rPr>
          <w:rFonts w:ascii="宋体" w:hAnsi="宋体"/>
          <w:b w:val="0"/>
          <w:bCs w:val="0"/>
          <w:color w:val="auto"/>
          <w:sz w:val="24"/>
          <w:szCs w:val="24"/>
        </w:rPr>
      </w:pPr>
      <w:r>
        <w:rPr>
          <w:rFonts w:hint="eastAsia" w:ascii="宋体" w:hAnsi="宋体"/>
          <w:b w:val="0"/>
          <w:bCs w:val="0"/>
          <w:color w:val="auto"/>
          <w:sz w:val="24"/>
          <w:szCs w:val="24"/>
        </w:rPr>
        <w:t>5、甲方在对服务质量日常检查过程中，对乙方出现的一般性违规等过错行为，通过当班队长或负责人进行反馈并限期整改；重大过错行为，将直接反馈给服务公司中层以上领导并责成限期做出处理。</w:t>
      </w:r>
    </w:p>
    <w:p w14:paraId="35E72834">
      <w:pPr>
        <w:spacing w:line="480" w:lineRule="exact"/>
        <w:ind w:firstLine="240" w:firstLineChars="100"/>
        <w:rPr>
          <w:rFonts w:hint="eastAsia" w:ascii="宋体" w:hAnsi="宋体"/>
          <w:b w:val="0"/>
          <w:bCs w:val="0"/>
          <w:color w:val="auto"/>
          <w:sz w:val="24"/>
          <w:szCs w:val="24"/>
          <w:lang w:val="en-US" w:eastAsia="zh-CN"/>
        </w:rPr>
      </w:pPr>
      <w:bookmarkStart w:id="75" w:name="_Toc14858"/>
      <w:r>
        <w:rPr>
          <w:rFonts w:hint="eastAsia" w:ascii="宋体" w:hAnsi="宋体"/>
          <w:b w:val="0"/>
          <w:bCs w:val="0"/>
          <w:color w:val="auto"/>
          <w:sz w:val="24"/>
          <w:szCs w:val="24"/>
          <w:lang w:val="en-US" w:eastAsia="zh-CN"/>
        </w:rPr>
        <w:t>6、甲方单位内部出现紧急应急情况时，甲方需临时增加人员，乙方在接到甲方通知后，应在规定时间内按甲方要求人数组织人员到达甲方指定位置。</w:t>
      </w:r>
      <w:bookmarkEnd w:id="75"/>
    </w:p>
    <w:p w14:paraId="7DBFB904">
      <w:pPr>
        <w:spacing w:line="480" w:lineRule="exact"/>
        <w:ind w:firstLine="240" w:firstLineChars="100"/>
        <w:rPr>
          <w:rFonts w:hint="eastAsia" w:ascii="宋体" w:hAnsi="宋体"/>
          <w:b w:val="0"/>
          <w:bCs w:val="0"/>
          <w:color w:val="auto"/>
          <w:sz w:val="24"/>
          <w:szCs w:val="24"/>
        </w:rPr>
      </w:pPr>
      <w:r>
        <w:rPr>
          <w:rFonts w:hint="eastAsia" w:ascii="宋体" w:hAnsi="宋体"/>
          <w:b w:val="0"/>
          <w:bCs w:val="0"/>
          <w:color w:val="auto"/>
          <w:sz w:val="24"/>
          <w:szCs w:val="24"/>
          <w:lang w:val="en-US" w:eastAsia="zh-CN"/>
        </w:rPr>
        <w:t>7、在服务过程中，因服务人员过失，发生财产丢</w:t>
      </w:r>
      <w:r>
        <w:rPr>
          <w:rFonts w:hint="eastAsia" w:ascii="宋体" w:hAnsi="宋体" w:eastAsia="宋体" w:cs="Times New Roman"/>
          <w:b w:val="0"/>
          <w:bCs w:val="0"/>
          <w:color w:val="auto"/>
          <w:kern w:val="2"/>
          <w:sz w:val="24"/>
          <w:szCs w:val="24"/>
          <w:lang w:val="en-US" w:eastAsia="zh-CN" w:bidi="ar-SA"/>
        </w:rPr>
        <w:t>失的</w:t>
      </w:r>
      <w:r>
        <w:rPr>
          <w:rFonts w:hint="eastAsia" w:ascii="宋体" w:hAnsi="宋体"/>
          <w:b w:val="0"/>
          <w:bCs w:val="0"/>
          <w:color w:val="auto"/>
          <w:sz w:val="24"/>
          <w:szCs w:val="24"/>
        </w:rPr>
        <w:t>，由提供服务的公司负责赔偿。</w:t>
      </w:r>
    </w:p>
    <w:p w14:paraId="1F3D1E9E">
      <w:pPr>
        <w:spacing w:line="480" w:lineRule="exact"/>
        <w:ind w:firstLine="240" w:firstLineChars="100"/>
        <w:rPr>
          <w:rFonts w:hint="eastAsia" w:ascii="宋体" w:hAnsi="宋体"/>
          <w:color w:val="auto"/>
          <w:sz w:val="24"/>
          <w:szCs w:val="24"/>
        </w:rPr>
      </w:pPr>
      <w:r>
        <w:rPr>
          <w:rFonts w:hint="eastAsia" w:ascii="宋体" w:hAnsi="宋体"/>
          <w:b w:val="0"/>
          <w:bCs w:val="0"/>
          <w:color w:val="auto"/>
          <w:sz w:val="24"/>
          <w:szCs w:val="24"/>
        </w:rPr>
        <w:t>8、投标方必须有服务项目负责人。</w:t>
      </w:r>
    </w:p>
    <w:p w14:paraId="1130D567">
      <w:pPr>
        <w:spacing w:line="480" w:lineRule="exact"/>
        <w:ind w:firstLine="240" w:firstLineChars="100"/>
        <w:rPr>
          <w:rFonts w:hint="eastAsia" w:ascii="宋体" w:hAnsi="宋体"/>
          <w:color w:val="auto"/>
          <w:sz w:val="24"/>
          <w:szCs w:val="24"/>
        </w:rPr>
      </w:pPr>
      <w:r>
        <w:rPr>
          <w:rFonts w:hint="eastAsia" w:ascii="宋体" w:hAnsi="宋体"/>
          <w:color w:val="auto"/>
          <w:sz w:val="24"/>
          <w:szCs w:val="24"/>
        </w:rPr>
        <w:t>9、服务期限：</w:t>
      </w:r>
      <w:r>
        <w:rPr>
          <w:rFonts w:hint="eastAsia" w:ascii="宋体" w:hAnsi="宋体"/>
          <w:color w:val="auto"/>
          <w:sz w:val="24"/>
          <w:szCs w:val="24"/>
          <w:lang w:val="en-US" w:eastAsia="zh-CN"/>
        </w:rPr>
        <w:t>二</w:t>
      </w:r>
      <w:r>
        <w:rPr>
          <w:rFonts w:hint="eastAsia" w:ascii="宋体" w:hAnsi="宋体"/>
          <w:color w:val="auto"/>
          <w:sz w:val="24"/>
          <w:szCs w:val="24"/>
        </w:rPr>
        <w:t>年</w:t>
      </w:r>
    </w:p>
    <w:p w14:paraId="05E6E711">
      <w:pPr>
        <w:spacing w:line="480" w:lineRule="exact"/>
        <w:rPr>
          <w:rFonts w:ascii="宋体" w:hAnsi="宋体"/>
          <w:b/>
          <w:color w:val="auto"/>
          <w:sz w:val="24"/>
          <w:szCs w:val="24"/>
        </w:rPr>
      </w:pPr>
      <w:r>
        <w:rPr>
          <w:rFonts w:hint="eastAsia" w:ascii="宋体" w:hAnsi="宋体"/>
          <w:b/>
          <w:color w:val="auto"/>
          <w:sz w:val="24"/>
          <w:szCs w:val="24"/>
        </w:rPr>
        <w:t>二、服务人员的基本条件</w:t>
      </w:r>
    </w:p>
    <w:p w14:paraId="2C780B68">
      <w:pPr>
        <w:spacing w:line="480" w:lineRule="exact"/>
        <w:ind w:firstLine="241" w:firstLineChars="100"/>
        <w:rPr>
          <w:rFonts w:ascii="宋体" w:hAnsi="宋体"/>
          <w:b/>
          <w:color w:val="auto"/>
          <w:sz w:val="24"/>
          <w:szCs w:val="24"/>
        </w:rPr>
      </w:pPr>
      <w:r>
        <w:rPr>
          <w:rFonts w:hint="eastAsia" w:ascii="宋体" w:hAnsi="宋体"/>
          <w:b/>
          <w:color w:val="auto"/>
          <w:sz w:val="24"/>
          <w:szCs w:val="24"/>
        </w:rPr>
        <w:t>2.1 政治素质条件</w:t>
      </w:r>
    </w:p>
    <w:p w14:paraId="363BADE3">
      <w:pPr>
        <w:spacing w:line="480" w:lineRule="exact"/>
        <w:ind w:firstLine="240" w:firstLineChars="100"/>
        <w:rPr>
          <w:rFonts w:ascii="宋体" w:hAnsi="宋体"/>
          <w:color w:val="auto"/>
          <w:sz w:val="24"/>
          <w:szCs w:val="24"/>
        </w:rPr>
      </w:pPr>
      <w:r>
        <w:rPr>
          <w:rFonts w:hint="eastAsia" w:ascii="宋体" w:hAnsi="宋体"/>
          <w:color w:val="auto"/>
          <w:sz w:val="24"/>
          <w:szCs w:val="24"/>
        </w:rPr>
        <w:t>2.1.1 热爱祖国、热爱人民、热爱中国共产党、热爱社会主义制度，热爱学习、热爱学校、热爱师生。</w:t>
      </w:r>
    </w:p>
    <w:p w14:paraId="791B25B2">
      <w:pPr>
        <w:spacing w:line="480" w:lineRule="exact"/>
        <w:ind w:firstLine="240" w:firstLineChars="100"/>
        <w:rPr>
          <w:rFonts w:ascii="宋体" w:hAnsi="宋体"/>
          <w:color w:val="auto"/>
          <w:sz w:val="24"/>
          <w:szCs w:val="24"/>
        </w:rPr>
      </w:pPr>
      <w:r>
        <w:rPr>
          <w:rFonts w:hint="eastAsia" w:ascii="宋体" w:hAnsi="宋体"/>
          <w:color w:val="auto"/>
          <w:sz w:val="24"/>
          <w:szCs w:val="24"/>
        </w:rPr>
        <w:t>2.1.2 无违法犯罪记录。</w:t>
      </w:r>
    </w:p>
    <w:p w14:paraId="159E2F01">
      <w:pPr>
        <w:spacing w:line="480" w:lineRule="exact"/>
        <w:ind w:firstLine="240" w:firstLineChars="100"/>
        <w:rPr>
          <w:rFonts w:ascii="宋体" w:hAnsi="宋体"/>
          <w:color w:val="auto"/>
          <w:sz w:val="24"/>
          <w:szCs w:val="24"/>
        </w:rPr>
      </w:pPr>
      <w:r>
        <w:rPr>
          <w:rFonts w:hint="eastAsia" w:ascii="宋体" w:hAnsi="宋体"/>
          <w:color w:val="auto"/>
          <w:sz w:val="24"/>
          <w:szCs w:val="24"/>
        </w:rPr>
        <w:t>2.1.3 爱岗敬业，恪尽职守，文明值勤，礼貌待人，遵纪守法、团结协作。</w:t>
      </w:r>
    </w:p>
    <w:p w14:paraId="17A8FDC8">
      <w:pPr>
        <w:spacing w:line="480" w:lineRule="exact"/>
        <w:ind w:firstLine="241" w:firstLineChars="100"/>
        <w:rPr>
          <w:rFonts w:ascii="宋体" w:hAnsi="宋体"/>
          <w:b/>
          <w:color w:val="auto"/>
          <w:sz w:val="24"/>
          <w:szCs w:val="24"/>
        </w:rPr>
      </w:pPr>
      <w:r>
        <w:rPr>
          <w:rFonts w:hint="eastAsia" w:ascii="宋体" w:hAnsi="宋体"/>
          <w:b/>
          <w:color w:val="auto"/>
          <w:sz w:val="24"/>
          <w:szCs w:val="24"/>
        </w:rPr>
        <w:t>2.2 身体条件</w:t>
      </w:r>
    </w:p>
    <w:p w14:paraId="51DAD089">
      <w:pPr>
        <w:spacing w:line="480" w:lineRule="exact"/>
        <w:ind w:firstLine="240" w:firstLineChars="100"/>
        <w:rPr>
          <w:rFonts w:ascii="宋体" w:hAnsi="宋体"/>
          <w:color w:val="auto"/>
          <w:sz w:val="24"/>
          <w:szCs w:val="24"/>
        </w:rPr>
      </w:pPr>
      <w:r>
        <w:rPr>
          <w:rFonts w:hint="eastAsia" w:ascii="宋体" w:hAnsi="宋体"/>
          <w:color w:val="auto"/>
          <w:sz w:val="24"/>
          <w:szCs w:val="24"/>
        </w:rPr>
        <w:t>所有参与安全服务的人员必须身体健康。</w:t>
      </w:r>
    </w:p>
    <w:p w14:paraId="2800B821">
      <w:pPr>
        <w:spacing w:line="480" w:lineRule="exact"/>
        <w:ind w:firstLine="241" w:firstLineChars="100"/>
        <w:rPr>
          <w:rFonts w:ascii="宋体" w:hAnsi="宋体"/>
          <w:b/>
          <w:color w:val="auto"/>
          <w:sz w:val="24"/>
          <w:szCs w:val="24"/>
        </w:rPr>
      </w:pPr>
      <w:r>
        <w:rPr>
          <w:rFonts w:hint="eastAsia" w:ascii="宋体" w:hAnsi="宋体"/>
          <w:b/>
          <w:color w:val="auto"/>
          <w:sz w:val="24"/>
          <w:szCs w:val="24"/>
        </w:rPr>
        <w:t>2.3 文化条件</w:t>
      </w:r>
    </w:p>
    <w:p w14:paraId="1B5FDBA8">
      <w:pPr>
        <w:spacing w:line="480" w:lineRule="exact"/>
        <w:ind w:firstLine="240" w:firstLineChars="100"/>
        <w:rPr>
          <w:rFonts w:ascii="宋体" w:hAnsi="宋体"/>
          <w:color w:val="auto"/>
          <w:sz w:val="24"/>
          <w:szCs w:val="24"/>
        </w:rPr>
      </w:pPr>
      <w:r>
        <w:rPr>
          <w:rFonts w:hint="eastAsia" w:ascii="宋体" w:hAnsi="宋体"/>
          <w:color w:val="auto"/>
          <w:sz w:val="24"/>
          <w:szCs w:val="24"/>
        </w:rPr>
        <w:t>具备初中及以上学历。</w:t>
      </w:r>
    </w:p>
    <w:p w14:paraId="6B89C99A">
      <w:pPr>
        <w:spacing w:line="480" w:lineRule="exact"/>
        <w:ind w:firstLine="241" w:firstLineChars="100"/>
        <w:rPr>
          <w:rFonts w:ascii="宋体" w:hAnsi="宋体"/>
          <w:color w:val="auto"/>
          <w:sz w:val="24"/>
          <w:szCs w:val="24"/>
        </w:rPr>
      </w:pPr>
      <w:r>
        <w:rPr>
          <w:rFonts w:hint="eastAsia" w:ascii="宋体" w:hAnsi="宋体"/>
          <w:b/>
          <w:bCs/>
          <w:color w:val="auto"/>
          <w:sz w:val="24"/>
          <w:szCs w:val="24"/>
        </w:rPr>
        <w:t>2.4</w:t>
      </w:r>
      <w:r>
        <w:rPr>
          <w:rFonts w:hint="eastAsia" w:ascii="宋体" w:hAnsi="宋体"/>
          <w:color w:val="auto"/>
          <w:sz w:val="24"/>
          <w:szCs w:val="24"/>
        </w:rPr>
        <w:t>配备人数不低于甲方最低人数要求。甲方可以根据工作需要，在重大活动中和寒暑假期间，要求乙方适当增(减)人数。</w:t>
      </w:r>
    </w:p>
    <w:p w14:paraId="0D1019B6">
      <w:pPr>
        <w:spacing w:line="480" w:lineRule="exact"/>
        <w:ind w:firstLine="241" w:firstLineChars="100"/>
        <w:rPr>
          <w:rFonts w:ascii="宋体" w:hAnsi="宋体"/>
          <w:color w:val="auto"/>
          <w:sz w:val="24"/>
          <w:szCs w:val="24"/>
        </w:rPr>
      </w:pPr>
      <w:r>
        <w:rPr>
          <w:rFonts w:hint="eastAsia" w:ascii="宋体" w:hAnsi="宋体"/>
          <w:b/>
          <w:bCs/>
          <w:color w:val="auto"/>
          <w:sz w:val="24"/>
          <w:szCs w:val="24"/>
        </w:rPr>
        <w:t>2.5</w:t>
      </w:r>
      <w:r>
        <w:rPr>
          <w:rFonts w:hint="eastAsia" w:ascii="宋体" w:hAnsi="宋体"/>
          <w:color w:val="auto"/>
          <w:sz w:val="24"/>
          <w:szCs w:val="24"/>
        </w:rPr>
        <w:t>配备人员的年龄一般应当在18-55周岁，男女均可，平均年龄不能超过50岁，40周岁以下人员不低于35%。</w:t>
      </w:r>
    </w:p>
    <w:p w14:paraId="0C43A41F">
      <w:pPr>
        <w:spacing w:line="480" w:lineRule="exact"/>
        <w:ind w:firstLine="241" w:firstLineChars="100"/>
        <w:rPr>
          <w:rFonts w:ascii="宋体" w:hAnsi="宋体"/>
          <w:b/>
          <w:color w:val="auto"/>
          <w:sz w:val="24"/>
          <w:szCs w:val="24"/>
        </w:rPr>
      </w:pPr>
      <w:r>
        <w:rPr>
          <w:rFonts w:hint="eastAsia" w:ascii="宋体" w:hAnsi="宋体"/>
          <w:b/>
          <w:color w:val="auto"/>
          <w:sz w:val="24"/>
          <w:szCs w:val="24"/>
        </w:rPr>
        <w:t>三．服务标准</w:t>
      </w:r>
    </w:p>
    <w:p w14:paraId="32D69E1E">
      <w:pPr>
        <w:spacing w:line="480" w:lineRule="exact"/>
        <w:ind w:firstLine="241" w:firstLineChars="100"/>
        <w:rPr>
          <w:rFonts w:ascii="宋体" w:hAnsi="宋体"/>
          <w:b/>
          <w:color w:val="auto"/>
          <w:sz w:val="24"/>
          <w:szCs w:val="24"/>
        </w:rPr>
      </w:pPr>
      <w:r>
        <w:rPr>
          <w:rFonts w:hint="eastAsia" w:ascii="宋体" w:hAnsi="宋体"/>
          <w:b/>
          <w:color w:val="auto"/>
          <w:sz w:val="24"/>
          <w:szCs w:val="24"/>
        </w:rPr>
        <w:t>3.1 值班着装</w:t>
      </w:r>
    </w:p>
    <w:p w14:paraId="42794FD2">
      <w:pPr>
        <w:spacing w:line="480" w:lineRule="exact"/>
        <w:ind w:firstLine="240" w:firstLineChars="100"/>
        <w:rPr>
          <w:rFonts w:ascii="宋体" w:hAnsi="宋体"/>
          <w:color w:val="auto"/>
          <w:sz w:val="24"/>
          <w:szCs w:val="24"/>
        </w:rPr>
      </w:pPr>
      <w:r>
        <w:rPr>
          <w:rFonts w:hint="eastAsia" w:ascii="宋体" w:hAnsi="宋体"/>
          <w:color w:val="auto"/>
          <w:sz w:val="24"/>
          <w:szCs w:val="24"/>
        </w:rPr>
        <w:t>3.1.1 除不适宜或者不需要穿着工装的情形外，所有服务人员工作时间必须规范穿着工作制服。</w:t>
      </w:r>
    </w:p>
    <w:p w14:paraId="6CE0A04C">
      <w:pPr>
        <w:spacing w:line="480" w:lineRule="exact"/>
        <w:ind w:firstLine="240" w:firstLineChars="100"/>
        <w:rPr>
          <w:rFonts w:ascii="宋体" w:hAnsi="宋体"/>
          <w:color w:val="auto"/>
          <w:sz w:val="24"/>
          <w:szCs w:val="24"/>
        </w:rPr>
      </w:pPr>
      <w:r>
        <w:rPr>
          <w:rFonts w:hint="eastAsia" w:ascii="宋体" w:hAnsi="宋体"/>
          <w:color w:val="auto"/>
          <w:sz w:val="24"/>
          <w:szCs w:val="24"/>
        </w:rPr>
        <w:t>3.1.2 穿着工作制服时，要按规定佩带安全服务标志。</w:t>
      </w:r>
    </w:p>
    <w:p w14:paraId="59267CC2">
      <w:pPr>
        <w:spacing w:line="480" w:lineRule="exact"/>
        <w:ind w:firstLine="240" w:firstLineChars="100"/>
        <w:rPr>
          <w:rFonts w:ascii="宋体" w:hAnsi="宋体"/>
          <w:color w:val="auto"/>
          <w:sz w:val="24"/>
          <w:szCs w:val="24"/>
        </w:rPr>
      </w:pPr>
      <w:r>
        <w:rPr>
          <w:rFonts w:hint="eastAsia" w:ascii="宋体" w:hAnsi="宋体"/>
          <w:color w:val="auto"/>
          <w:sz w:val="24"/>
          <w:szCs w:val="24"/>
        </w:rPr>
        <w:t>3.1.3 工作时间不准将工作制服与便服混穿、不同季节的工作制服不准混穿。</w:t>
      </w:r>
    </w:p>
    <w:p w14:paraId="33FBD1DE">
      <w:pPr>
        <w:spacing w:line="480" w:lineRule="exact"/>
        <w:ind w:firstLine="240" w:firstLineChars="100"/>
        <w:rPr>
          <w:rFonts w:ascii="宋体" w:hAnsi="宋体"/>
          <w:color w:val="auto"/>
          <w:sz w:val="24"/>
          <w:szCs w:val="24"/>
        </w:rPr>
      </w:pPr>
      <w:r>
        <w:rPr>
          <w:rFonts w:hint="eastAsia" w:ascii="宋体" w:hAnsi="宋体"/>
          <w:color w:val="auto"/>
          <w:sz w:val="24"/>
          <w:szCs w:val="24"/>
        </w:rPr>
        <w:t>3.1.4 要爱护和妥善保管工作制服，严禁穿着污损的工作制服值班执勤。</w:t>
      </w:r>
    </w:p>
    <w:p w14:paraId="50A0C151">
      <w:pPr>
        <w:spacing w:line="480" w:lineRule="exact"/>
        <w:ind w:firstLine="240" w:firstLineChars="100"/>
        <w:rPr>
          <w:rFonts w:ascii="宋体" w:hAnsi="宋体"/>
          <w:color w:val="auto"/>
          <w:sz w:val="24"/>
          <w:szCs w:val="24"/>
        </w:rPr>
      </w:pPr>
      <w:r>
        <w:rPr>
          <w:rFonts w:hint="eastAsia" w:ascii="宋体" w:hAnsi="宋体"/>
          <w:color w:val="auto"/>
          <w:sz w:val="24"/>
          <w:szCs w:val="24"/>
        </w:rPr>
        <w:t>3.1.5 穿着工作制服参加有关重要活动时，只准配戴领导机关统一颁发的勋章、奖章和证章，不准配戴其他徽章和饰物。</w:t>
      </w:r>
    </w:p>
    <w:p w14:paraId="6989C942">
      <w:pPr>
        <w:spacing w:line="480" w:lineRule="exact"/>
        <w:ind w:firstLine="241" w:firstLineChars="100"/>
        <w:rPr>
          <w:rFonts w:ascii="宋体" w:hAnsi="宋体"/>
          <w:b/>
          <w:color w:val="auto"/>
          <w:sz w:val="24"/>
          <w:szCs w:val="24"/>
        </w:rPr>
      </w:pPr>
      <w:r>
        <w:rPr>
          <w:rFonts w:hint="eastAsia" w:ascii="宋体" w:hAnsi="宋体"/>
          <w:b/>
          <w:color w:val="auto"/>
          <w:sz w:val="24"/>
          <w:szCs w:val="24"/>
        </w:rPr>
        <w:t>3.2 值班仪容</w:t>
      </w:r>
    </w:p>
    <w:p w14:paraId="000776E2">
      <w:pPr>
        <w:spacing w:line="480" w:lineRule="exact"/>
        <w:ind w:firstLine="240" w:firstLineChars="100"/>
        <w:rPr>
          <w:rFonts w:hint="eastAsia" w:ascii="宋体" w:hAnsi="宋体" w:eastAsia="宋体" w:cs="Times New Roman"/>
          <w:color w:val="auto"/>
          <w:sz w:val="24"/>
          <w:szCs w:val="24"/>
        </w:rPr>
      </w:pPr>
      <w:r>
        <w:rPr>
          <w:rFonts w:hint="eastAsia" w:ascii="宋体" w:hAnsi="宋体" w:eastAsia="宋体" w:cs="Times New Roman"/>
          <w:color w:val="auto"/>
          <w:sz w:val="24"/>
          <w:szCs w:val="24"/>
        </w:rPr>
        <w:t>3.2.1 值班值勤时要仪容仪表端庄，精神状态饱满。</w:t>
      </w:r>
    </w:p>
    <w:p w14:paraId="11BDB063">
      <w:pPr>
        <w:spacing w:line="480" w:lineRule="exact"/>
        <w:ind w:firstLine="240" w:firstLineChars="100"/>
        <w:rPr>
          <w:rFonts w:hint="eastAsia" w:ascii="宋体" w:hAnsi="宋体" w:eastAsia="宋体" w:cs="Times New Roman"/>
          <w:color w:val="auto"/>
          <w:sz w:val="24"/>
          <w:szCs w:val="24"/>
        </w:rPr>
      </w:pPr>
      <w:r>
        <w:rPr>
          <w:rFonts w:hint="eastAsia" w:ascii="宋体" w:hAnsi="宋体" w:eastAsia="宋体" w:cs="Times New Roman"/>
          <w:color w:val="auto"/>
          <w:sz w:val="24"/>
          <w:szCs w:val="24"/>
        </w:rPr>
        <w:t>3.2.2 男性服务人员不准留长发、大鬓角和胡须，女性服务人员发辫不得过肩。</w:t>
      </w:r>
    </w:p>
    <w:p w14:paraId="0D748275">
      <w:pPr>
        <w:spacing w:line="480" w:lineRule="exact"/>
        <w:ind w:firstLine="240" w:firstLineChars="100"/>
        <w:rPr>
          <w:rFonts w:ascii="宋体" w:hAnsi="宋体"/>
          <w:color w:val="auto"/>
          <w:sz w:val="24"/>
          <w:szCs w:val="24"/>
        </w:rPr>
      </w:pPr>
      <w:r>
        <w:rPr>
          <w:rFonts w:hint="eastAsia" w:ascii="宋体" w:hAnsi="宋体" w:eastAsia="宋体" w:cs="Times New Roman"/>
          <w:color w:val="auto"/>
          <w:sz w:val="24"/>
          <w:szCs w:val="24"/>
        </w:rPr>
        <w:t>3.2.3 不得染发、染指甲，不得浓妆艳抹。</w:t>
      </w:r>
    </w:p>
    <w:p w14:paraId="4660FC53">
      <w:pPr>
        <w:spacing w:line="480" w:lineRule="exact"/>
        <w:ind w:firstLine="241" w:firstLineChars="100"/>
        <w:rPr>
          <w:rFonts w:ascii="宋体" w:hAnsi="宋体"/>
          <w:b/>
          <w:color w:val="auto"/>
          <w:sz w:val="24"/>
          <w:szCs w:val="24"/>
        </w:rPr>
      </w:pPr>
      <w:r>
        <w:rPr>
          <w:rFonts w:hint="eastAsia" w:ascii="宋体" w:hAnsi="宋体"/>
          <w:b/>
          <w:color w:val="auto"/>
          <w:sz w:val="24"/>
          <w:szCs w:val="24"/>
        </w:rPr>
        <w:t>3.3 值班举止</w:t>
      </w:r>
    </w:p>
    <w:p w14:paraId="340089A7">
      <w:pPr>
        <w:spacing w:line="480" w:lineRule="exact"/>
        <w:ind w:firstLine="240" w:firstLineChars="100"/>
        <w:rPr>
          <w:rFonts w:ascii="宋体" w:hAnsi="宋体"/>
          <w:color w:val="auto"/>
          <w:sz w:val="24"/>
          <w:szCs w:val="24"/>
        </w:rPr>
      </w:pPr>
      <w:r>
        <w:rPr>
          <w:rFonts w:hint="eastAsia" w:ascii="宋体" w:hAnsi="宋体"/>
          <w:color w:val="auto"/>
          <w:sz w:val="24"/>
          <w:szCs w:val="24"/>
        </w:rPr>
        <w:t>3.3.1 应姿态端正、动作规范、举止文明。</w:t>
      </w:r>
    </w:p>
    <w:p w14:paraId="2E99C3E3">
      <w:pPr>
        <w:spacing w:line="480" w:lineRule="exact"/>
        <w:ind w:firstLine="240" w:firstLineChars="100"/>
        <w:rPr>
          <w:rFonts w:ascii="宋体" w:hAnsi="宋体"/>
          <w:color w:val="auto"/>
          <w:sz w:val="24"/>
          <w:szCs w:val="24"/>
        </w:rPr>
      </w:pPr>
      <w:r>
        <w:rPr>
          <w:rFonts w:hint="eastAsia" w:ascii="宋体" w:hAnsi="宋体"/>
          <w:color w:val="auto"/>
          <w:sz w:val="24"/>
          <w:szCs w:val="24"/>
        </w:rPr>
        <w:t>3.3.2 不准袖手或将手插入衣兜；不准搭肩挽臂、边走边吸烟、吃东西、嬉笑打闹；不准随地吐痰、乱扔废弃物。</w:t>
      </w:r>
    </w:p>
    <w:p w14:paraId="0B716DCF">
      <w:pPr>
        <w:spacing w:line="480" w:lineRule="exact"/>
        <w:ind w:firstLine="240" w:firstLineChars="100"/>
        <w:rPr>
          <w:rFonts w:ascii="宋体" w:hAnsi="宋体"/>
          <w:color w:val="auto"/>
          <w:sz w:val="24"/>
          <w:szCs w:val="24"/>
        </w:rPr>
      </w:pPr>
      <w:r>
        <w:rPr>
          <w:rFonts w:hint="eastAsia" w:ascii="宋体" w:hAnsi="宋体"/>
          <w:color w:val="auto"/>
          <w:sz w:val="24"/>
          <w:szCs w:val="24"/>
        </w:rPr>
        <w:t>3.3.3 严禁饮酒，严禁酒后穿着工装进入校园。</w:t>
      </w:r>
    </w:p>
    <w:p w14:paraId="10D8D651">
      <w:pPr>
        <w:spacing w:line="480" w:lineRule="exact"/>
        <w:ind w:firstLine="240" w:firstLineChars="100"/>
        <w:rPr>
          <w:rFonts w:ascii="宋体" w:hAnsi="宋体"/>
          <w:color w:val="auto"/>
          <w:sz w:val="24"/>
          <w:szCs w:val="24"/>
        </w:rPr>
      </w:pPr>
      <w:r>
        <w:rPr>
          <w:rFonts w:hint="eastAsia" w:ascii="宋体" w:hAnsi="宋体"/>
          <w:color w:val="auto"/>
          <w:sz w:val="24"/>
          <w:szCs w:val="24"/>
        </w:rPr>
        <w:t>3.3.4 要自觉遵守公共秩序和社会公德，尊重少数民族语言和风俗习惯。</w:t>
      </w:r>
    </w:p>
    <w:p w14:paraId="7F71821B">
      <w:pPr>
        <w:spacing w:line="480" w:lineRule="exact"/>
        <w:ind w:firstLine="241" w:firstLineChars="100"/>
        <w:rPr>
          <w:rFonts w:ascii="宋体" w:hAnsi="宋体"/>
          <w:b/>
          <w:color w:val="auto"/>
          <w:sz w:val="24"/>
          <w:szCs w:val="24"/>
        </w:rPr>
      </w:pPr>
      <w:r>
        <w:rPr>
          <w:rFonts w:hint="eastAsia" w:ascii="宋体" w:hAnsi="宋体"/>
          <w:b/>
          <w:color w:val="auto"/>
          <w:sz w:val="24"/>
          <w:szCs w:val="24"/>
        </w:rPr>
        <w:t>3.4 值班语言</w:t>
      </w:r>
    </w:p>
    <w:p w14:paraId="6EF1B1DC">
      <w:pPr>
        <w:spacing w:line="480" w:lineRule="exact"/>
        <w:ind w:firstLine="240" w:firstLineChars="100"/>
        <w:rPr>
          <w:rFonts w:ascii="宋体" w:hAnsi="宋体"/>
          <w:color w:val="auto"/>
          <w:sz w:val="24"/>
          <w:szCs w:val="24"/>
        </w:rPr>
      </w:pPr>
      <w:r>
        <w:rPr>
          <w:rFonts w:hint="eastAsia" w:ascii="宋体" w:hAnsi="宋体"/>
          <w:color w:val="auto"/>
          <w:sz w:val="24"/>
          <w:szCs w:val="24"/>
        </w:rPr>
        <w:t>3.4.1 值班执勤时使用语言要简洁准确、文明规范。接触师生时，说话要和气，使用“你好、请、您、对不起、谢谢、再见”等礼貌语言。</w:t>
      </w:r>
    </w:p>
    <w:p w14:paraId="46C60E31">
      <w:pPr>
        <w:spacing w:line="480" w:lineRule="exact"/>
        <w:ind w:firstLine="241" w:firstLineChars="100"/>
        <w:rPr>
          <w:rFonts w:ascii="宋体" w:hAnsi="宋体"/>
          <w:b/>
          <w:color w:val="auto"/>
          <w:sz w:val="24"/>
          <w:szCs w:val="24"/>
        </w:rPr>
      </w:pPr>
      <w:r>
        <w:rPr>
          <w:rFonts w:hint="eastAsia" w:ascii="宋体" w:hAnsi="宋体"/>
          <w:b/>
          <w:color w:val="auto"/>
          <w:sz w:val="24"/>
          <w:szCs w:val="24"/>
        </w:rPr>
        <w:t>3.5 岗位纪律</w:t>
      </w:r>
    </w:p>
    <w:p w14:paraId="45B05854">
      <w:pPr>
        <w:spacing w:line="480" w:lineRule="exact"/>
        <w:ind w:firstLine="240" w:firstLineChars="100"/>
        <w:rPr>
          <w:rFonts w:ascii="宋体" w:hAnsi="宋体"/>
          <w:color w:val="auto"/>
          <w:sz w:val="24"/>
          <w:szCs w:val="24"/>
        </w:rPr>
      </w:pPr>
      <w:r>
        <w:rPr>
          <w:rFonts w:hint="eastAsia" w:ascii="宋体" w:hAnsi="宋体"/>
          <w:color w:val="auto"/>
          <w:sz w:val="24"/>
          <w:szCs w:val="24"/>
        </w:rPr>
        <w:t>3.5.1 严格在法律法规和服务合同规定的范围内开展工作，不准超越职责权限。</w:t>
      </w:r>
    </w:p>
    <w:p w14:paraId="553A3484">
      <w:pPr>
        <w:spacing w:line="480" w:lineRule="exact"/>
        <w:ind w:firstLine="240" w:firstLineChars="100"/>
        <w:rPr>
          <w:rFonts w:ascii="宋体" w:hAnsi="宋体"/>
          <w:color w:val="auto"/>
          <w:sz w:val="24"/>
          <w:szCs w:val="24"/>
        </w:rPr>
      </w:pPr>
      <w:r>
        <w:rPr>
          <w:rFonts w:hint="eastAsia" w:ascii="宋体" w:hAnsi="宋体"/>
          <w:color w:val="auto"/>
          <w:sz w:val="24"/>
          <w:szCs w:val="24"/>
        </w:rPr>
        <w:t>3.5.2 严格履行岗位职责，不准做与安全服务无关的事情。</w:t>
      </w:r>
    </w:p>
    <w:p w14:paraId="403CED81">
      <w:pPr>
        <w:spacing w:line="480" w:lineRule="exact"/>
        <w:ind w:firstLine="240" w:firstLineChars="100"/>
        <w:rPr>
          <w:rFonts w:ascii="宋体" w:hAnsi="宋体"/>
          <w:color w:val="auto"/>
          <w:sz w:val="24"/>
          <w:szCs w:val="24"/>
        </w:rPr>
      </w:pPr>
      <w:r>
        <w:rPr>
          <w:rFonts w:hint="eastAsia" w:ascii="宋体" w:hAnsi="宋体"/>
          <w:color w:val="auto"/>
          <w:sz w:val="24"/>
          <w:szCs w:val="24"/>
        </w:rPr>
        <w:t>3.5.3 不准刁难师生。</w:t>
      </w:r>
    </w:p>
    <w:p w14:paraId="70E04027">
      <w:pPr>
        <w:spacing w:line="480" w:lineRule="exact"/>
        <w:ind w:firstLine="240" w:firstLineChars="100"/>
        <w:rPr>
          <w:rFonts w:ascii="宋体" w:hAnsi="宋体"/>
          <w:color w:val="auto"/>
          <w:sz w:val="24"/>
          <w:szCs w:val="24"/>
        </w:rPr>
      </w:pPr>
      <w:r>
        <w:rPr>
          <w:rFonts w:hint="eastAsia" w:ascii="宋体" w:hAnsi="宋体"/>
          <w:color w:val="auto"/>
          <w:sz w:val="24"/>
          <w:szCs w:val="24"/>
        </w:rPr>
        <w:t>3.5.4 不准脱岗、空岗、睡岗，不准迟到、早退。</w:t>
      </w:r>
    </w:p>
    <w:p w14:paraId="7B1C9E7F">
      <w:pPr>
        <w:spacing w:line="480" w:lineRule="exact"/>
        <w:ind w:firstLine="240" w:firstLineChars="100"/>
        <w:rPr>
          <w:rFonts w:ascii="宋体" w:hAnsi="宋体"/>
          <w:color w:val="auto"/>
          <w:sz w:val="24"/>
          <w:szCs w:val="24"/>
        </w:rPr>
      </w:pPr>
      <w:r>
        <w:rPr>
          <w:rFonts w:hint="eastAsia" w:ascii="宋体" w:hAnsi="宋体"/>
          <w:color w:val="auto"/>
          <w:sz w:val="24"/>
          <w:szCs w:val="24"/>
        </w:rPr>
        <w:t>3.5.5 遵守甲方内部的各项规章制度，不得随意打听、记录、传播甲方内部的机密事项。</w:t>
      </w:r>
    </w:p>
    <w:p w14:paraId="7CBD5B08">
      <w:pPr>
        <w:spacing w:line="480" w:lineRule="exact"/>
        <w:ind w:firstLine="240" w:firstLineChars="100"/>
        <w:rPr>
          <w:rFonts w:ascii="宋体" w:hAnsi="宋体"/>
          <w:color w:val="auto"/>
          <w:sz w:val="24"/>
          <w:szCs w:val="24"/>
        </w:rPr>
      </w:pPr>
      <w:r>
        <w:rPr>
          <w:rFonts w:hint="eastAsia" w:ascii="宋体" w:hAnsi="宋体"/>
          <w:color w:val="auto"/>
          <w:sz w:val="24"/>
          <w:szCs w:val="24"/>
        </w:rPr>
        <w:t>3.5.6 要爱护公共财物，未经允许不准动用甲方公私物品。</w:t>
      </w:r>
    </w:p>
    <w:p w14:paraId="1F6588E8">
      <w:pPr>
        <w:spacing w:line="480" w:lineRule="exact"/>
        <w:ind w:firstLine="240" w:firstLineChars="100"/>
        <w:rPr>
          <w:rFonts w:ascii="宋体" w:hAnsi="宋体"/>
          <w:color w:val="auto"/>
          <w:sz w:val="24"/>
          <w:szCs w:val="24"/>
        </w:rPr>
      </w:pPr>
      <w:r>
        <w:rPr>
          <w:rFonts w:hint="eastAsia" w:ascii="宋体" w:hAnsi="宋体"/>
          <w:color w:val="auto"/>
          <w:sz w:val="24"/>
          <w:szCs w:val="24"/>
        </w:rPr>
        <w:t>3.5.7 遇有重要情况和突发事件，要妥善处置并及时上报，不得迟报、漏报、隐瞒不报。</w:t>
      </w:r>
    </w:p>
    <w:p w14:paraId="251AA6C9">
      <w:pPr>
        <w:spacing w:line="480" w:lineRule="exact"/>
        <w:ind w:firstLine="240" w:firstLineChars="100"/>
        <w:rPr>
          <w:rFonts w:hint="eastAsia" w:ascii="宋体" w:hAnsi="宋体"/>
          <w:color w:val="auto"/>
          <w:sz w:val="24"/>
          <w:szCs w:val="24"/>
        </w:rPr>
      </w:pPr>
      <w:r>
        <w:rPr>
          <w:rFonts w:hint="eastAsia" w:ascii="宋体" w:hAnsi="宋体"/>
          <w:color w:val="auto"/>
          <w:sz w:val="24"/>
          <w:szCs w:val="24"/>
        </w:rPr>
        <w:t>3.5.8 要认真填写值班执勤记录，认真做好交接班工作。</w:t>
      </w:r>
    </w:p>
    <w:p w14:paraId="769DF6E1">
      <w:pPr>
        <w:spacing w:line="480" w:lineRule="exact"/>
        <w:ind w:firstLine="241" w:firstLineChars="100"/>
        <w:rPr>
          <w:rFonts w:hint="eastAsia" w:ascii="宋体" w:hAnsi="宋体"/>
          <w:color w:val="auto"/>
          <w:sz w:val="24"/>
          <w:szCs w:val="24"/>
        </w:rPr>
      </w:pPr>
      <w:bookmarkStart w:id="76" w:name="_Toc26111"/>
      <w:r>
        <w:rPr>
          <w:rFonts w:hint="eastAsia" w:ascii="宋体" w:hAnsi="宋体"/>
          <w:b/>
          <w:bCs/>
          <w:color w:val="auto"/>
          <w:sz w:val="24"/>
          <w:szCs w:val="24"/>
          <w:lang w:val="en-US" w:eastAsia="zh-CN"/>
        </w:rPr>
        <w:t>*</w:t>
      </w:r>
      <w:r>
        <w:rPr>
          <w:rFonts w:hint="eastAsia" w:ascii="宋体" w:hAnsi="宋体"/>
          <w:b/>
          <w:bCs/>
          <w:color w:val="auto"/>
          <w:sz w:val="24"/>
          <w:szCs w:val="24"/>
        </w:rPr>
        <w:t>3.5.9为上岗人员提供人身意外保险。（提供</w:t>
      </w:r>
      <w:r>
        <w:rPr>
          <w:rFonts w:hint="eastAsia" w:ascii="宋体" w:hAnsi="宋体"/>
          <w:b/>
          <w:bCs/>
          <w:color w:val="auto"/>
          <w:sz w:val="24"/>
          <w:szCs w:val="24"/>
          <w:lang w:val="en-US" w:eastAsia="zh-CN"/>
        </w:rPr>
        <w:t>承诺书</w:t>
      </w:r>
      <w:r>
        <w:rPr>
          <w:rFonts w:hint="eastAsia" w:ascii="宋体" w:hAnsi="宋体"/>
          <w:b/>
          <w:bCs/>
          <w:color w:val="auto"/>
          <w:sz w:val="24"/>
          <w:szCs w:val="24"/>
        </w:rPr>
        <w:t>）</w:t>
      </w:r>
      <w:bookmarkEnd w:id="76"/>
    </w:p>
    <w:p w14:paraId="234DE346">
      <w:pPr>
        <w:pStyle w:val="26"/>
        <w:keepNext w:val="0"/>
        <w:keepLines w:val="0"/>
        <w:pageBreakBefore w:val="0"/>
        <w:widowControl/>
        <w:numPr>
          <w:ilvl w:val="0"/>
          <w:numId w:val="0"/>
        </w:numPr>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cs="宋体"/>
          <w:b w:val="0"/>
          <w:bCs/>
          <w:color w:val="auto"/>
          <w:sz w:val="24"/>
          <w:szCs w:val="24"/>
          <w:highlight w:val="none"/>
          <w:lang w:val="en-US" w:eastAsia="zh-CN"/>
        </w:rPr>
      </w:pPr>
    </w:p>
    <w:p w14:paraId="67A15554">
      <w:pPr>
        <w:rPr>
          <w:rFonts w:hint="eastAsia" w:ascii="宋体" w:hAnsi="宋体" w:eastAsia="宋体" w:cs="宋体"/>
          <w:bCs w:val="0"/>
          <w:color w:val="auto"/>
          <w:kern w:val="0"/>
          <w:sz w:val="32"/>
          <w:szCs w:val="32"/>
        </w:rPr>
      </w:pPr>
    </w:p>
    <w:p w14:paraId="640349E4">
      <w:pPr>
        <w:rPr>
          <w:rFonts w:hint="eastAsia" w:ascii="宋体" w:hAnsi="宋体" w:eastAsia="宋体" w:cs="宋体"/>
          <w:bCs w:val="0"/>
          <w:color w:val="auto"/>
          <w:kern w:val="0"/>
          <w:sz w:val="32"/>
          <w:szCs w:val="32"/>
        </w:rPr>
      </w:pPr>
      <w:bookmarkStart w:id="77" w:name="_Toc465"/>
      <w:r>
        <w:rPr>
          <w:rFonts w:hint="eastAsia" w:ascii="宋体" w:hAnsi="宋体" w:eastAsia="宋体" w:cs="宋体"/>
          <w:bCs w:val="0"/>
          <w:color w:val="auto"/>
          <w:kern w:val="0"/>
          <w:sz w:val="32"/>
          <w:szCs w:val="32"/>
        </w:rPr>
        <w:br w:type="page"/>
      </w:r>
    </w:p>
    <w:p w14:paraId="4C9F060A">
      <w:pPr>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outlineLvl w:val="0"/>
        <w:rPr>
          <w:rFonts w:ascii="宋体" w:hAnsi="宋体" w:eastAsia="宋体" w:cs="宋体"/>
          <w:bCs w:val="0"/>
          <w:color w:val="auto"/>
          <w:kern w:val="0"/>
          <w:sz w:val="30"/>
          <w:szCs w:val="30"/>
        </w:rPr>
      </w:pPr>
      <w:r>
        <w:rPr>
          <w:rFonts w:hint="eastAsia" w:ascii="宋体" w:hAnsi="宋体" w:eastAsia="宋体" w:cs="宋体"/>
          <w:bCs w:val="0"/>
          <w:color w:val="auto"/>
          <w:kern w:val="0"/>
          <w:sz w:val="32"/>
          <w:szCs w:val="32"/>
        </w:rPr>
        <w:t>第六章 响应文件格式</w:t>
      </w:r>
      <w:bookmarkEnd w:id="74"/>
      <w:bookmarkEnd w:id="77"/>
    </w:p>
    <w:p w14:paraId="7B4CBAAB">
      <w:pPr>
        <w:spacing w:line="360" w:lineRule="auto"/>
        <w:outlineLvl w:val="9"/>
        <w:rPr>
          <w:rFonts w:ascii="宋体" w:hAnsi="宋体" w:eastAsia="宋体" w:cs="宋体"/>
          <w:b/>
          <w:bCs/>
          <w:color w:val="auto"/>
          <w:sz w:val="30"/>
          <w:szCs w:val="30"/>
        </w:rPr>
      </w:pPr>
      <w:r>
        <w:rPr>
          <w:rFonts w:hint="eastAsia" w:ascii="宋体" w:hAnsi="宋体" w:eastAsia="宋体" w:cs="宋体"/>
          <w:b/>
          <w:bCs/>
          <w:color w:val="auto"/>
          <w:sz w:val="30"/>
          <w:szCs w:val="30"/>
        </w:rPr>
        <w:t xml:space="preserve"> </w:t>
      </w:r>
    </w:p>
    <w:p w14:paraId="125053D6">
      <w:pPr>
        <w:spacing w:line="360" w:lineRule="auto"/>
        <w:ind w:firstLine="1325" w:firstLineChars="300"/>
        <w:outlineLvl w:val="9"/>
        <w:rPr>
          <w:rFonts w:ascii="宋体" w:hAnsi="宋体" w:eastAsia="宋体" w:cs="宋体"/>
          <w:b/>
          <w:bCs/>
          <w:color w:val="auto"/>
          <w:sz w:val="44"/>
          <w:szCs w:val="44"/>
        </w:rPr>
      </w:pPr>
      <w:r>
        <w:rPr>
          <w:rFonts w:hint="eastAsia" w:ascii="宋体" w:hAnsi="宋体" w:eastAsia="宋体" w:cs="宋体"/>
          <w:b/>
          <w:bCs/>
          <w:color w:val="auto"/>
          <w:sz w:val="44"/>
          <w:szCs w:val="44"/>
          <w:u w:val="single"/>
        </w:rPr>
        <w:t xml:space="preserve">           </w:t>
      </w:r>
      <w:r>
        <w:rPr>
          <w:rFonts w:hint="eastAsia" w:ascii="宋体" w:hAnsi="宋体" w:eastAsia="宋体" w:cs="宋体"/>
          <w:b/>
          <w:bCs/>
          <w:color w:val="auto"/>
          <w:sz w:val="40"/>
          <w:szCs w:val="40"/>
          <w:u w:val="single"/>
        </w:rPr>
        <w:t>（项目名称）</w:t>
      </w:r>
      <w:r>
        <w:rPr>
          <w:rFonts w:hint="eastAsia" w:ascii="宋体" w:hAnsi="宋体" w:eastAsia="宋体" w:cs="宋体"/>
          <w:b/>
          <w:bCs/>
          <w:color w:val="auto"/>
          <w:sz w:val="44"/>
          <w:szCs w:val="44"/>
          <w:u w:val="single"/>
        </w:rPr>
        <w:t xml:space="preserve">          </w:t>
      </w:r>
      <w:r>
        <w:rPr>
          <w:rFonts w:hint="eastAsia" w:ascii="宋体" w:hAnsi="宋体" w:eastAsia="宋体" w:cs="宋体"/>
          <w:b/>
          <w:bCs/>
          <w:color w:val="auto"/>
          <w:sz w:val="44"/>
          <w:szCs w:val="44"/>
        </w:rPr>
        <w:t xml:space="preserve">   </w:t>
      </w:r>
    </w:p>
    <w:p w14:paraId="15177A56">
      <w:pPr>
        <w:spacing w:line="360" w:lineRule="auto"/>
        <w:jc w:val="center"/>
        <w:outlineLvl w:val="9"/>
        <w:rPr>
          <w:rFonts w:ascii="宋体" w:hAnsi="宋体" w:eastAsia="宋体" w:cs="宋体"/>
          <w:b/>
          <w:bCs/>
          <w:color w:val="auto"/>
          <w:sz w:val="28"/>
          <w:szCs w:val="28"/>
        </w:rPr>
      </w:pPr>
    </w:p>
    <w:p w14:paraId="356DE0E6">
      <w:pPr>
        <w:spacing w:line="360" w:lineRule="auto"/>
        <w:jc w:val="center"/>
        <w:outlineLvl w:val="9"/>
        <w:rPr>
          <w:rFonts w:ascii="宋体" w:hAnsi="宋体" w:eastAsia="宋体" w:cs="宋体"/>
          <w:b/>
          <w:bCs/>
          <w:color w:val="auto"/>
          <w:sz w:val="28"/>
          <w:szCs w:val="28"/>
        </w:rPr>
      </w:pPr>
    </w:p>
    <w:p w14:paraId="25DF242F">
      <w:pPr>
        <w:spacing w:line="360" w:lineRule="auto"/>
        <w:jc w:val="center"/>
        <w:outlineLvl w:val="9"/>
        <w:rPr>
          <w:rFonts w:ascii="宋体" w:hAnsi="宋体" w:eastAsia="宋体" w:cs="宋体"/>
          <w:b/>
          <w:bCs/>
          <w:color w:val="auto"/>
          <w:sz w:val="44"/>
          <w:szCs w:val="44"/>
        </w:rPr>
      </w:pPr>
    </w:p>
    <w:p w14:paraId="2E0BD613">
      <w:pPr>
        <w:spacing w:line="360" w:lineRule="auto"/>
        <w:jc w:val="both"/>
        <w:outlineLvl w:val="9"/>
        <w:rPr>
          <w:rFonts w:ascii="宋体" w:hAnsi="宋体" w:eastAsia="宋体" w:cs="宋体"/>
          <w:b/>
          <w:bCs/>
          <w:color w:val="auto"/>
          <w:sz w:val="28"/>
          <w:szCs w:val="28"/>
        </w:rPr>
      </w:pPr>
    </w:p>
    <w:p w14:paraId="41724311">
      <w:pPr>
        <w:spacing w:line="360" w:lineRule="auto"/>
        <w:jc w:val="center"/>
        <w:outlineLvl w:val="9"/>
        <w:rPr>
          <w:rFonts w:ascii="宋体" w:hAnsi="宋体" w:eastAsia="宋体" w:cs="宋体"/>
          <w:b/>
          <w:bCs/>
          <w:color w:val="auto"/>
          <w:sz w:val="28"/>
          <w:szCs w:val="28"/>
        </w:rPr>
      </w:pPr>
    </w:p>
    <w:p w14:paraId="092C3877">
      <w:pPr>
        <w:spacing w:line="360" w:lineRule="auto"/>
        <w:jc w:val="center"/>
        <w:outlineLvl w:val="9"/>
        <w:rPr>
          <w:rFonts w:ascii="宋体" w:hAnsi="宋体" w:eastAsia="宋体" w:cs="宋体"/>
          <w:b/>
          <w:bCs/>
          <w:color w:val="auto"/>
          <w:sz w:val="52"/>
          <w:szCs w:val="52"/>
        </w:rPr>
      </w:pPr>
      <w:r>
        <w:rPr>
          <w:rFonts w:hint="eastAsia" w:ascii="宋体" w:hAnsi="宋体" w:eastAsia="宋体" w:cs="宋体"/>
          <w:b/>
          <w:bCs/>
          <w:color w:val="auto"/>
          <w:sz w:val="48"/>
          <w:szCs w:val="48"/>
        </w:rPr>
        <w:t>竞争性磋商</w:t>
      </w:r>
      <w:r>
        <w:rPr>
          <w:rFonts w:hint="eastAsia" w:ascii="宋体" w:hAnsi="宋体" w:eastAsia="宋体" w:cs="宋体"/>
          <w:b/>
          <w:bCs/>
          <w:color w:val="auto"/>
          <w:sz w:val="52"/>
          <w:szCs w:val="52"/>
        </w:rPr>
        <w:t>响应文件</w:t>
      </w:r>
    </w:p>
    <w:p w14:paraId="75C2704C">
      <w:pPr>
        <w:spacing w:line="360" w:lineRule="auto"/>
        <w:jc w:val="center"/>
        <w:outlineLvl w:val="9"/>
        <w:rPr>
          <w:rFonts w:ascii="宋体" w:hAnsi="宋体" w:eastAsia="宋体" w:cs="宋体"/>
          <w:b/>
          <w:bCs/>
          <w:color w:val="auto"/>
          <w:sz w:val="28"/>
          <w:szCs w:val="28"/>
        </w:rPr>
      </w:pPr>
      <w:r>
        <w:rPr>
          <w:rFonts w:hint="eastAsia" w:ascii="宋体" w:hAnsi="宋体" w:eastAsia="宋体" w:cs="宋体"/>
          <w:b/>
          <w:bCs/>
          <w:color w:val="auto"/>
          <w:sz w:val="28"/>
          <w:szCs w:val="28"/>
        </w:rPr>
        <w:t>采购编号：</w:t>
      </w:r>
    </w:p>
    <w:p w14:paraId="13595878">
      <w:pPr>
        <w:spacing w:line="360" w:lineRule="auto"/>
        <w:jc w:val="center"/>
        <w:outlineLvl w:val="9"/>
        <w:rPr>
          <w:rFonts w:ascii="宋体" w:hAnsi="宋体" w:eastAsia="宋体" w:cs="宋体"/>
          <w:b/>
          <w:bCs/>
          <w:color w:val="auto"/>
          <w:sz w:val="28"/>
          <w:szCs w:val="28"/>
        </w:rPr>
      </w:pPr>
    </w:p>
    <w:p w14:paraId="3595689D">
      <w:pPr>
        <w:spacing w:line="360" w:lineRule="auto"/>
        <w:jc w:val="center"/>
        <w:outlineLvl w:val="9"/>
        <w:rPr>
          <w:color w:val="auto"/>
        </w:rPr>
      </w:pPr>
    </w:p>
    <w:p w14:paraId="64B8F6AB">
      <w:pPr>
        <w:spacing w:line="360" w:lineRule="auto"/>
        <w:jc w:val="center"/>
        <w:outlineLvl w:val="9"/>
        <w:rPr>
          <w:rFonts w:ascii="宋体" w:hAnsi="宋体" w:eastAsia="宋体" w:cs="宋体"/>
          <w:b/>
          <w:bCs/>
          <w:color w:val="auto"/>
          <w:sz w:val="28"/>
          <w:szCs w:val="28"/>
        </w:rPr>
      </w:pPr>
    </w:p>
    <w:p w14:paraId="74989658">
      <w:pPr>
        <w:spacing w:line="360" w:lineRule="auto"/>
        <w:jc w:val="center"/>
        <w:outlineLvl w:val="9"/>
        <w:rPr>
          <w:rFonts w:ascii="宋体" w:hAnsi="宋体" w:eastAsia="宋体" w:cs="宋体"/>
          <w:b/>
          <w:bCs/>
          <w:color w:val="auto"/>
          <w:sz w:val="28"/>
          <w:szCs w:val="28"/>
        </w:rPr>
      </w:pPr>
    </w:p>
    <w:p w14:paraId="7B5E3153">
      <w:pPr>
        <w:spacing w:line="360" w:lineRule="auto"/>
        <w:jc w:val="center"/>
        <w:outlineLvl w:val="9"/>
        <w:rPr>
          <w:rFonts w:ascii="宋体" w:hAnsi="宋体" w:eastAsia="宋体" w:cs="宋体"/>
          <w:b/>
          <w:bCs/>
          <w:color w:val="auto"/>
          <w:sz w:val="28"/>
          <w:szCs w:val="28"/>
        </w:rPr>
      </w:pPr>
    </w:p>
    <w:p w14:paraId="0A10814A">
      <w:pPr>
        <w:spacing w:line="360" w:lineRule="auto"/>
        <w:jc w:val="center"/>
        <w:outlineLvl w:val="9"/>
        <w:rPr>
          <w:rFonts w:ascii="宋体" w:hAnsi="宋体" w:eastAsia="宋体" w:cs="宋体"/>
          <w:b/>
          <w:bCs/>
          <w:color w:val="auto"/>
          <w:sz w:val="28"/>
          <w:szCs w:val="28"/>
        </w:rPr>
      </w:pPr>
    </w:p>
    <w:p w14:paraId="06E17291">
      <w:pPr>
        <w:spacing w:line="360" w:lineRule="auto"/>
        <w:jc w:val="center"/>
        <w:outlineLvl w:val="9"/>
        <w:rPr>
          <w:rFonts w:ascii="宋体" w:hAnsi="宋体" w:eastAsia="宋体" w:cs="宋体"/>
          <w:b/>
          <w:bCs/>
          <w:color w:val="auto"/>
          <w:sz w:val="28"/>
          <w:szCs w:val="28"/>
        </w:rPr>
      </w:pPr>
    </w:p>
    <w:p w14:paraId="7C14E635">
      <w:pPr>
        <w:spacing w:line="360" w:lineRule="auto"/>
        <w:jc w:val="center"/>
        <w:outlineLvl w:val="9"/>
        <w:rPr>
          <w:rFonts w:ascii="宋体" w:hAnsi="宋体" w:eastAsia="宋体" w:cs="宋体"/>
          <w:b/>
          <w:bCs/>
          <w:color w:val="auto"/>
          <w:sz w:val="28"/>
          <w:szCs w:val="28"/>
        </w:rPr>
      </w:pPr>
    </w:p>
    <w:p w14:paraId="24E47284">
      <w:pPr>
        <w:spacing w:line="360" w:lineRule="auto"/>
        <w:ind w:firstLine="1405" w:firstLineChars="500"/>
        <w:outlineLvl w:val="9"/>
        <w:rPr>
          <w:rFonts w:ascii="宋体" w:hAnsi="宋体" w:eastAsia="宋体" w:cs="宋体"/>
          <w:b/>
          <w:bCs/>
          <w:color w:val="auto"/>
          <w:sz w:val="28"/>
          <w:szCs w:val="28"/>
        </w:rPr>
      </w:pPr>
      <w:r>
        <w:rPr>
          <w:rFonts w:hint="eastAsia" w:ascii="宋体" w:hAnsi="宋体" w:eastAsia="宋体" w:cs="宋体"/>
          <w:b/>
          <w:bCs/>
          <w:color w:val="auto"/>
          <w:sz w:val="28"/>
          <w:szCs w:val="28"/>
        </w:rPr>
        <w:t>供应商名称（电子签章):</w:t>
      </w:r>
      <w:r>
        <w:rPr>
          <w:rFonts w:hint="eastAsia" w:ascii="宋体" w:hAnsi="宋体" w:eastAsia="宋体" w:cs="宋体"/>
          <w:b/>
          <w:bCs/>
          <w:color w:val="auto"/>
          <w:sz w:val="28"/>
          <w:szCs w:val="28"/>
          <w:u w:val="single"/>
        </w:rPr>
        <w:t xml:space="preserve">                   </w:t>
      </w:r>
    </w:p>
    <w:p w14:paraId="385987EA">
      <w:pPr>
        <w:spacing w:line="360" w:lineRule="auto"/>
        <w:ind w:firstLine="1405" w:firstLineChars="500"/>
        <w:outlineLvl w:val="9"/>
        <w:rPr>
          <w:rFonts w:ascii="宋体" w:hAnsi="宋体" w:eastAsia="宋体" w:cs="宋体"/>
          <w:b/>
          <w:bCs/>
          <w:color w:val="auto"/>
          <w:sz w:val="28"/>
          <w:szCs w:val="28"/>
        </w:rPr>
      </w:pPr>
      <w:r>
        <w:rPr>
          <w:rFonts w:hint="eastAsia" w:ascii="宋体" w:hAnsi="宋体" w:eastAsia="宋体" w:cs="宋体"/>
          <w:b/>
          <w:bCs/>
          <w:color w:val="auto"/>
          <w:sz w:val="28"/>
          <w:szCs w:val="28"/>
        </w:rPr>
        <w:t>法定代表人或其委托代理人（电子签章）：</w:t>
      </w:r>
      <w:r>
        <w:rPr>
          <w:rFonts w:hint="eastAsia" w:ascii="宋体" w:hAnsi="宋体" w:eastAsia="宋体" w:cs="宋体"/>
          <w:b/>
          <w:bCs/>
          <w:color w:val="auto"/>
          <w:sz w:val="28"/>
          <w:szCs w:val="28"/>
          <w:u w:val="single"/>
        </w:rPr>
        <w:t xml:space="preserve">                </w:t>
      </w:r>
    </w:p>
    <w:p w14:paraId="40D0E9AB">
      <w:pPr>
        <w:spacing w:line="360" w:lineRule="auto"/>
        <w:outlineLvl w:val="9"/>
        <w:rPr>
          <w:rFonts w:ascii="宋体" w:hAnsi="宋体" w:eastAsia="宋体" w:cs="宋体"/>
          <w:b/>
          <w:bCs/>
          <w:color w:val="auto"/>
          <w:sz w:val="28"/>
          <w:szCs w:val="28"/>
        </w:rPr>
      </w:pPr>
      <w:r>
        <w:rPr>
          <w:rFonts w:hint="eastAsia" w:ascii="宋体" w:hAnsi="宋体" w:eastAsia="宋体" w:cs="宋体"/>
          <w:b/>
          <w:bCs/>
          <w:color w:val="auto"/>
          <w:sz w:val="28"/>
          <w:szCs w:val="28"/>
        </w:rPr>
        <w:t xml:space="preserve">        </w:t>
      </w:r>
      <w:r>
        <w:rPr>
          <w:rFonts w:hint="eastAsia" w:ascii="宋体" w:hAnsi="宋体" w:eastAsia="宋体" w:cs="宋体"/>
          <w:b/>
          <w:bCs/>
          <w:color w:val="auto"/>
          <w:sz w:val="28"/>
          <w:szCs w:val="28"/>
          <w:lang w:val="en-US" w:eastAsia="zh-CN"/>
        </w:rPr>
        <w:t xml:space="preserve">         </w:t>
      </w:r>
      <w:r>
        <w:rPr>
          <w:rFonts w:hint="eastAsia" w:ascii="宋体" w:hAnsi="宋体" w:eastAsia="宋体" w:cs="宋体"/>
          <w:b/>
          <w:bCs/>
          <w:color w:val="auto"/>
          <w:sz w:val="28"/>
          <w:szCs w:val="28"/>
        </w:rPr>
        <w:t xml:space="preserve"> </w:t>
      </w:r>
      <w:r>
        <w:rPr>
          <w:rFonts w:hint="eastAsia" w:ascii="宋体" w:hAnsi="宋体" w:eastAsia="宋体" w:cs="宋体"/>
          <w:b/>
          <w:bCs/>
          <w:color w:val="auto"/>
          <w:sz w:val="28"/>
          <w:szCs w:val="28"/>
          <w:u w:val="single"/>
        </w:rPr>
        <w:t xml:space="preserve">        </w:t>
      </w:r>
      <w:r>
        <w:rPr>
          <w:rFonts w:hint="eastAsia" w:ascii="宋体" w:hAnsi="宋体" w:eastAsia="宋体" w:cs="宋体"/>
          <w:b/>
          <w:bCs/>
          <w:color w:val="auto"/>
          <w:sz w:val="28"/>
          <w:szCs w:val="28"/>
        </w:rPr>
        <w:t>年</w:t>
      </w:r>
      <w:r>
        <w:rPr>
          <w:rFonts w:hint="eastAsia" w:ascii="宋体" w:hAnsi="宋体" w:eastAsia="宋体" w:cs="宋体"/>
          <w:b/>
          <w:bCs/>
          <w:color w:val="auto"/>
          <w:sz w:val="28"/>
          <w:szCs w:val="28"/>
          <w:u w:val="single"/>
        </w:rPr>
        <w:t xml:space="preserve">       </w:t>
      </w:r>
      <w:r>
        <w:rPr>
          <w:rFonts w:hint="eastAsia" w:ascii="宋体" w:hAnsi="宋体" w:eastAsia="宋体" w:cs="宋体"/>
          <w:b/>
          <w:bCs/>
          <w:color w:val="auto"/>
          <w:sz w:val="28"/>
          <w:szCs w:val="28"/>
        </w:rPr>
        <w:t>月</w:t>
      </w:r>
      <w:r>
        <w:rPr>
          <w:rFonts w:hint="eastAsia" w:ascii="宋体" w:hAnsi="宋体" w:eastAsia="宋体" w:cs="宋体"/>
          <w:b/>
          <w:bCs/>
          <w:color w:val="auto"/>
          <w:sz w:val="28"/>
          <w:szCs w:val="28"/>
          <w:u w:val="single"/>
        </w:rPr>
        <w:t xml:space="preserve">     </w:t>
      </w:r>
      <w:r>
        <w:rPr>
          <w:rFonts w:hint="eastAsia" w:ascii="宋体" w:hAnsi="宋体" w:eastAsia="宋体" w:cs="宋体"/>
          <w:b/>
          <w:bCs/>
          <w:color w:val="auto"/>
          <w:sz w:val="28"/>
          <w:szCs w:val="28"/>
        </w:rPr>
        <w:t>日</w:t>
      </w:r>
    </w:p>
    <w:p w14:paraId="12671C3C">
      <w:pPr>
        <w:spacing w:line="360" w:lineRule="auto"/>
        <w:outlineLvl w:val="9"/>
        <w:rPr>
          <w:rFonts w:ascii="宋体" w:hAnsi="宋体" w:eastAsia="宋体" w:cs="宋体"/>
          <w:b/>
          <w:bCs/>
          <w:color w:val="auto"/>
          <w:sz w:val="36"/>
          <w:szCs w:val="36"/>
        </w:rPr>
      </w:pPr>
      <w:r>
        <w:rPr>
          <w:rFonts w:hint="eastAsia" w:ascii="宋体" w:hAnsi="宋体" w:eastAsia="宋体" w:cs="宋体"/>
          <w:b/>
          <w:bCs/>
          <w:color w:val="auto"/>
          <w:sz w:val="36"/>
          <w:szCs w:val="36"/>
        </w:rPr>
        <w:t xml:space="preserve"> </w:t>
      </w:r>
    </w:p>
    <w:p w14:paraId="203BFD52">
      <w:pPr>
        <w:widowControl/>
        <w:jc w:val="left"/>
        <w:outlineLvl w:val="9"/>
        <w:rPr>
          <w:rFonts w:ascii="宋体" w:hAnsi="宋体" w:eastAsia="宋体" w:cs="宋体"/>
          <w:b/>
          <w:bCs/>
          <w:color w:val="auto"/>
          <w:sz w:val="28"/>
          <w:szCs w:val="28"/>
        </w:rPr>
      </w:pPr>
      <w:bookmarkStart w:id="78" w:name="_Toc10563"/>
      <w:bookmarkEnd w:id="78"/>
      <w:bookmarkStart w:id="79" w:name="_Toc30721"/>
      <w:bookmarkEnd w:id="79"/>
      <w:bookmarkStart w:id="80" w:name="_Toc152045788"/>
      <w:bookmarkEnd w:id="80"/>
      <w:bookmarkStart w:id="81" w:name="_Toc179632808"/>
      <w:bookmarkEnd w:id="81"/>
      <w:bookmarkStart w:id="82" w:name="_Toc144974857"/>
      <w:bookmarkEnd w:id="82"/>
      <w:bookmarkStart w:id="83" w:name="_Toc152042577"/>
      <w:bookmarkEnd w:id="83"/>
      <w:bookmarkStart w:id="84" w:name="_Toc23613"/>
      <w:bookmarkEnd w:id="84"/>
      <w:bookmarkStart w:id="85" w:name="_Toc29655"/>
      <w:bookmarkEnd w:id="85"/>
      <w:bookmarkStart w:id="86" w:name="_Toc29638"/>
      <w:r>
        <w:rPr>
          <w:rFonts w:ascii="宋体" w:hAnsi="宋体" w:eastAsia="宋体" w:cs="宋体"/>
          <w:b/>
          <w:bCs/>
          <w:color w:val="auto"/>
          <w:sz w:val="28"/>
          <w:szCs w:val="28"/>
        </w:rPr>
        <w:br w:type="page"/>
      </w:r>
    </w:p>
    <w:bookmarkEnd w:id="86"/>
    <w:p w14:paraId="6C53AADE">
      <w:pPr>
        <w:spacing w:line="360" w:lineRule="auto"/>
        <w:jc w:val="center"/>
        <w:outlineLvl w:val="9"/>
        <w:rPr>
          <w:rFonts w:ascii="宋体" w:hAnsi="宋体" w:eastAsia="宋体" w:cs="宋体"/>
          <w:b/>
          <w:bCs/>
          <w:color w:val="auto"/>
          <w:sz w:val="24"/>
          <w:szCs w:val="24"/>
        </w:rPr>
      </w:pPr>
      <w:r>
        <w:rPr>
          <w:rFonts w:hint="eastAsia" w:ascii="宋体" w:hAnsi="宋体" w:eastAsia="宋体" w:cs="宋体"/>
          <w:b/>
          <w:bCs/>
          <w:color w:val="auto"/>
          <w:sz w:val="28"/>
          <w:szCs w:val="28"/>
        </w:rPr>
        <w:t>一、磋商响应书</w:t>
      </w:r>
    </w:p>
    <w:p w14:paraId="4B10103A">
      <w:pPr>
        <w:spacing w:line="360" w:lineRule="auto"/>
        <w:outlineLvl w:val="9"/>
        <w:rPr>
          <w:rFonts w:ascii="宋体" w:hAnsi="宋体" w:eastAsia="宋体" w:cs="宋体"/>
          <w:color w:val="auto"/>
          <w:sz w:val="20"/>
          <w:szCs w:val="20"/>
        </w:rPr>
      </w:pPr>
      <w:r>
        <w:rPr>
          <w:rFonts w:hint="eastAsia" w:ascii="宋体" w:hAnsi="宋体" w:eastAsia="宋体" w:cs="宋体"/>
          <w:color w:val="auto"/>
          <w:sz w:val="20"/>
          <w:szCs w:val="20"/>
        </w:rPr>
        <w:t xml:space="preserve"> </w:t>
      </w:r>
    </w:p>
    <w:p w14:paraId="37942CF3">
      <w:pPr>
        <w:spacing w:line="360" w:lineRule="auto"/>
        <w:outlineLvl w:val="9"/>
        <w:rPr>
          <w:rFonts w:ascii="宋体" w:hAnsi="宋体" w:eastAsia="宋体" w:cs="宋体"/>
          <w:color w:val="auto"/>
          <w:sz w:val="22"/>
          <w:szCs w:val="22"/>
        </w:rPr>
      </w:pPr>
      <w:r>
        <w:rPr>
          <w:rFonts w:hint="eastAsia" w:ascii="宋体" w:hAnsi="宋体" w:eastAsia="宋体" w:cs="宋体"/>
          <w:color w:val="auto"/>
          <w:sz w:val="22"/>
          <w:szCs w:val="22"/>
          <w:u w:val="single" w:color="000000"/>
        </w:rPr>
        <w:t xml:space="preserve">        </w:t>
      </w:r>
      <w:r>
        <w:rPr>
          <w:rFonts w:hint="eastAsia" w:ascii="宋体" w:hAnsi="宋体" w:eastAsia="宋体" w:cs="宋体"/>
          <w:color w:val="auto"/>
          <w:sz w:val="22"/>
          <w:szCs w:val="22"/>
        </w:rPr>
        <w:t>（采购人名称）:</w:t>
      </w:r>
    </w:p>
    <w:p w14:paraId="0A34F725">
      <w:pPr>
        <w:spacing w:line="360" w:lineRule="auto"/>
        <w:outlineLvl w:val="9"/>
        <w:rPr>
          <w:rFonts w:ascii="宋体" w:hAnsi="宋体" w:eastAsia="宋体" w:cs="宋体"/>
          <w:color w:val="auto"/>
          <w:sz w:val="13"/>
          <w:szCs w:val="13"/>
        </w:rPr>
      </w:pPr>
      <w:r>
        <w:rPr>
          <w:rFonts w:hint="eastAsia" w:ascii="宋体" w:hAnsi="宋体" w:eastAsia="宋体" w:cs="宋体"/>
          <w:color w:val="auto"/>
          <w:sz w:val="13"/>
          <w:szCs w:val="13"/>
        </w:rPr>
        <w:t xml:space="preserve"> </w:t>
      </w:r>
    </w:p>
    <w:p w14:paraId="25C921EC">
      <w:pPr>
        <w:spacing w:line="360" w:lineRule="auto"/>
        <w:ind w:firstLine="432" w:firstLineChars="200"/>
        <w:outlineLvl w:val="9"/>
        <w:rPr>
          <w:rFonts w:ascii="宋体" w:hAnsi="宋体" w:eastAsia="宋体" w:cs="宋体"/>
          <w:color w:val="auto"/>
          <w:sz w:val="22"/>
          <w:szCs w:val="22"/>
        </w:rPr>
      </w:pPr>
      <w:r>
        <w:rPr>
          <w:rFonts w:hint="eastAsia" w:ascii="宋体" w:hAnsi="宋体" w:eastAsia="宋体" w:cs="宋体"/>
          <w:color w:val="auto"/>
          <w:spacing w:val="-2"/>
          <w:sz w:val="22"/>
          <w:szCs w:val="22"/>
        </w:rPr>
        <w:t>1．我方己仔细研究了</w:t>
      </w:r>
      <w:r>
        <w:rPr>
          <w:rFonts w:hint="eastAsia" w:ascii="宋体" w:hAnsi="宋体" w:eastAsia="宋体" w:cs="宋体"/>
          <w:color w:val="auto"/>
          <w:spacing w:val="-2"/>
          <w:sz w:val="22"/>
          <w:szCs w:val="22"/>
          <w:u w:val="single"/>
        </w:rPr>
        <w:t xml:space="preserve">  </w:t>
      </w:r>
      <w:r>
        <w:rPr>
          <w:rFonts w:hint="eastAsia" w:ascii="宋体" w:hAnsi="宋体" w:cs="宋体"/>
          <w:color w:val="auto"/>
          <w:spacing w:val="-2"/>
          <w:sz w:val="22"/>
          <w:szCs w:val="22"/>
          <w:u w:val="single"/>
          <w:lang w:val="en-US" w:eastAsia="zh-CN"/>
        </w:rPr>
        <w:t xml:space="preserve">     </w:t>
      </w:r>
      <w:r>
        <w:rPr>
          <w:rFonts w:hint="eastAsia" w:ascii="宋体" w:hAnsi="宋体" w:eastAsia="宋体" w:cs="宋体"/>
          <w:color w:val="auto"/>
          <w:spacing w:val="-1"/>
          <w:sz w:val="22"/>
          <w:szCs w:val="22"/>
          <w:u w:val="single"/>
        </w:rPr>
        <w:t>（项目名称）</w:t>
      </w:r>
      <w:r>
        <w:rPr>
          <w:rFonts w:hint="eastAsia" w:ascii="宋体" w:hAnsi="宋体" w:eastAsia="宋体" w:cs="宋体"/>
          <w:color w:val="auto"/>
          <w:sz w:val="22"/>
          <w:szCs w:val="22"/>
          <w:u w:val="single"/>
        </w:rPr>
        <w:t xml:space="preserve">   </w:t>
      </w:r>
      <w:r>
        <w:rPr>
          <w:rFonts w:hint="eastAsia" w:ascii="宋体" w:hAnsi="宋体" w:eastAsia="宋体" w:cs="宋体"/>
          <w:color w:val="auto"/>
          <w:spacing w:val="21"/>
          <w:sz w:val="22"/>
          <w:szCs w:val="22"/>
        </w:rPr>
        <w:t>竞争性磋商文件</w:t>
      </w:r>
      <w:r>
        <w:rPr>
          <w:rFonts w:hint="eastAsia" w:ascii="宋体" w:hAnsi="宋体" w:eastAsia="宋体" w:cs="宋体"/>
          <w:color w:val="auto"/>
          <w:spacing w:val="-2"/>
          <w:sz w:val="22"/>
          <w:szCs w:val="22"/>
        </w:rPr>
        <w:t>的全部内容，愿意以</w:t>
      </w:r>
      <w:r>
        <w:rPr>
          <w:rFonts w:hint="eastAsia" w:ascii="宋体" w:hAnsi="宋体" w:eastAsia="宋体" w:cs="宋体"/>
          <w:color w:val="auto"/>
          <w:sz w:val="22"/>
          <w:szCs w:val="22"/>
        </w:rPr>
        <w:t>人民币（大写）</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（小写）</w:t>
      </w:r>
      <w:r>
        <w:rPr>
          <w:rFonts w:hint="eastAsia" w:ascii="宋体" w:hAnsi="宋体" w:eastAsia="宋体" w:cs="宋体"/>
          <w:color w:val="auto"/>
          <w:sz w:val="22"/>
          <w:szCs w:val="22"/>
          <w:u w:val="single"/>
        </w:rPr>
        <w:t xml:space="preserve">      </w:t>
      </w:r>
      <w:r>
        <w:rPr>
          <w:rFonts w:hint="eastAsia" w:ascii="宋体" w:hAnsi="宋体" w:cs="宋体"/>
          <w:color w:val="auto"/>
          <w:sz w:val="22"/>
          <w:szCs w:val="22"/>
          <w:u w:val="none"/>
          <w:lang w:eastAsia="zh-CN"/>
        </w:rPr>
        <w:t>元</w:t>
      </w:r>
      <w:r>
        <w:rPr>
          <w:rFonts w:hint="eastAsia" w:ascii="宋体" w:hAnsi="宋体" w:eastAsia="宋体" w:cs="宋体"/>
          <w:color w:val="auto"/>
          <w:sz w:val="22"/>
          <w:szCs w:val="22"/>
        </w:rPr>
        <w:t>的投标报价，服务时间</w:t>
      </w:r>
      <w:r>
        <w:rPr>
          <w:rFonts w:hint="eastAsia" w:ascii="宋体" w:hAnsi="宋体" w:cs="宋体"/>
          <w:color w:val="auto"/>
          <w:sz w:val="22"/>
          <w:szCs w:val="22"/>
          <w:lang w:eastAsia="zh-CN"/>
        </w:rPr>
        <w:t>：</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，按合同约定实施和完成承包项目，服务要求</w:t>
      </w:r>
      <w:r>
        <w:rPr>
          <w:rFonts w:hint="eastAsia" w:ascii="宋体" w:hAnsi="宋体" w:cs="宋体"/>
          <w:color w:val="auto"/>
          <w:sz w:val="22"/>
          <w:szCs w:val="22"/>
          <w:lang w:eastAsia="zh-CN"/>
        </w:rPr>
        <w:t>：</w:t>
      </w:r>
      <w:r>
        <w:rPr>
          <w:rFonts w:hint="eastAsia" w:ascii="宋体" w:hAnsi="宋体" w:eastAsia="宋体" w:cs="宋体"/>
          <w:color w:val="auto"/>
          <w:sz w:val="22"/>
          <w:szCs w:val="22"/>
          <w:u w:val="single"/>
        </w:rPr>
        <w:t xml:space="preserve">     </w:t>
      </w:r>
      <w:r>
        <w:rPr>
          <w:rFonts w:hint="eastAsia" w:ascii="宋体" w:hAnsi="宋体" w:cs="宋体"/>
          <w:color w:val="auto"/>
          <w:sz w:val="22"/>
          <w:szCs w:val="22"/>
          <w:u w:val="single"/>
          <w:lang w:val="en-US" w:eastAsia="zh-CN"/>
        </w:rPr>
        <w:t xml:space="preserve">  </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w:t>
      </w:r>
    </w:p>
    <w:p w14:paraId="4A6439C4">
      <w:pPr>
        <w:spacing w:line="360" w:lineRule="auto"/>
        <w:ind w:firstLine="440" w:firstLineChars="200"/>
        <w:outlineLvl w:val="9"/>
        <w:rPr>
          <w:rFonts w:ascii="宋体" w:hAnsi="宋体" w:eastAsia="宋体" w:cs="宋体"/>
          <w:color w:val="auto"/>
          <w:sz w:val="15"/>
          <w:szCs w:val="15"/>
        </w:rPr>
      </w:pPr>
      <w:r>
        <w:rPr>
          <w:rFonts w:hint="eastAsia" w:ascii="宋体" w:hAnsi="宋体" w:eastAsia="宋体" w:cs="宋体"/>
          <w:color w:val="auto"/>
          <w:sz w:val="22"/>
          <w:szCs w:val="22"/>
        </w:rPr>
        <w:t>2．我方承诺在磋商有效期内不修改、撤销响应文件。</w:t>
      </w:r>
    </w:p>
    <w:p w14:paraId="6DF2F205">
      <w:pPr>
        <w:spacing w:line="360" w:lineRule="auto"/>
        <w:ind w:firstLine="440" w:firstLineChars="200"/>
        <w:outlineLvl w:val="9"/>
        <w:rPr>
          <w:rFonts w:ascii="宋体" w:hAnsi="宋体" w:eastAsia="宋体" w:cs="宋体"/>
          <w:color w:val="auto"/>
          <w:sz w:val="22"/>
          <w:szCs w:val="22"/>
        </w:rPr>
      </w:pPr>
      <w:r>
        <w:rPr>
          <w:rFonts w:hint="eastAsia" w:ascii="宋体" w:hAnsi="宋体" w:eastAsia="宋体" w:cs="宋体"/>
          <w:color w:val="auto"/>
          <w:sz w:val="22"/>
          <w:szCs w:val="22"/>
        </w:rPr>
        <w:t>3．如我方中标：</w:t>
      </w:r>
    </w:p>
    <w:p w14:paraId="6A0E8611">
      <w:pPr>
        <w:spacing w:line="360" w:lineRule="auto"/>
        <w:ind w:firstLine="440" w:firstLineChars="200"/>
        <w:outlineLvl w:val="9"/>
        <w:rPr>
          <w:rFonts w:ascii="宋体" w:hAnsi="宋体" w:eastAsia="宋体" w:cs="宋体"/>
          <w:color w:val="auto"/>
          <w:sz w:val="22"/>
          <w:szCs w:val="22"/>
        </w:rPr>
      </w:pPr>
      <w:r>
        <w:rPr>
          <w:rFonts w:hint="eastAsia" w:ascii="宋体" w:hAnsi="宋体" w:eastAsia="宋体" w:cs="宋体"/>
          <w:color w:val="auto"/>
          <w:sz w:val="22"/>
          <w:szCs w:val="22"/>
        </w:rPr>
        <w:t>（1）我方承诺在收到成交通知书后，在成交通知书规定的期限内与你方签订合同。</w:t>
      </w:r>
    </w:p>
    <w:p w14:paraId="41C071FB">
      <w:pPr>
        <w:spacing w:line="360" w:lineRule="auto"/>
        <w:ind w:firstLine="440" w:firstLineChars="200"/>
        <w:outlineLvl w:val="9"/>
        <w:rPr>
          <w:rFonts w:ascii="宋体" w:hAnsi="宋体" w:eastAsia="宋体" w:cs="宋体"/>
          <w:color w:val="auto"/>
          <w:sz w:val="22"/>
          <w:szCs w:val="22"/>
        </w:rPr>
      </w:pPr>
      <w:r>
        <w:rPr>
          <w:rFonts w:hint="eastAsia" w:ascii="宋体" w:hAnsi="宋体" w:eastAsia="宋体" w:cs="宋体"/>
          <w:color w:val="auto"/>
          <w:sz w:val="22"/>
          <w:szCs w:val="22"/>
        </w:rPr>
        <w:t>（2）随同本磋商响应书递交的报价一览表属于合同文件的组成部分。</w:t>
      </w:r>
    </w:p>
    <w:p w14:paraId="4A919746">
      <w:pPr>
        <w:spacing w:line="360" w:lineRule="auto"/>
        <w:ind w:firstLine="440" w:firstLineChars="200"/>
        <w:outlineLvl w:val="9"/>
        <w:rPr>
          <w:rFonts w:ascii="宋体" w:hAnsi="宋体" w:eastAsia="宋体" w:cs="宋体"/>
          <w:color w:val="auto"/>
          <w:sz w:val="22"/>
          <w:szCs w:val="22"/>
        </w:rPr>
      </w:pPr>
      <w:r>
        <w:rPr>
          <w:rFonts w:hint="eastAsia" w:ascii="宋体" w:hAnsi="宋体" w:eastAsia="宋体" w:cs="宋体"/>
          <w:color w:val="auto"/>
          <w:sz w:val="22"/>
          <w:szCs w:val="22"/>
        </w:rPr>
        <w:t>（3）我方承诺在合同约定的期限内完成全部合同内容。</w:t>
      </w:r>
    </w:p>
    <w:p w14:paraId="5098200C">
      <w:pPr>
        <w:spacing w:line="360" w:lineRule="auto"/>
        <w:ind w:firstLine="440" w:firstLineChars="200"/>
        <w:outlineLvl w:val="9"/>
        <w:rPr>
          <w:rFonts w:ascii="宋体" w:hAnsi="宋体" w:eastAsia="宋体" w:cs="宋体"/>
          <w:color w:val="auto"/>
          <w:sz w:val="22"/>
          <w:szCs w:val="22"/>
        </w:rPr>
      </w:pPr>
      <w:r>
        <w:rPr>
          <w:rFonts w:hint="eastAsia" w:ascii="宋体" w:hAnsi="宋体" w:eastAsia="宋体" w:cs="宋体"/>
          <w:color w:val="auto"/>
          <w:sz w:val="22"/>
          <w:szCs w:val="22"/>
        </w:rPr>
        <w:t>4．我方在此声明，所递交的响应文件及有关资料内容完整、真实和准确，且不存在第二章“供应商须知”总则</w:t>
      </w:r>
      <w:r>
        <w:rPr>
          <w:rFonts w:hint="eastAsia" w:ascii="宋体" w:hAnsi="宋体" w:cs="宋体"/>
          <w:color w:val="auto"/>
          <w:sz w:val="22"/>
          <w:szCs w:val="22"/>
          <w:lang w:val="en-US" w:eastAsia="zh-CN"/>
        </w:rPr>
        <w:t>一条</w:t>
      </w:r>
      <w:r>
        <w:rPr>
          <w:rFonts w:hint="eastAsia" w:ascii="宋体" w:hAnsi="宋体" w:eastAsia="宋体" w:cs="宋体"/>
          <w:color w:val="auto"/>
          <w:sz w:val="22"/>
          <w:szCs w:val="22"/>
        </w:rPr>
        <w:t>4.2</w:t>
      </w:r>
      <w:r>
        <w:rPr>
          <w:rFonts w:hint="eastAsia" w:ascii="宋体" w:hAnsi="宋体" w:eastAsia="宋体" w:cs="宋体"/>
          <w:color w:val="auto"/>
          <w:spacing w:val="-2"/>
          <w:sz w:val="22"/>
          <w:szCs w:val="22"/>
        </w:rPr>
        <w:t xml:space="preserve"> </w:t>
      </w:r>
      <w:r>
        <w:rPr>
          <w:rFonts w:hint="eastAsia" w:ascii="宋体" w:hAnsi="宋体" w:eastAsia="宋体" w:cs="宋体"/>
          <w:color w:val="auto"/>
          <w:sz w:val="22"/>
          <w:szCs w:val="22"/>
        </w:rPr>
        <w:t>项规定的任何一种情形。</w:t>
      </w:r>
    </w:p>
    <w:p w14:paraId="39E33DEC">
      <w:pPr>
        <w:spacing w:line="360" w:lineRule="auto"/>
        <w:ind w:firstLine="440" w:firstLineChars="200"/>
        <w:outlineLvl w:val="9"/>
        <w:rPr>
          <w:rFonts w:ascii="宋体" w:hAnsi="宋体" w:eastAsia="宋体" w:cs="宋体"/>
          <w:color w:val="auto"/>
          <w:sz w:val="22"/>
          <w:szCs w:val="22"/>
        </w:rPr>
      </w:pPr>
      <w:r>
        <w:rPr>
          <w:rFonts w:hint="eastAsia" w:ascii="宋体" w:hAnsi="宋体" w:eastAsia="宋体" w:cs="宋体"/>
          <w:color w:val="auto"/>
          <w:sz w:val="22"/>
          <w:szCs w:val="22"/>
        </w:rPr>
        <w:t>5．其他补充说明在“ 八、其他材料”中列明。</w:t>
      </w:r>
    </w:p>
    <w:p w14:paraId="630E49D0">
      <w:pPr>
        <w:spacing w:line="360" w:lineRule="auto"/>
        <w:outlineLvl w:val="9"/>
        <w:rPr>
          <w:rFonts w:ascii="宋体" w:hAnsi="宋体" w:eastAsia="宋体" w:cs="宋体"/>
          <w:color w:val="auto"/>
          <w:sz w:val="22"/>
          <w:szCs w:val="22"/>
        </w:rPr>
      </w:pPr>
      <w:r>
        <w:rPr>
          <w:rFonts w:hint="eastAsia" w:ascii="宋体" w:hAnsi="宋体" w:eastAsia="宋体" w:cs="宋体"/>
          <w:color w:val="auto"/>
          <w:sz w:val="22"/>
          <w:szCs w:val="22"/>
        </w:rPr>
        <w:t xml:space="preserve"> </w:t>
      </w:r>
    </w:p>
    <w:p w14:paraId="2A761CB3">
      <w:pPr>
        <w:spacing w:line="360" w:lineRule="auto"/>
        <w:outlineLvl w:val="9"/>
        <w:rPr>
          <w:rFonts w:ascii="宋体" w:hAnsi="宋体" w:eastAsia="宋体" w:cs="宋体"/>
          <w:color w:val="auto"/>
          <w:sz w:val="21"/>
          <w:szCs w:val="21"/>
        </w:rPr>
      </w:pPr>
      <w:r>
        <w:rPr>
          <w:rFonts w:hint="eastAsia" w:ascii="宋体" w:hAnsi="宋体" w:eastAsia="宋体" w:cs="宋体"/>
          <w:color w:val="auto"/>
          <w:sz w:val="21"/>
          <w:szCs w:val="21"/>
        </w:rPr>
        <w:t xml:space="preserve"> </w:t>
      </w:r>
    </w:p>
    <w:p w14:paraId="1F7BD271">
      <w:pPr>
        <w:spacing w:line="360" w:lineRule="auto"/>
        <w:ind w:firstLine="440" w:firstLineChars="200"/>
        <w:outlineLvl w:val="9"/>
        <w:rPr>
          <w:rFonts w:ascii="宋体" w:hAnsi="宋体" w:eastAsia="宋体" w:cs="宋体"/>
          <w:color w:val="auto"/>
          <w:sz w:val="22"/>
          <w:szCs w:val="22"/>
          <w:u w:val="single"/>
        </w:rPr>
      </w:pPr>
      <w:r>
        <w:rPr>
          <w:rFonts w:hint="eastAsia" w:ascii="宋体" w:hAnsi="宋体" w:eastAsia="宋体" w:cs="宋体"/>
          <w:color w:val="auto"/>
          <w:sz w:val="22"/>
          <w:szCs w:val="22"/>
        </w:rPr>
        <w:t>供应商：</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 xml:space="preserve">（电子盖章）  </w:t>
      </w:r>
    </w:p>
    <w:p w14:paraId="0A9D12F6">
      <w:pPr>
        <w:spacing w:line="360" w:lineRule="auto"/>
        <w:outlineLvl w:val="9"/>
        <w:rPr>
          <w:rFonts w:ascii="宋体" w:hAnsi="宋体" w:eastAsia="宋体" w:cs="宋体"/>
          <w:color w:val="auto"/>
          <w:sz w:val="22"/>
          <w:szCs w:val="22"/>
        </w:rPr>
      </w:pPr>
    </w:p>
    <w:p w14:paraId="09E23BBF">
      <w:pPr>
        <w:spacing w:line="360" w:lineRule="auto"/>
        <w:ind w:firstLine="440" w:firstLineChars="200"/>
        <w:outlineLvl w:val="9"/>
        <w:rPr>
          <w:rFonts w:ascii="宋体" w:hAnsi="宋体" w:eastAsia="宋体" w:cs="宋体"/>
          <w:b/>
          <w:bCs/>
          <w:color w:val="auto"/>
          <w:sz w:val="22"/>
          <w:szCs w:val="22"/>
        </w:rPr>
      </w:pPr>
      <w:r>
        <w:rPr>
          <w:rFonts w:hint="eastAsia" w:ascii="宋体" w:hAnsi="宋体" w:eastAsia="宋体" w:cs="宋体"/>
          <w:color w:val="auto"/>
          <w:sz w:val="22"/>
          <w:szCs w:val="22"/>
        </w:rPr>
        <w:t>法定代表人或委托代理人：</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 xml:space="preserve">（电子签章）  </w:t>
      </w:r>
    </w:p>
    <w:p w14:paraId="5867E341">
      <w:pPr>
        <w:spacing w:line="360" w:lineRule="auto"/>
        <w:outlineLvl w:val="9"/>
        <w:rPr>
          <w:rFonts w:ascii="宋体" w:hAnsi="宋体" w:eastAsia="宋体" w:cs="宋体"/>
          <w:color w:val="auto"/>
          <w:sz w:val="22"/>
          <w:szCs w:val="22"/>
          <w:u w:val="single"/>
        </w:rPr>
      </w:pPr>
    </w:p>
    <w:p w14:paraId="39B895E5">
      <w:pPr>
        <w:spacing w:line="360" w:lineRule="auto"/>
        <w:ind w:firstLine="440" w:firstLineChars="200"/>
        <w:outlineLvl w:val="9"/>
        <w:rPr>
          <w:rFonts w:ascii="宋体" w:hAnsi="宋体" w:eastAsia="宋体" w:cs="宋体"/>
          <w:color w:val="auto"/>
          <w:sz w:val="32"/>
          <w:szCs w:val="32"/>
        </w:rPr>
      </w:pPr>
      <w:r>
        <w:rPr>
          <w:rFonts w:hint="eastAsia" w:ascii="宋体" w:hAnsi="宋体" w:eastAsia="宋体" w:cs="宋体"/>
          <w:color w:val="auto"/>
          <w:sz w:val="22"/>
          <w:szCs w:val="22"/>
          <w:u w:val="none"/>
          <w:lang w:val="en-US" w:eastAsia="zh-CN"/>
        </w:rPr>
        <w:t>日期：</w:t>
      </w:r>
      <w:r>
        <w:rPr>
          <w:rFonts w:hint="eastAsia" w:ascii="宋体" w:hAnsi="宋体" w:eastAsia="宋体" w:cs="宋体"/>
          <w:color w:val="auto"/>
          <w:sz w:val="22"/>
          <w:szCs w:val="22"/>
          <w:u w:val="none"/>
        </w:rPr>
        <w:t xml:space="preserve"> </w:t>
      </w:r>
      <w:r>
        <w:rPr>
          <w:rFonts w:hint="eastAsia" w:ascii="宋体" w:hAnsi="宋体" w:eastAsia="宋体" w:cs="宋体"/>
          <w:color w:val="auto"/>
          <w:sz w:val="22"/>
          <w:szCs w:val="22"/>
        </w:rPr>
        <w:t xml:space="preserve"> </w:t>
      </w:r>
    </w:p>
    <w:p w14:paraId="265B650A">
      <w:pPr>
        <w:spacing w:line="360" w:lineRule="auto"/>
        <w:outlineLvl w:val="9"/>
        <w:rPr>
          <w:rFonts w:ascii="宋体" w:hAnsi="宋体" w:eastAsia="宋体" w:cs="宋体"/>
          <w:color w:val="auto"/>
          <w:sz w:val="20"/>
          <w:szCs w:val="20"/>
        </w:rPr>
      </w:pPr>
      <w:r>
        <w:rPr>
          <w:rFonts w:hint="eastAsia" w:ascii="宋体" w:hAnsi="宋体" w:eastAsia="宋体" w:cs="宋体"/>
          <w:color w:val="auto"/>
          <w:sz w:val="20"/>
          <w:szCs w:val="20"/>
        </w:rPr>
        <w:br w:type="page"/>
      </w:r>
    </w:p>
    <w:p w14:paraId="4338FC63">
      <w:pPr>
        <w:spacing w:line="360" w:lineRule="auto"/>
        <w:jc w:val="center"/>
        <w:outlineLvl w:val="9"/>
        <w:rPr>
          <w:rFonts w:ascii="宋体" w:hAnsi="宋体" w:eastAsia="宋体" w:cs="宋体"/>
          <w:b/>
          <w:bCs/>
          <w:color w:val="auto"/>
          <w:sz w:val="24"/>
          <w:szCs w:val="24"/>
        </w:rPr>
      </w:pPr>
      <w:r>
        <w:rPr>
          <w:rFonts w:hint="eastAsia" w:ascii="宋体" w:hAnsi="宋体" w:eastAsia="宋体" w:cs="宋体"/>
          <w:b/>
          <w:bCs/>
          <w:color w:val="auto"/>
          <w:sz w:val="28"/>
          <w:szCs w:val="28"/>
        </w:rPr>
        <w:t>二、报价一览表</w:t>
      </w:r>
    </w:p>
    <w:p w14:paraId="15D30DF3">
      <w:pPr>
        <w:spacing w:line="360" w:lineRule="auto"/>
        <w:outlineLvl w:val="9"/>
        <w:rPr>
          <w:rFonts w:ascii="宋体" w:hAnsi="宋体" w:eastAsia="宋体" w:cs="宋体"/>
          <w:color w:val="auto"/>
          <w:sz w:val="24"/>
          <w:szCs w:val="24"/>
        </w:rPr>
      </w:pPr>
      <w:r>
        <w:rPr>
          <w:rFonts w:hint="eastAsia" w:ascii="宋体" w:hAnsi="宋体" w:eastAsia="宋体" w:cs="宋体"/>
          <w:color w:val="auto"/>
          <w:sz w:val="24"/>
          <w:szCs w:val="24"/>
        </w:rPr>
        <w:t xml:space="preserve">                                                       </w:t>
      </w:r>
    </w:p>
    <w:p w14:paraId="270FCE55">
      <w:pPr>
        <w:spacing w:line="360" w:lineRule="auto"/>
        <w:outlineLvl w:val="9"/>
        <w:rPr>
          <w:rFonts w:ascii="宋体" w:hAnsi="宋体" w:eastAsia="宋体" w:cs="宋体"/>
          <w:color w:val="auto"/>
          <w:sz w:val="24"/>
          <w:szCs w:val="24"/>
        </w:rPr>
      </w:pPr>
      <w:r>
        <w:rPr>
          <w:rFonts w:hint="eastAsia" w:ascii="宋体" w:hAnsi="宋体" w:eastAsia="宋体" w:cs="宋体"/>
          <w:color w:val="auto"/>
          <w:sz w:val="28"/>
          <w:szCs w:val="28"/>
        </w:rPr>
        <w:t xml:space="preserve">                               </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8"/>
        <w:gridCol w:w="5852"/>
      </w:tblGrid>
      <w:tr w14:paraId="4CDE0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3368" w:type="dxa"/>
            <w:tcBorders>
              <w:top w:val="single" w:color="auto" w:sz="4" w:space="0"/>
              <w:left w:val="single" w:color="auto" w:sz="4" w:space="0"/>
              <w:bottom w:val="single" w:color="auto" w:sz="4" w:space="0"/>
              <w:right w:val="single" w:color="auto" w:sz="4" w:space="0"/>
            </w:tcBorders>
            <w:noWrap w:val="0"/>
            <w:vAlign w:val="center"/>
          </w:tcPr>
          <w:p w14:paraId="35E465AF">
            <w:pPr>
              <w:spacing w:line="360" w:lineRule="auto"/>
              <w:outlineLvl w:val="9"/>
              <w:rPr>
                <w:rFonts w:ascii="宋体" w:hAnsi="宋体" w:eastAsia="宋体" w:cs="宋体"/>
                <w:color w:val="auto"/>
                <w:szCs w:val="21"/>
              </w:rPr>
            </w:pPr>
            <w:r>
              <w:rPr>
                <w:rFonts w:hint="eastAsia" w:ascii="宋体" w:hAnsi="宋体" w:eastAsia="宋体" w:cs="宋体"/>
                <w:color w:val="auto"/>
                <w:szCs w:val="21"/>
              </w:rPr>
              <w:t>项目名称</w:t>
            </w:r>
          </w:p>
        </w:tc>
        <w:tc>
          <w:tcPr>
            <w:tcW w:w="5852" w:type="dxa"/>
            <w:tcBorders>
              <w:top w:val="single" w:color="auto" w:sz="4" w:space="0"/>
              <w:left w:val="nil"/>
              <w:bottom w:val="single" w:color="auto" w:sz="4" w:space="0"/>
              <w:right w:val="single" w:color="auto" w:sz="4" w:space="0"/>
            </w:tcBorders>
            <w:noWrap w:val="0"/>
            <w:vAlign w:val="center"/>
          </w:tcPr>
          <w:p w14:paraId="616217F6">
            <w:pPr>
              <w:spacing w:line="360" w:lineRule="auto"/>
              <w:jc w:val="center"/>
              <w:outlineLvl w:val="9"/>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 xml:space="preserve">   </w:t>
            </w:r>
          </w:p>
        </w:tc>
      </w:tr>
      <w:tr w14:paraId="45C6A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3368" w:type="dxa"/>
            <w:tcBorders>
              <w:top w:val="single" w:color="auto" w:sz="4" w:space="0"/>
              <w:left w:val="single" w:color="auto" w:sz="4" w:space="0"/>
              <w:bottom w:val="single" w:color="auto" w:sz="4" w:space="0"/>
              <w:right w:val="single" w:color="auto" w:sz="4" w:space="0"/>
            </w:tcBorders>
            <w:noWrap w:val="0"/>
            <w:vAlign w:val="center"/>
          </w:tcPr>
          <w:p w14:paraId="067E6EEA">
            <w:pPr>
              <w:spacing w:line="360" w:lineRule="auto"/>
              <w:outlineLvl w:val="9"/>
              <w:rPr>
                <w:rFonts w:ascii="宋体" w:hAnsi="宋体" w:eastAsia="宋体" w:cs="宋体"/>
                <w:color w:val="auto"/>
                <w:szCs w:val="21"/>
              </w:rPr>
            </w:pPr>
            <w:r>
              <w:rPr>
                <w:rFonts w:hint="eastAsia" w:ascii="宋体" w:hAnsi="宋体" w:eastAsia="宋体" w:cs="宋体"/>
                <w:color w:val="auto"/>
                <w:szCs w:val="21"/>
              </w:rPr>
              <w:t>供应商名称</w:t>
            </w:r>
          </w:p>
        </w:tc>
        <w:tc>
          <w:tcPr>
            <w:tcW w:w="5852" w:type="dxa"/>
            <w:tcBorders>
              <w:top w:val="single" w:color="auto" w:sz="4" w:space="0"/>
              <w:left w:val="nil"/>
              <w:bottom w:val="single" w:color="auto" w:sz="4" w:space="0"/>
              <w:right w:val="single" w:color="auto" w:sz="4" w:space="0"/>
            </w:tcBorders>
            <w:noWrap w:val="0"/>
            <w:vAlign w:val="center"/>
          </w:tcPr>
          <w:p w14:paraId="6F9C89C8">
            <w:pPr>
              <w:spacing w:line="360" w:lineRule="auto"/>
              <w:outlineLvl w:val="9"/>
              <w:rPr>
                <w:rFonts w:ascii="宋体" w:hAnsi="宋体" w:eastAsia="宋体" w:cs="宋体"/>
                <w:color w:val="auto"/>
                <w:sz w:val="24"/>
                <w:szCs w:val="24"/>
              </w:rPr>
            </w:pPr>
          </w:p>
        </w:tc>
      </w:tr>
      <w:tr w14:paraId="4B869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0" w:hRule="atLeast"/>
          <w:jc w:val="center"/>
        </w:trPr>
        <w:tc>
          <w:tcPr>
            <w:tcW w:w="3368" w:type="dxa"/>
            <w:tcBorders>
              <w:top w:val="single" w:color="auto" w:sz="4" w:space="0"/>
              <w:left w:val="single" w:color="auto" w:sz="4" w:space="0"/>
              <w:bottom w:val="single" w:color="auto" w:sz="4" w:space="0"/>
              <w:right w:val="single" w:color="auto" w:sz="4" w:space="0"/>
            </w:tcBorders>
            <w:noWrap w:val="0"/>
            <w:vAlign w:val="center"/>
          </w:tcPr>
          <w:p w14:paraId="3CBC2B3D">
            <w:pPr>
              <w:spacing w:line="360" w:lineRule="auto"/>
              <w:outlineLvl w:val="9"/>
              <w:rPr>
                <w:rFonts w:ascii="宋体" w:hAnsi="宋体" w:eastAsia="宋体" w:cs="宋体"/>
                <w:color w:val="auto"/>
                <w:szCs w:val="21"/>
              </w:rPr>
            </w:pPr>
            <w:r>
              <w:rPr>
                <w:rFonts w:hint="eastAsia" w:ascii="宋体" w:hAnsi="宋体" w:eastAsia="宋体" w:cs="宋体"/>
                <w:color w:val="auto"/>
                <w:szCs w:val="21"/>
              </w:rPr>
              <w:t>首次磋商报价</w:t>
            </w:r>
          </w:p>
        </w:tc>
        <w:tc>
          <w:tcPr>
            <w:tcW w:w="5852" w:type="dxa"/>
            <w:tcBorders>
              <w:top w:val="single" w:color="auto" w:sz="4" w:space="0"/>
              <w:left w:val="nil"/>
              <w:bottom w:val="single" w:color="auto" w:sz="4" w:space="0"/>
              <w:right w:val="single" w:color="auto" w:sz="4" w:space="0"/>
            </w:tcBorders>
            <w:noWrap w:val="0"/>
            <w:vAlign w:val="center"/>
          </w:tcPr>
          <w:p w14:paraId="327CC3CD">
            <w:pPr>
              <w:spacing w:line="360" w:lineRule="auto"/>
              <w:outlineLvl w:val="9"/>
              <w:rPr>
                <w:rFonts w:hint="eastAsia" w:ascii="宋体" w:hAnsi="宋体" w:eastAsia="宋体" w:cs="宋体"/>
                <w:color w:val="auto"/>
                <w:szCs w:val="21"/>
              </w:rPr>
            </w:pPr>
            <w:r>
              <w:rPr>
                <w:rFonts w:hint="eastAsia" w:ascii="宋体" w:hAnsi="宋体" w:eastAsia="宋体" w:cs="宋体"/>
                <w:color w:val="auto"/>
                <w:szCs w:val="21"/>
              </w:rPr>
              <w:t>大写：</w:t>
            </w:r>
            <w:r>
              <w:rPr>
                <w:rFonts w:hint="eastAsia" w:ascii="宋体" w:hAnsi="宋体" w:eastAsia="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w:t>
            </w:r>
          </w:p>
          <w:p w14:paraId="121B51E9">
            <w:pPr>
              <w:spacing w:line="360" w:lineRule="auto"/>
              <w:outlineLvl w:val="9"/>
              <w:rPr>
                <w:rFonts w:ascii="宋体" w:hAnsi="宋体" w:eastAsia="宋体" w:cs="宋体"/>
                <w:color w:val="auto"/>
                <w:szCs w:val="21"/>
              </w:rPr>
            </w:pPr>
            <w:r>
              <w:rPr>
                <w:rFonts w:hint="eastAsia" w:ascii="宋体" w:hAnsi="宋体" w:eastAsia="宋体" w:cs="宋体"/>
                <w:color w:val="auto"/>
                <w:szCs w:val="21"/>
              </w:rPr>
              <w:t xml:space="preserve">小写：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w:t>
            </w:r>
          </w:p>
        </w:tc>
      </w:tr>
      <w:tr w14:paraId="5DCAB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0" w:hRule="atLeast"/>
          <w:jc w:val="center"/>
        </w:trPr>
        <w:tc>
          <w:tcPr>
            <w:tcW w:w="3368" w:type="dxa"/>
            <w:tcBorders>
              <w:top w:val="single" w:color="auto" w:sz="4" w:space="0"/>
              <w:left w:val="single" w:color="auto" w:sz="4" w:space="0"/>
              <w:bottom w:val="single" w:color="auto" w:sz="4" w:space="0"/>
              <w:right w:val="single" w:color="auto" w:sz="4" w:space="0"/>
            </w:tcBorders>
            <w:noWrap w:val="0"/>
            <w:vAlign w:val="center"/>
          </w:tcPr>
          <w:p w14:paraId="77E333F5">
            <w:pPr>
              <w:spacing w:line="360" w:lineRule="auto"/>
              <w:outlineLvl w:val="9"/>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投标内容</w:t>
            </w:r>
            <w:r>
              <w:rPr>
                <w:rFonts w:hint="eastAsia" w:ascii="宋体" w:hAnsi="宋体" w:cs="宋体"/>
                <w:color w:val="auto"/>
                <w:szCs w:val="21"/>
                <w:lang w:val="en-US" w:eastAsia="zh-CN"/>
              </w:rPr>
              <w:t>（采购内容）</w:t>
            </w:r>
          </w:p>
        </w:tc>
        <w:tc>
          <w:tcPr>
            <w:tcW w:w="5852" w:type="dxa"/>
            <w:tcBorders>
              <w:top w:val="single" w:color="auto" w:sz="4" w:space="0"/>
              <w:left w:val="nil"/>
              <w:bottom w:val="single" w:color="auto" w:sz="4" w:space="0"/>
              <w:right w:val="single" w:color="auto" w:sz="4" w:space="0"/>
            </w:tcBorders>
            <w:noWrap w:val="0"/>
            <w:vAlign w:val="center"/>
          </w:tcPr>
          <w:p w14:paraId="15A432D8">
            <w:pPr>
              <w:spacing w:line="360" w:lineRule="auto"/>
              <w:outlineLvl w:val="9"/>
              <w:rPr>
                <w:rFonts w:hint="eastAsia" w:ascii="宋体" w:hAnsi="宋体" w:eastAsia="宋体" w:cs="宋体"/>
                <w:color w:val="auto"/>
                <w:szCs w:val="21"/>
              </w:rPr>
            </w:pPr>
          </w:p>
        </w:tc>
      </w:tr>
      <w:tr w14:paraId="64F85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3368" w:type="dxa"/>
            <w:tcBorders>
              <w:top w:val="single" w:color="auto" w:sz="4" w:space="0"/>
              <w:left w:val="single" w:color="auto" w:sz="4" w:space="0"/>
              <w:bottom w:val="single" w:color="auto" w:sz="4" w:space="0"/>
              <w:right w:val="single" w:color="auto" w:sz="4" w:space="0"/>
            </w:tcBorders>
            <w:noWrap w:val="0"/>
            <w:vAlign w:val="center"/>
          </w:tcPr>
          <w:p w14:paraId="523E0851">
            <w:pPr>
              <w:spacing w:line="360" w:lineRule="auto"/>
              <w:outlineLvl w:val="9"/>
              <w:rPr>
                <w:rFonts w:ascii="宋体" w:hAnsi="宋体" w:eastAsia="宋体" w:cs="宋体"/>
                <w:color w:val="auto"/>
                <w:szCs w:val="21"/>
              </w:rPr>
            </w:pPr>
            <w:r>
              <w:rPr>
                <w:rFonts w:hint="eastAsia" w:ascii="宋体" w:hAnsi="宋体" w:eastAsia="宋体" w:cs="宋体"/>
                <w:color w:val="auto"/>
                <w:szCs w:val="21"/>
              </w:rPr>
              <w:t>服务时间</w:t>
            </w:r>
          </w:p>
        </w:tc>
        <w:tc>
          <w:tcPr>
            <w:tcW w:w="5852" w:type="dxa"/>
            <w:tcBorders>
              <w:top w:val="single" w:color="auto" w:sz="4" w:space="0"/>
              <w:left w:val="nil"/>
              <w:bottom w:val="single" w:color="auto" w:sz="4" w:space="0"/>
              <w:right w:val="single" w:color="auto" w:sz="4" w:space="0"/>
            </w:tcBorders>
            <w:noWrap w:val="0"/>
            <w:vAlign w:val="center"/>
          </w:tcPr>
          <w:p w14:paraId="54654E6E">
            <w:pPr>
              <w:spacing w:line="360" w:lineRule="auto"/>
              <w:outlineLvl w:val="9"/>
              <w:rPr>
                <w:rFonts w:ascii="宋体" w:hAnsi="宋体" w:eastAsia="宋体" w:cs="宋体"/>
                <w:color w:val="auto"/>
                <w:szCs w:val="21"/>
              </w:rPr>
            </w:pPr>
          </w:p>
        </w:tc>
      </w:tr>
      <w:tr w14:paraId="1E8AC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3368" w:type="dxa"/>
            <w:tcBorders>
              <w:top w:val="single" w:color="auto" w:sz="4" w:space="0"/>
              <w:left w:val="single" w:color="auto" w:sz="4" w:space="0"/>
              <w:bottom w:val="single" w:color="auto" w:sz="4" w:space="0"/>
              <w:right w:val="single" w:color="auto" w:sz="4" w:space="0"/>
            </w:tcBorders>
            <w:noWrap w:val="0"/>
            <w:vAlign w:val="center"/>
          </w:tcPr>
          <w:p w14:paraId="5D6339A8">
            <w:pPr>
              <w:spacing w:line="360" w:lineRule="auto"/>
              <w:outlineLvl w:val="9"/>
              <w:rPr>
                <w:rFonts w:ascii="宋体" w:hAnsi="宋体" w:eastAsia="宋体" w:cs="宋体"/>
                <w:color w:val="auto"/>
                <w:szCs w:val="21"/>
              </w:rPr>
            </w:pPr>
            <w:r>
              <w:rPr>
                <w:rFonts w:hint="eastAsia" w:ascii="宋体" w:hAnsi="宋体" w:eastAsia="宋体" w:cs="宋体"/>
                <w:color w:val="auto"/>
                <w:szCs w:val="21"/>
              </w:rPr>
              <w:t>服务要求</w:t>
            </w:r>
          </w:p>
        </w:tc>
        <w:tc>
          <w:tcPr>
            <w:tcW w:w="5852" w:type="dxa"/>
            <w:tcBorders>
              <w:top w:val="single" w:color="auto" w:sz="4" w:space="0"/>
              <w:left w:val="nil"/>
              <w:bottom w:val="single" w:color="auto" w:sz="4" w:space="0"/>
              <w:right w:val="single" w:color="auto" w:sz="4" w:space="0"/>
            </w:tcBorders>
            <w:noWrap w:val="0"/>
            <w:vAlign w:val="center"/>
          </w:tcPr>
          <w:p w14:paraId="6D74E995">
            <w:pPr>
              <w:spacing w:line="360" w:lineRule="auto"/>
              <w:outlineLvl w:val="9"/>
              <w:rPr>
                <w:rFonts w:ascii="宋体" w:hAnsi="宋体" w:eastAsia="宋体" w:cs="宋体"/>
                <w:color w:val="auto"/>
                <w:szCs w:val="21"/>
              </w:rPr>
            </w:pPr>
          </w:p>
        </w:tc>
      </w:tr>
      <w:tr w14:paraId="1F261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3368" w:type="dxa"/>
            <w:tcBorders>
              <w:top w:val="single" w:color="auto" w:sz="4" w:space="0"/>
              <w:left w:val="single" w:color="auto" w:sz="4" w:space="0"/>
              <w:bottom w:val="single" w:color="auto" w:sz="4" w:space="0"/>
              <w:right w:val="single" w:color="auto" w:sz="4" w:space="0"/>
            </w:tcBorders>
            <w:noWrap w:val="0"/>
            <w:vAlign w:val="center"/>
          </w:tcPr>
          <w:p w14:paraId="1D096BFE">
            <w:pPr>
              <w:spacing w:line="360" w:lineRule="auto"/>
              <w:outlineLvl w:val="9"/>
              <w:rPr>
                <w:rFonts w:ascii="宋体" w:hAnsi="宋体" w:eastAsia="宋体" w:cs="宋体"/>
                <w:color w:val="auto"/>
                <w:szCs w:val="21"/>
              </w:rPr>
            </w:pPr>
            <w:r>
              <w:rPr>
                <w:rFonts w:hint="eastAsia" w:ascii="宋体" w:hAnsi="宋体" w:eastAsia="宋体" w:cs="宋体"/>
                <w:color w:val="auto"/>
                <w:szCs w:val="21"/>
              </w:rPr>
              <w:t>磋商有效期</w:t>
            </w:r>
          </w:p>
        </w:tc>
        <w:tc>
          <w:tcPr>
            <w:tcW w:w="5852" w:type="dxa"/>
            <w:tcBorders>
              <w:top w:val="single" w:color="auto" w:sz="4" w:space="0"/>
              <w:left w:val="nil"/>
              <w:bottom w:val="single" w:color="auto" w:sz="4" w:space="0"/>
              <w:right w:val="single" w:color="auto" w:sz="4" w:space="0"/>
            </w:tcBorders>
            <w:noWrap w:val="0"/>
            <w:vAlign w:val="center"/>
          </w:tcPr>
          <w:p w14:paraId="36CDF339">
            <w:pPr>
              <w:spacing w:line="360" w:lineRule="auto"/>
              <w:outlineLvl w:val="9"/>
              <w:rPr>
                <w:rFonts w:ascii="宋体" w:hAnsi="宋体" w:eastAsia="宋体" w:cs="宋体"/>
                <w:color w:val="auto"/>
                <w:szCs w:val="21"/>
              </w:rPr>
            </w:pPr>
          </w:p>
        </w:tc>
      </w:tr>
      <w:tr w14:paraId="1988C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6" w:hRule="atLeast"/>
          <w:jc w:val="center"/>
        </w:trPr>
        <w:tc>
          <w:tcPr>
            <w:tcW w:w="9220" w:type="dxa"/>
            <w:gridSpan w:val="2"/>
            <w:tcBorders>
              <w:top w:val="single" w:color="auto" w:sz="4" w:space="0"/>
              <w:left w:val="single" w:color="auto" w:sz="4" w:space="0"/>
              <w:bottom w:val="single" w:color="auto" w:sz="4" w:space="0"/>
              <w:right w:val="single" w:color="auto" w:sz="4" w:space="0"/>
            </w:tcBorders>
            <w:noWrap w:val="0"/>
            <w:vAlign w:val="center"/>
          </w:tcPr>
          <w:p w14:paraId="4C8BE28A">
            <w:pPr>
              <w:spacing w:line="360" w:lineRule="auto"/>
              <w:outlineLvl w:val="9"/>
              <w:rPr>
                <w:rFonts w:hint="eastAsia" w:ascii="宋体" w:hAnsi="宋体" w:eastAsia="宋体" w:cs="宋体"/>
                <w:color w:val="auto"/>
                <w:szCs w:val="21"/>
              </w:rPr>
            </w:pPr>
            <w:r>
              <w:rPr>
                <w:rFonts w:hint="eastAsia" w:ascii="宋体" w:hAnsi="宋体" w:eastAsia="宋体" w:cs="宋体"/>
                <w:color w:val="auto"/>
                <w:szCs w:val="21"/>
              </w:rPr>
              <w:t>其他</w:t>
            </w:r>
            <w:r>
              <w:rPr>
                <w:rFonts w:hint="eastAsia" w:ascii="宋体" w:hAnsi="宋体" w:cs="宋体"/>
                <w:color w:val="auto"/>
                <w:szCs w:val="21"/>
                <w:lang w:val="en-US" w:eastAsia="zh-CN"/>
              </w:rPr>
              <w:t>补充</w:t>
            </w:r>
            <w:r>
              <w:rPr>
                <w:rFonts w:hint="eastAsia" w:ascii="宋体" w:hAnsi="宋体" w:eastAsia="宋体" w:cs="宋体"/>
                <w:color w:val="auto"/>
                <w:szCs w:val="21"/>
              </w:rPr>
              <w:t>说明：</w:t>
            </w:r>
          </w:p>
          <w:p w14:paraId="4EF6C730">
            <w:pPr>
              <w:spacing w:line="360" w:lineRule="auto"/>
              <w:outlineLvl w:val="9"/>
              <w:rPr>
                <w:rFonts w:hint="default" w:ascii="宋体" w:hAnsi="宋体" w:eastAsia="宋体" w:cs="宋体"/>
                <w:color w:val="auto"/>
                <w:szCs w:val="21"/>
                <w:lang w:val="en-US" w:eastAsia="zh-CN"/>
              </w:rPr>
            </w:pPr>
            <w:r>
              <w:rPr>
                <w:rFonts w:hint="eastAsia" w:ascii="宋体" w:hAnsi="宋体" w:cs="宋体"/>
                <w:color w:val="auto"/>
                <w:szCs w:val="21"/>
                <w:lang w:val="en-US" w:eastAsia="zh-CN"/>
              </w:rPr>
              <w:t>注：如需补充说明在此处填写，如无补充说明此处填写“无或/”。</w:t>
            </w:r>
          </w:p>
        </w:tc>
      </w:tr>
    </w:tbl>
    <w:p w14:paraId="71B7B59A">
      <w:pPr>
        <w:spacing w:line="360" w:lineRule="auto"/>
        <w:outlineLvl w:val="9"/>
        <w:rPr>
          <w:rFonts w:ascii="宋体" w:hAnsi="宋体" w:eastAsia="宋体" w:cs="宋体"/>
          <w:color w:val="auto"/>
          <w:sz w:val="24"/>
          <w:szCs w:val="24"/>
        </w:rPr>
      </w:pPr>
      <w:r>
        <w:rPr>
          <w:rFonts w:hint="eastAsia" w:ascii="宋体" w:hAnsi="宋体" w:eastAsia="宋体" w:cs="宋体"/>
          <w:color w:val="auto"/>
          <w:sz w:val="24"/>
          <w:szCs w:val="24"/>
        </w:rPr>
        <w:t xml:space="preserve"> </w:t>
      </w:r>
    </w:p>
    <w:p w14:paraId="4AE37DE3">
      <w:pPr>
        <w:spacing w:line="360" w:lineRule="auto"/>
        <w:outlineLvl w:val="9"/>
        <w:rPr>
          <w:rFonts w:ascii="宋体" w:hAnsi="宋体" w:eastAsia="宋体" w:cs="宋体"/>
          <w:color w:val="auto"/>
          <w:szCs w:val="21"/>
        </w:rPr>
      </w:pPr>
      <w:r>
        <w:rPr>
          <w:rFonts w:hint="eastAsia" w:ascii="宋体" w:hAnsi="宋体" w:eastAsia="宋体" w:cs="宋体"/>
          <w:color w:val="auto"/>
          <w:szCs w:val="21"/>
        </w:rPr>
        <w:t xml:space="preserve"> </w:t>
      </w:r>
    </w:p>
    <w:p w14:paraId="0334FA87">
      <w:pPr>
        <w:spacing w:line="360" w:lineRule="auto"/>
        <w:ind w:firstLine="420" w:firstLineChars="200"/>
        <w:outlineLvl w:val="9"/>
        <w:rPr>
          <w:rFonts w:ascii="宋体" w:hAnsi="宋体" w:eastAsia="宋体" w:cs="宋体"/>
          <w:color w:val="auto"/>
          <w:szCs w:val="21"/>
          <w:u w:val="single"/>
        </w:rPr>
      </w:pPr>
      <w:r>
        <w:rPr>
          <w:rFonts w:hint="eastAsia" w:ascii="宋体" w:hAnsi="宋体" w:eastAsia="宋体" w:cs="宋体"/>
          <w:color w:val="auto"/>
          <w:szCs w:val="21"/>
        </w:rPr>
        <w:t>供应商：</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（电子盖章）  </w:t>
      </w:r>
    </w:p>
    <w:p w14:paraId="40A76A92">
      <w:pPr>
        <w:spacing w:line="360" w:lineRule="auto"/>
        <w:outlineLvl w:val="9"/>
        <w:rPr>
          <w:rFonts w:ascii="宋体" w:hAnsi="宋体" w:eastAsia="宋体" w:cs="宋体"/>
          <w:color w:val="auto"/>
          <w:szCs w:val="21"/>
        </w:rPr>
      </w:pPr>
      <w:r>
        <w:rPr>
          <w:rFonts w:hint="eastAsia" w:ascii="宋体" w:hAnsi="宋体" w:eastAsia="宋体" w:cs="宋体"/>
          <w:color w:val="auto"/>
          <w:szCs w:val="21"/>
        </w:rPr>
        <w:t xml:space="preserve"> </w:t>
      </w:r>
    </w:p>
    <w:p w14:paraId="12464902">
      <w:pPr>
        <w:spacing w:line="360" w:lineRule="auto"/>
        <w:ind w:firstLine="420" w:firstLineChars="200"/>
        <w:outlineLvl w:val="9"/>
        <w:rPr>
          <w:rFonts w:ascii="宋体" w:hAnsi="宋体" w:eastAsia="宋体" w:cs="宋体"/>
          <w:b/>
          <w:bCs/>
          <w:color w:val="auto"/>
          <w:szCs w:val="21"/>
        </w:rPr>
      </w:pPr>
      <w:r>
        <w:rPr>
          <w:rFonts w:hint="eastAsia" w:ascii="宋体" w:hAnsi="宋体" w:eastAsia="宋体" w:cs="宋体"/>
          <w:color w:val="auto"/>
          <w:szCs w:val="21"/>
        </w:rPr>
        <w:t>法定代表人或委托代理人：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（电子签章）  </w:t>
      </w:r>
    </w:p>
    <w:p w14:paraId="1A2676F8">
      <w:pPr>
        <w:spacing w:line="360" w:lineRule="auto"/>
        <w:outlineLvl w:val="9"/>
        <w:rPr>
          <w:rFonts w:ascii="宋体" w:hAnsi="宋体" w:eastAsia="宋体" w:cs="宋体"/>
          <w:color w:val="auto"/>
          <w:szCs w:val="21"/>
          <w:u w:val="single"/>
        </w:rPr>
      </w:pPr>
    </w:p>
    <w:p w14:paraId="5E45B582">
      <w:pPr>
        <w:spacing w:line="360" w:lineRule="auto"/>
        <w:ind w:firstLine="420" w:firstLineChars="200"/>
        <w:outlineLvl w:val="9"/>
        <w:rPr>
          <w:rFonts w:ascii="宋体" w:hAnsi="宋体" w:eastAsia="宋体" w:cs="宋体"/>
          <w:color w:val="auto"/>
          <w:sz w:val="28"/>
          <w:szCs w:val="28"/>
        </w:rPr>
      </w:pP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日  </w:t>
      </w:r>
    </w:p>
    <w:p w14:paraId="3E2ADD26">
      <w:pPr>
        <w:spacing w:line="360" w:lineRule="auto"/>
        <w:outlineLvl w:val="9"/>
        <w:rPr>
          <w:rFonts w:ascii="宋体" w:hAnsi="宋体" w:eastAsia="宋体" w:cs="宋体"/>
          <w:color w:val="auto"/>
          <w:sz w:val="28"/>
          <w:szCs w:val="28"/>
        </w:rPr>
      </w:pPr>
      <w:r>
        <w:rPr>
          <w:rFonts w:hint="eastAsia" w:ascii="宋体" w:hAnsi="宋体" w:eastAsia="宋体" w:cs="宋体"/>
          <w:color w:val="auto"/>
          <w:sz w:val="28"/>
          <w:szCs w:val="28"/>
        </w:rPr>
        <w:t xml:space="preserve"> </w:t>
      </w:r>
    </w:p>
    <w:p w14:paraId="49D3EDF2">
      <w:pPr>
        <w:spacing w:line="360" w:lineRule="auto"/>
        <w:jc w:val="center"/>
        <w:outlineLvl w:val="9"/>
        <w:rPr>
          <w:rFonts w:hint="eastAsia" w:ascii="宋体" w:hAnsi="宋体" w:eastAsia="宋体" w:cs="宋体"/>
          <w:b/>
          <w:bCs/>
          <w:color w:val="auto"/>
          <w:sz w:val="28"/>
          <w:szCs w:val="28"/>
        </w:rPr>
      </w:pPr>
      <w:bookmarkStart w:id="87" w:name="_Toc21394"/>
      <w:bookmarkEnd w:id="87"/>
      <w:bookmarkStart w:id="88" w:name="_Toc24325"/>
      <w:bookmarkEnd w:id="88"/>
      <w:bookmarkStart w:id="89" w:name="_Toc4969"/>
      <w:bookmarkEnd w:id="89"/>
      <w:bookmarkStart w:id="90" w:name="_Toc15271"/>
      <w:bookmarkEnd w:id="90"/>
      <w:bookmarkStart w:id="91" w:name="_Toc8208"/>
    </w:p>
    <w:p w14:paraId="3314E0CF">
      <w:pPr>
        <w:spacing w:line="360" w:lineRule="auto"/>
        <w:jc w:val="center"/>
        <w:outlineLvl w:val="9"/>
        <w:rPr>
          <w:rFonts w:ascii="宋体" w:hAnsi="宋体" w:eastAsia="宋体" w:cs="宋体"/>
          <w:b/>
          <w:bCs/>
          <w:color w:val="auto"/>
          <w:sz w:val="36"/>
          <w:szCs w:val="36"/>
        </w:rPr>
      </w:pPr>
      <w:r>
        <w:rPr>
          <w:rFonts w:hint="eastAsia" w:ascii="宋体" w:hAnsi="宋体" w:eastAsia="宋体" w:cs="宋体"/>
          <w:b/>
          <w:bCs/>
          <w:color w:val="auto"/>
          <w:sz w:val="28"/>
          <w:szCs w:val="28"/>
        </w:rPr>
        <w:t>三、法定代表人身份证明</w:t>
      </w:r>
      <w:bookmarkEnd w:id="91"/>
    </w:p>
    <w:p w14:paraId="0470581C">
      <w:pPr>
        <w:spacing w:line="360" w:lineRule="auto"/>
        <w:outlineLvl w:val="9"/>
        <w:rPr>
          <w:rFonts w:ascii="宋体" w:hAnsi="宋体" w:eastAsia="宋体" w:cs="宋体"/>
          <w:color w:val="auto"/>
          <w:szCs w:val="21"/>
        </w:rPr>
      </w:pPr>
      <w:r>
        <w:rPr>
          <w:rFonts w:hint="eastAsia" w:ascii="宋体" w:hAnsi="宋体" w:eastAsia="宋体" w:cs="宋体"/>
          <w:color w:val="auto"/>
          <w:szCs w:val="21"/>
        </w:rPr>
        <w:t>投 标 人：</w:t>
      </w:r>
      <w:r>
        <w:rPr>
          <w:rFonts w:hint="eastAsia" w:ascii="宋体" w:hAnsi="宋体" w:eastAsia="宋体" w:cs="宋体"/>
          <w:color w:val="auto"/>
          <w:szCs w:val="21"/>
          <w:u w:val="single"/>
        </w:rPr>
        <w:t xml:space="preserve">                                                        </w:t>
      </w:r>
    </w:p>
    <w:p w14:paraId="54370EB1">
      <w:pPr>
        <w:spacing w:line="360" w:lineRule="auto"/>
        <w:outlineLvl w:val="9"/>
        <w:rPr>
          <w:rFonts w:ascii="宋体" w:hAnsi="宋体" w:eastAsia="宋体" w:cs="宋体"/>
          <w:color w:val="auto"/>
          <w:szCs w:val="21"/>
        </w:rPr>
      </w:pPr>
      <w:r>
        <w:rPr>
          <w:rFonts w:hint="eastAsia" w:ascii="宋体" w:hAnsi="宋体" w:eastAsia="宋体" w:cs="宋体"/>
          <w:color w:val="auto"/>
          <w:szCs w:val="21"/>
        </w:rPr>
        <w:t>单位性质：</w:t>
      </w:r>
      <w:r>
        <w:rPr>
          <w:rFonts w:hint="eastAsia" w:ascii="宋体" w:hAnsi="宋体" w:eastAsia="宋体" w:cs="宋体"/>
          <w:color w:val="auto"/>
          <w:szCs w:val="21"/>
          <w:u w:val="single"/>
        </w:rPr>
        <w:t xml:space="preserve">                                                        </w:t>
      </w:r>
    </w:p>
    <w:p w14:paraId="4D608D39">
      <w:pPr>
        <w:spacing w:line="360" w:lineRule="auto"/>
        <w:outlineLvl w:val="9"/>
        <w:rPr>
          <w:rFonts w:ascii="宋体" w:hAnsi="宋体" w:eastAsia="宋体" w:cs="宋体"/>
          <w:color w:val="auto"/>
          <w:szCs w:val="21"/>
        </w:rPr>
      </w:pPr>
      <w:r>
        <w:rPr>
          <w:rFonts w:hint="eastAsia" w:ascii="宋体" w:hAnsi="宋体" w:eastAsia="宋体" w:cs="宋体"/>
          <w:color w:val="auto"/>
          <w:szCs w:val="21"/>
        </w:rPr>
        <w:t>地    址：</w:t>
      </w:r>
      <w:r>
        <w:rPr>
          <w:rFonts w:hint="eastAsia" w:ascii="宋体" w:hAnsi="宋体" w:eastAsia="宋体" w:cs="宋体"/>
          <w:color w:val="auto"/>
          <w:szCs w:val="21"/>
          <w:u w:val="single"/>
        </w:rPr>
        <w:t xml:space="preserve">                                                        </w:t>
      </w:r>
    </w:p>
    <w:p w14:paraId="2403E204">
      <w:pPr>
        <w:spacing w:line="360" w:lineRule="auto"/>
        <w:outlineLvl w:val="9"/>
        <w:rPr>
          <w:rFonts w:ascii="宋体" w:hAnsi="宋体" w:eastAsia="宋体" w:cs="宋体"/>
          <w:color w:val="auto"/>
          <w:szCs w:val="21"/>
        </w:rPr>
      </w:pPr>
      <w:r>
        <w:rPr>
          <w:rFonts w:hint="eastAsia" w:ascii="宋体" w:hAnsi="宋体" w:eastAsia="宋体" w:cs="宋体"/>
          <w:color w:val="auto"/>
          <w:szCs w:val="21"/>
        </w:rPr>
        <w:t>成立时间：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p>
    <w:p w14:paraId="5264FA44">
      <w:pPr>
        <w:spacing w:line="360" w:lineRule="auto"/>
        <w:outlineLvl w:val="9"/>
        <w:rPr>
          <w:rFonts w:ascii="宋体" w:hAnsi="宋体" w:eastAsia="宋体" w:cs="宋体"/>
          <w:color w:val="auto"/>
          <w:szCs w:val="21"/>
        </w:rPr>
      </w:pPr>
      <w:r>
        <w:rPr>
          <w:rFonts w:hint="eastAsia" w:ascii="宋体" w:hAnsi="宋体" w:eastAsia="宋体" w:cs="宋体"/>
          <w:color w:val="auto"/>
          <w:szCs w:val="21"/>
        </w:rPr>
        <w:t>经营期限：</w:t>
      </w:r>
      <w:r>
        <w:rPr>
          <w:rFonts w:hint="eastAsia" w:ascii="宋体" w:hAnsi="宋体" w:eastAsia="宋体" w:cs="宋体"/>
          <w:color w:val="auto"/>
          <w:szCs w:val="21"/>
          <w:u w:val="single"/>
        </w:rPr>
        <w:t xml:space="preserve">                                                        </w:t>
      </w:r>
    </w:p>
    <w:p w14:paraId="56A646B9">
      <w:pPr>
        <w:spacing w:line="360" w:lineRule="auto"/>
        <w:outlineLvl w:val="9"/>
        <w:rPr>
          <w:rFonts w:ascii="宋体" w:hAnsi="宋体" w:eastAsia="宋体" w:cs="宋体"/>
          <w:color w:val="auto"/>
          <w:szCs w:val="21"/>
        </w:rPr>
      </w:pPr>
      <w:r>
        <w:rPr>
          <w:rFonts w:hint="eastAsia" w:ascii="宋体" w:hAnsi="宋体" w:eastAsia="宋体" w:cs="宋体"/>
          <w:color w:val="auto"/>
          <w:szCs w:val="21"/>
        </w:rPr>
        <w:t>姓    名：</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性        别：</w:t>
      </w:r>
      <w:r>
        <w:rPr>
          <w:rFonts w:hint="eastAsia" w:ascii="宋体" w:hAnsi="宋体" w:eastAsia="宋体" w:cs="宋体"/>
          <w:color w:val="auto"/>
          <w:szCs w:val="21"/>
          <w:u w:val="single"/>
        </w:rPr>
        <w:t xml:space="preserve">                </w:t>
      </w:r>
    </w:p>
    <w:p w14:paraId="63C2C364">
      <w:pPr>
        <w:spacing w:line="360" w:lineRule="auto"/>
        <w:outlineLvl w:val="9"/>
        <w:rPr>
          <w:rFonts w:ascii="宋体" w:hAnsi="宋体" w:eastAsia="宋体" w:cs="宋体"/>
          <w:color w:val="auto"/>
          <w:szCs w:val="21"/>
        </w:rPr>
      </w:pPr>
      <w:r>
        <w:rPr>
          <w:rFonts w:hint="eastAsia" w:ascii="宋体" w:hAnsi="宋体" w:eastAsia="宋体" w:cs="宋体"/>
          <w:color w:val="auto"/>
          <w:szCs w:val="21"/>
        </w:rPr>
        <w:t>年    龄：</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职        务：</w:t>
      </w:r>
      <w:r>
        <w:rPr>
          <w:rFonts w:hint="eastAsia" w:ascii="宋体" w:hAnsi="宋体" w:eastAsia="宋体" w:cs="宋体"/>
          <w:color w:val="auto"/>
          <w:szCs w:val="21"/>
          <w:u w:val="single"/>
        </w:rPr>
        <w:t xml:space="preserve">                </w:t>
      </w:r>
    </w:p>
    <w:p w14:paraId="6A4E894F">
      <w:pPr>
        <w:spacing w:line="360" w:lineRule="auto"/>
        <w:outlineLvl w:val="9"/>
        <w:rPr>
          <w:rFonts w:ascii="宋体" w:hAnsi="宋体" w:eastAsia="宋体" w:cs="宋体"/>
          <w:color w:val="auto"/>
          <w:szCs w:val="21"/>
        </w:rPr>
      </w:pPr>
      <w:r>
        <w:rPr>
          <w:rFonts w:hint="eastAsia" w:ascii="宋体" w:hAnsi="宋体" w:eastAsia="宋体" w:cs="宋体"/>
          <w:color w:val="auto"/>
          <w:szCs w:val="21"/>
        </w:rPr>
        <w:t xml:space="preserve">   系</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（供应商名称）的法定代表人。</w:t>
      </w:r>
    </w:p>
    <w:p w14:paraId="0FC7155D">
      <w:pPr>
        <w:spacing w:line="360" w:lineRule="auto"/>
        <w:outlineLvl w:val="9"/>
        <w:rPr>
          <w:rFonts w:ascii="宋体" w:hAnsi="宋体" w:eastAsia="宋体" w:cs="宋体"/>
          <w:color w:val="auto"/>
          <w:szCs w:val="21"/>
        </w:rPr>
      </w:pPr>
      <w:r>
        <w:rPr>
          <w:rFonts w:hint="eastAsia" w:ascii="宋体" w:hAnsi="宋体" w:eastAsia="宋体" w:cs="宋体"/>
          <w:color w:val="auto"/>
          <w:szCs w:val="21"/>
        </w:rPr>
        <w:t xml:space="preserve"> </w:t>
      </w:r>
    </w:p>
    <w:p w14:paraId="15ADE2FE">
      <w:pPr>
        <w:spacing w:line="360" w:lineRule="auto"/>
        <w:outlineLvl w:val="9"/>
        <w:rPr>
          <w:rFonts w:ascii="宋体" w:hAnsi="宋体" w:eastAsia="宋体" w:cs="宋体"/>
          <w:color w:val="auto"/>
          <w:szCs w:val="21"/>
        </w:rPr>
      </w:pPr>
      <w:r>
        <w:rPr>
          <w:rFonts w:hint="eastAsia" w:ascii="宋体" w:hAnsi="宋体" w:eastAsia="宋体" w:cs="宋体"/>
          <w:color w:val="auto"/>
          <w:szCs w:val="21"/>
        </w:rPr>
        <w:t xml:space="preserve">   特此证明。</w:t>
      </w:r>
    </w:p>
    <w:p w14:paraId="48CACC80">
      <w:pPr>
        <w:spacing w:line="360" w:lineRule="auto"/>
        <w:outlineLvl w:val="9"/>
        <w:rPr>
          <w:rFonts w:ascii="宋体" w:hAnsi="宋体" w:eastAsia="宋体" w:cs="宋体"/>
          <w:color w:val="auto"/>
          <w:szCs w:val="21"/>
        </w:rPr>
      </w:pPr>
      <w:r>
        <w:rPr>
          <w:rFonts w:hint="eastAsia" w:ascii="宋体" w:hAnsi="宋体" w:eastAsia="宋体" w:cs="宋体"/>
          <w:color w:val="auto"/>
          <w:szCs w:val="21"/>
        </w:rPr>
        <w:t xml:space="preserve"> </w:t>
      </w:r>
    </w:p>
    <w:p w14:paraId="5246CFE3">
      <w:pPr>
        <w:spacing w:line="360" w:lineRule="auto"/>
        <w:jc w:val="center"/>
        <w:outlineLvl w:val="9"/>
        <w:rPr>
          <w:rFonts w:ascii="宋体" w:hAnsi="宋体" w:eastAsia="宋体" w:cs="宋体"/>
          <w:color w:val="auto"/>
          <w:szCs w:val="21"/>
        </w:rPr>
      </w:pPr>
      <w:r>
        <w:rPr>
          <w:rFonts w:hint="eastAsia" w:ascii="宋体" w:hAnsi="宋体" w:eastAsia="宋体" w:cs="宋体"/>
          <w:color w:val="auto"/>
          <w:szCs w:val="21"/>
        </w:rPr>
        <w:t>法定代表人身份证</w:t>
      </w:r>
    </w:p>
    <w:p w14:paraId="6D562894">
      <w:pPr>
        <w:spacing w:line="360" w:lineRule="auto"/>
        <w:outlineLvl w:val="9"/>
        <w:rPr>
          <w:rFonts w:ascii="宋体" w:hAnsi="宋体" w:eastAsia="宋体" w:cs="宋体"/>
          <w:color w:val="auto"/>
          <w:szCs w:val="21"/>
        </w:rPr>
      </w:pPr>
      <w:r>
        <w:rPr>
          <w:rFonts w:hint="eastAsia" w:ascii="宋体" w:hAnsi="宋体" w:eastAsia="宋体" w:cs="宋体"/>
          <w:color w:val="auto"/>
          <w:szCs w:val="21"/>
        </w:rPr>
        <w:t xml:space="preserve"> </w:t>
      </w:r>
    </w:p>
    <w:p w14:paraId="3DCBD9B1">
      <w:pPr>
        <w:spacing w:line="360" w:lineRule="auto"/>
        <w:outlineLvl w:val="9"/>
        <w:rPr>
          <w:rFonts w:ascii="宋体" w:hAnsi="宋体" w:eastAsia="宋体" w:cs="宋体"/>
          <w:color w:val="auto"/>
          <w:szCs w:val="21"/>
        </w:rPr>
      </w:pPr>
      <w:r>
        <w:rPr>
          <w:rFonts w:hint="eastAsia" w:ascii="宋体" w:hAnsi="宋体" w:eastAsia="宋体" w:cs="宋体"/>
          <w:color w:val="auto"/>
          <w:szCs w:val="21"/>
        </w:rPr>
        <w:t xml:space="preserve"> </w:t>
      </w:r>
    </w:p>
    <w:p w14:paraId="65CD1156">
      <w:pPr>
        <w:spacing w:line="360" w:lineRule="auto"/>
        <w:ind w:firstLine="420" w:firstLineChars="200"/>
        <w:outlineLvl w:val="9"/>
        <w:rPr>
          <w:rFonts w:ascii="宋体" w:hAnsi="宋体" w:eastAsia="宋体" w:cs="宋体"/>
          <w:color w:val="auto"/>
          <w:szCs w:val="21"/>
        </w:rPr>
      </w:pPr>
      <w:r>
        <w:rPr>
          <w:rFonts w:hint="eastAsia" w:ascii="宋体" w:hAnsi="宋体" w:eastAsia="宋体" w:cs="宋体"/>
          <w:color w:val="auto"/>
          <w:szCs w:val="21"/>
        </w:rPr>
        <w:t>供应商：</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（电子签章）</w:t>
      </w:r>
    </w:p>
    <w:p w14:paraId="52D917A8">
      <w:pPr>
        <w:spacing w:line="360" w:lineRule="auto"/>
        <w:outlineLvl w:val="9"/>
        <w:rPr>
          <w:rFonts w:ascii="宋体" w:hAnsi="宋体" w:eastAsia="宋体" w:cs="宋体"/>
          <w:color w:val="auto"/>
          <w:szCs w:val="21"/>
        </w:rPr>
      </w:pPr>
      <w:r>
        <w:rPr>
          <w:rFonts w:hint="eastAsia" w:ascii="宋体" w:hAnsi="宋体" w:eastAsia="宋体" w:cs="宋体"/>
          <w:color w:val="auto"/>
          <w:szCs w:val="21"/>
        </w:rPr>
        <w:t xml:space="preserve"> </w:t>
      </w:r>
    </w:p>
    <w:p w14:paraId="03255A7B">
      <w:pPr>
        <w:spacing w:line="360" w:lineRule="auto"/>
        <w:outlineLvl w:val="9"/>
        <w:rPr>
          <w:rFonts w:ascii="宋体" w:hAnsi="宋体" w:eastAsia="宋体" w:cs="宋体"/>
          <w:color w:val="auto"/>
          <w:szCs w:val="21"/>
        </w:rPr>
      </w:pPr>
      <w:r>
        <w:rPr>
          <w:rFonts w:hint="eastAsia" w:ascii="宋体" w:hAnsi="宋体" w:eastAsia="宋体" w:cs="宋体"/>
          <w:color w:val="auto"/>
          <w:szCs w:val="21"/>
        </w:rPr>
        <w:t xml:space="preserve"> </w:t>
      </w:r>
    </w:p>
    <w:p w14:paraId="00EBD77F">
      <w:pPr>
        <w:spacing w:line="360" w:lineRule="auto"/>
        <w:outlineLvl w:val="9"/>
        <w:rPr>
          <w:rFonts w:ascii="宋体" w:hAnsi="宋体" w:eastAsia="宋体" w:cs="宋体"/>
          <w:color w:val="auto"/>
          <w:sz w:val="28"/>
          <w:szCs w:val="28"/>
        </w:rPr>
      </w:pPr>
      <w:r>
        <w:rPr>
          <w:rFonts w:hint="eastAsia" w:ascii="宋体" w:hAnsi="宋体" w:eastAsia="宋体" w:cs="宋体"/>
          <w:color w:val="auto"/>
          <w:szCs w:val="21"/>
        </w:rPr>
        <w:t xml:space="preserve">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日  </w:t>
      </w:r>
    </w:p>
    <w:p w14:paraId="6562366B">
      <w:pPr>
        <w:spacing w:line="360" w:lineRule="auto"/>
        <w:outlineLvl w:val="9"/>
        <w:rPr>
          <w:rFonts w:ascii="宋体" w:hAnsi="宋体" w:eastAsia="宋体" w:cs="宋体"/>
          <w:color w:val="auto"/>
          <w:szCs w:val="21"/>
        </w:rPr>
      </w:pPr>
      <w:r>
        <w:rPr>
          <w:rFonts w:hint="eastAsia" w:ascii="宋体" w:hAnsi="宋体" w:eastAsia="宋体" w:cs="宋体"/>
          <w:color w:val="auto"/>
          <w:szCs w:val="21"/>
        </w:rPr>
        <w:t xml:space="preserve">        </w:t>
      </w:r>
    </w:p>
    <w:p w14:paraId="6BAB6374">
      <w:pPr>
        <w:spacing w:line="360" w:lineRule="auto"/>
        <w:jc w:val="center"/>
        <w:outlineLvl w:val="9"/>
        <w:rPr>
          <w:rFonts w:ascii="宋体" w:hAnsi="宋体" w:eastAsia="宋体" w:cs="宋体"/>
          <w:color w:val="auto"/>
          <w:sz w:val="24"/>
          <w:szCs w:val="24"/>
        </w:rPr>
      </w:pPr>
      <w:r>
        <w:rPr>
          <w:rFonts w:hint="eastAsia" w:ascii="宋体" w:hAnsi="宋体" w:eastAsia="宋体" w:cs="宋体"/>
          <w:color w:val="auto"/>
          <w:szCs w:val="21"/>
        </w:rPr>
        <w:br w:type="page"/>
      </w:r>
      <w:bookmarkStart w:id="92" w:name="_Toc12135"/>
      <w:bookmarkEnd w:id="92"/>
      <w:bookmarkStart w:id="93" w:name="_Toc16149"/>
      <w:bookmarkEnd w:id="93"/>
      <w:bookmarkStart w:id="94" w:name="_Toc32366"/>
      <w:bookmarkEnd w:id="94"/>
      <w:bookmarkStart w:id="95" w:name="_Toc23246"/>
      <w:bookmarkEnd w:id="95"/>
      <w:bookmarkStart w:id="96" w:name="_Toc5488"/>
      <w:r>
        <w:rPr>
          <w:rFonts w:hint="eastAsia" w:ascii="宋体" w:hAnsi="宋体" w:eastAsia="宋体" w:cs="宋体"/>
          <w:b/>
          <w:bCs/>
          <w:color w:val="auto"/>
          <w:sz w:val="28"/>
          <w:szCs w:val="28"/>
        </w:rPr>
        <w:t>四、</w:t>
      </w:r>
      <w:bookmarkEnd w:id="96"/>
      <w:r>
        <w:rPr>
          <w:rFonts w:hint="eastAsia" w:ascii="宋体" w:hAnsi="宋体" w:eastAsia="宋体" w:cs="宋体"/>
          <w:b/>
          <w:bCs/>
          <w:color w:val="auto"/>
          <w:sz w:val="28"/>
          <w:szCs w:val="28"/>
        </w:rPr>
        <w:t>授权委托书</w:t>
      </w:r>
    </w:p>
    <w:p w14:paraId="5395E954">
      <w:pPr>
        <w:spacing w:line="360" w:lineRule="auto"/>
        <w:ind w:firstLine="420" w:firstLineChars="200"/>
        <w:outlineLvl w:val="9"/>
        <w:rPr>
          <w:rFonts w:ascii="宋体" w:hAnsi="宋体" w:eastAsia="宋体" w:cs="宋体"/>
          <w:color w:val="auto"/>
          <w:szCs w:val="21"/>
        </w:rPr>
      </w:pPr>
    </w:p>
    <w:p w14:paraId="35A77080">
      <w:pPr>
        <w:spacing w:line="480" w:lineRule="auto"/>
        <w:ind w:firstLine="420" w:firstLineChars="200"/>
        <w:outlineLvl w:val="9"/>
        <w:rPr>
          <w:rFonts w:ascii="宋体" w:hAnsi="宋体" w:eastAsia="宋体" w:cs="宋体"/>
          <w:color w:val="auto"/>
          <w:szCs w:val="21"/>
        </w:rPr>
      </w:pPr>
      <w:r>
        <w:rPr>
          <w:rFonts w:hint="eastAsia" w:ascii="宋体" w:hAnsi="宋体" w:eastAsia="宋体" w:cs="宋体"/>
          <w:color w:val="auto"/>
          <w:szCs w:val="21"/>
        </w:rPr>
        <w:t>本人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（姓名）系</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（供应商名称）的法定代表人，现委托</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（姓名）</w:t>
      </w:r>
      <w:r>
        <w:rPr>
          <w:rFonts w:hint="eastAsia" w:ascii="宋体" w:hAnsi="宋体"/>
          <w:color w:val="auto"/>
          <w:szCs w:val="21"/>
        </w:rPr>
        <w:t>（联系电话：</w:t>
      </w:r>
      <w:r>
        <w:rPr>
          <w:rFonts w:hint="eastAsia" w:ascii="宋体" w:hAnsi="宋体"/>
          <w:color w:val="auto"/>
          <w:szCs w:val="21"/>
          <w:u w:val="single"/>
        </w:rPr>
        <w:t xml:space="preserve">          </w:t>
      </w:r>
      <w:r>
        <w:rPr>
          <w:rFonts w:hint="eastAsia" w:ascii="宋体" w:hAnsi="宋体"/>
          <w:color w:val="auto"/>
          <w:szCs w:val="21"/>
        </w:rPr>
        <w:t xml:space="preserve"> 电子邮箱：</w:t>
      </w:r>
      <w:r>
        <w:rPr>
          <w:rFonts w:hint="eastAsia" w:ascii="宋体" w:hAnsi="宋体"/>
          <w:color w:val="auto"/>
          <w:szCs w:val="21"/>
          <w:u w:val="single"/>
        </w:rPr>
        <w:t xml:space="preserve">         </w:t>
      </w:r>
      <w:r>
        <w:rPr>
          <w:rFonts w:hint="eastAsia" w:ascii="宋体" w:hAnsi="宋体"/>
          <w:color w:val="auto"/>
          <w:szCs w:val="21"/>
        </w:rPr>
        <w:t>）</w:t>
      </w:r>
      <w:r>
        <w:rPr>
          <w:rFonts w:hint="eastAsia" w:ascii="宋体" w:hAnsi="宋体" w:eastAsia="宋体" w:cs="宋体"/>
          <w:color w:val="auto"/>
          <w:szCs w:val="21"/>
        </w:rPr>
        <w:t>为我方代理人。代理人根据授权，以我方名义签署、澄清、说明、补正、递交、撤回、修改</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（项目名称）响应文件、签订合同和处理有关事宜，其法律后果由我方承担。</w:t>
      </w:r>
    </w:p>
    <w:p w14:paraId="5E88EE74">
      <w:pPr>
        <w:spacing w:line="480" w:lineRule="auto"/>
        <w:ind w:firstLine="420" w:firstLineChars="200"/>
        <w:outlineLvl w:val="9"/>
        <w:rPr>
          <w:rFonts w:ascii="宋体" w:hAnsi="宋体" w:eastAsia="宋体" w:cs="宋体"/>
          <w:color w:val="auto"/>
          <w:szCs w:val="21"/>
        </w:rPr>
      </w:pPr>
      <w:r>
        <w:rPr>
          <w:rFonts w:hint="eastAsia" w:ascii="宋体" w:hAnsi="宋体" w:eastAsia="宋体" w:cs="宋体"/>
          <w:color w:val="auto"/>
          <w:szCs w:val="21"/>
        </w:rPr>
        <w:t>委托期限：</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515553C4">
      <w:pPr>
        <w:spacing w:line="480" w:lineRule="auto"/>
        <w:ind w:firstLine="420" w:firstLineChars="200"/>
        <w:outlineLvl w:val="9"/>
        <w:rPr>
          <w:rFonts w:ascii="宋体" w:hAnsi="宋体" w:eastAsia="宋体" w:cs="宋体"/>
          <w:color w:val="auto"/>
          <w:szCs w:val="21"/>
        </w:rPr>
      </w:pPr>
      <w:r>
        <w:rPr>
          <w:rFonts w:hint="eastAsia" w:ascii="宋体" w:hAnsi="宋体" w:eastAsia="宋体" w:cs="宋体"/>
          <w:color w:val="auto"/>
          <w:szCs w:val="21"/>
        </w:rPr>
        <w:t>代理人无转委托权。</w:t>
      </w:r>
    </w:p>
    <w:p w14:paraId="734FCDD6">
      <w:pPr>
        <w:spacing w:line="480" w:lineRule="auto"/>
        <w:ind w:firstLine="420" w:firstLineChars="200"/>
        <w:jc w:val="center"/>
        <w:outlineLvl w:val="9"/>
        <w:rPr>
          <w:rFonts w:hint="eastAsia" w:ascii="宋体" w:hAnsi="宋体" w:eastAsia="宋体" w:cs="宋体"/>
          <w:color w:val="auto"/>
          <w:szCs w:val="21"/>
        </w:rPr>
      </w:pPr>
    </w:p>
    <w:p w14:paraId="618EE76D">
      <w:pPr>
        <w:spacing w:line="480" w:lineRule="auto"/>
        <w:ind w:firstLine="420" w:firstLineChars="200"/>
        <w:jc w:val="center"/>
        <w:outlineLvl w:val="9"/>
        <w:rPr>
          <w:rFonts w:ascii="宋体" w:hAnsi="宋体" w:eastAsia="宋体" w:cs="宋体"/>
          <w:color w:val="auto"/>
          <w:szCs w:val="21"/>
        </w:rPr>
      </w:pPr>
      <w:r>
        <w:rPr>
          <w:rFonts w:hint="eastAsia" w:ascii="宋体" w:hAnsi="宋体" w:eastAsia="宋体" w:cs="宋体"/>
          <w:color w:val="auto"/>
          <w:szCs w:val="21"/>
        </w:rPr>
        <w:t>附：法定代表人和代理人身份证</w:t>
      </w:r>
    </w:p>
    <w:p w14:paraId="3D6BEAEF">
      <w:pPr>
        <w:spacing w:line="360" w:lineRule="auto"/>
        <w:outlineLvl w:val="9"/>
        <w:rPr>
          <w:rFonts w:ascii="宋体" w:hAnsi="宋体" w:eastAsia="宋体" w:cs="宋体"/>
          <w:color w:val="auto"/>
          <w:szCs w:val="21"/>
        </w:rPr>
      </w:pPr>
    </w:p>
    <w:p w14:paraId="166EC148">
      <w:pPr>
        <w:spacing w:line="360" w:lineRule="auto"/>
        <w:ind w:firstLine="420" w:firstLineChars="200"/>
        <w:outlineLvl w:val="9"/>
        <w:rPr>
          <w:rFonts w:ascii="宋体" w:hAnsi="宋体" w:eastAsia="宋体" w:cs="宋体"/>
          <w:color w:val="auto"/>
          <w:szCs w:val="21"/>
        </w:rPr>
      </w:pPr>
      <w:r>
        <w:rPr>
          <w:rFonts w:hint="eastAsia" w:ascii="宋体" w:hAnsi="宋体" w:eastAsia="宋体" w:cs="宋体"/>
          <w:color w:val="auto"/>
          <w:szCs w:val="21"/>
        </w:rPr>
        <w:t>供应商：</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（电子签章）</w:t>
      </w:r>
    </w:p>
    <w:p w14:paraId="7CBF820A">
      <w:pPr>
        <w:spacing w:line="360" w:lineRule="auto"/>
        <w:outlineLvl w:val="9"/>
        <w:rPr>
          <w:rFonts w:ascii="宋体" w:hAnsi="宋体" w:eastAsia="宋体" w:cs="宋体"/>
          <w:color w:val="auto"/>
          <w:szCs w:val="21"/>
        </w:rPr>
      </w:pPr>
    </w:p>
    <w:p w14:paraId="7B8447A4">
      <w:pPr>
        <w:spacing w:line="360" w:lineRule="auto"/>
        <w:ind w:firstLine="420" w:firstLineChars="200"/>
        <w:outlineLvl w:val="9"/>
        <w:rPr>
          <w:rFonts w:ascii="宋体" w:hAnsi="宋体" w:eastAsia="宋体" w:cs="宋体"/>
          <w:color w:val="auto"/>
          <w:szCs w:val="21"/>
        </w:rPr>
      </w:pPr>
      <w:r>
        <w:rPr>
          <w:rFonts w:hint="eastAsia" w:ascii="宋体" w:hAnsi="宋体" w:eastAsia="宋体" w:cs="宋体"/>
          <w:color w:val="auto"/>
          <w:szCs w:val="21"/>
        </w:rPr>
        <w:t>法定代表人：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（电子签章）</w:t>
      </w:r>
    </w:p>
    <w:p w14:paraId="4E96D8E5">
      <w:pPr>
        <w:spacing w:line="360" w:lineRule="auto"/>
        <w:outlineLvl w:val="9"/>
        <w:rPr>
          <w:rFonts w:ascii="宋体" w:hAnsi="宋体" w:eastAsia="宋体" w:cs="宋体"/>
          <w:color w:val="auto"/>
          <w:szCs w:val="21"/>
        </w:rPr>
      </w:pPr>
      <w:r>
        <w:rPr>
          <w:rFonts w:hint="eastAsia" w:ascii="宋体" w:hAnsi="宋体" w:eastAsia="宋体" w:cs="宋体"/>
          <w:color w:val="auto"/>
          <w:szCs w:val="21"/>
        </w:rPr>
        <w:t xml:space="preserve"> </w:t>
      </w:r>
    </w:p>
    <w:p w14:paraId="66F45365">
      <w:pPr>
        <w:spacing w:line="360" w:lineRule="auto"/>
        <w:ind w:firstLine="420" w:firstLineChars="200"/>
        <w:outlineLvl w:val="9"/>
        <w:rPr>
          <w:rFonts w:ascii="宋体" w:hAnsi="宋体" w:eastAsia="宋体" w:cs="宋体"/>
          <w:color w:val="auto"/>
          <w:szCs w:val="21"/>
        </w:rPr>
      </w:pP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p>
    <w:p w14:paraId="66AD31C0">
      <w:pPr>
        <w:spacing w:line="360" w:lineRule="auto"/>
        <w:outlineLvl w:val="9"/>
        <w:rPr>
          <w:rFonts w:ascii="宋体" w:hAnsi="宋体" w:eastAsia="宋体" w:cs="宋体"/>
          <w:color w:val="auto"/>
          <w:sz w:val="24"/>
          <w:szCs w:val="24"/>
        </w:rPr>
      </w:pPr>
    </w:p>
    <w:p w14:paraId="577DF3DF">
      <w:pPr>
        <w:pStyle w:val="18"/>
        <w:outlineLvl w:val="9"/>
        <w:rPr>
          <w:rFonts w:ascii="宋体" w:hAnsi="宋体" w:eastAsia="宋体" w:cs="宋体"/>
          <w:color w:val="auto"/>
          <w:sz w:val="24"/>
          <w:szCs w:val="24"/>
        </w:rPr>
      </w:pPr>
    </w:p>
    <w:p w14:paraId="0824E15C">
      <w:pPr>
        <w:pStyle w:val="19"/>
        <w:outlineLvl w:val="9"/>
        <w:rPr>
          <w:rFonts w:ascii="宋体" w:hAnsi="宋体" w:eastAsia="宋体" w:cs="宋体"/>
          <w:color w:val="auto"/>
          <w:sz w:val="24"/>
          <w:szCs w:val="24"/>
        </w:rPr>
      </w:pPr>
    </w:p>
    <w:p w14:paraId="4D00A695">
      <w:pPr>
        <w:pStyle w:val="5"/>
        <w:outlineLvl w:val="9"/>
        <w:rPr>
          <w:rFonts w:ascii="宋体" w:hAnsi="宋体" w:eastAsia="宋体" w:cs="宋体"/>
          <w:color w:val="auto"/>
          <w:sz w:val="24"/>
          <w:szCs w:val="24"/>
        </w:rPr>
      </w:pPr>
    </w:p>
    <w:p w14:paraId="09F62DDA">
      <w:pPr>
        <w:pStyle w:val="6"/>
        <w:outlineLvl w:val="9"/>
        <w:rPr>
          <w:rFonts w:ascii="宋体" w:hAnsi="宋体" w:eastAsia="宋体" w:cs="宋体"/>
          <w:color w:val="auto"/>
          <w:sz w:val="24"/>
          <w:szCs w:val="24"/>
        </w:rPr>
      </w:pPr>
    </w:p>
    <w:p w14:paraId="43C34EEB">
      <w:pPr>
        <w:pStyle w:val="7"/>
        <w:outlineLvl w:val="9"/>
        <w:rPr>
          <w:rFonts w:ascii="宋体" w:hAnsi="宋体" w:eastAsia="宋体" w:cs="宋体"/>
          <w:color w:val="auto"/>
          <w:sz w:val="24"/>
          <w:szCs w:val="24"/>
        </w:rPr>
      </w:pPr>
    </w:p>
    <w:p w14:paraId="15CEEECE">
      <w:pPr>
        <w:pStyle w:val="6"/>
        <w:outlineLvl w:val="9"/>
        <w:rPr>
          <w:rFonts w:ascii="宋体" w:hAnsi="宋体" w:eastAsia="宋体" w:cs="宋体"/>
          <w:color w:val="auto"/>
          <w:sz w:val="24"/>
          <w:szCs w:val="24"/>
        </w:rPr>
      </w:pPr>
    </w:p>
    <w:p w14:paraId="1F97942D">
      <w:pPr>
        <w:pStyle w:val="7"/>
        <w:outlineLvl w:val="9"/>
        <w:rPr>
          <w:rFonts w:ascii="宋体" w:hAnsi="宋体" w:eastAsia="宋体" w:cs="宋体"/>
          <w:color w:val="auto"/>
          <w:sz w:val="24"/>
          <w:szCs w:val="24"/>
        </w:rPr>
      </w:pPr>
    </w:p>
    <w:p w14:paraId="7E6DF101">
      <w:pPr>
        <w:pStyle w:val="6"/>
        <w:outlineLvl w:val="9"/>
        <w:rPr>
          <w:rFonts w:ascii="宋体" w:hAnsi="宋体" w:eastAsia="宋体" w:cs="宋体"/>
          <w:color w:val="auto"/>
          <w:sz w:val="24"/>
          <w:szCs w:val="24"/>
        </w:rPr>
      </w:pPr>
    </w:p>
    <w:p w14:paraId="144BA9A4">
      <w:pPr>
        <w:pStyle w:val="7"/>
        <w:outlineLvl w:val="9"/>
        <w:rPr>
          <w:color w:val="auto"/>
        </w:rPr>
      </w:pPr>
    </w:p>
    <w:p w14:paraId="710CD0B0">
      <w:pPr>
        <w:pStyle w:val="9"/>
        <w:numPr>
          <w:ilvl w:val="0"/>
          <w:numId w:val="0"/>
        </w:numPr>
        <w:kinsoku w:val="0"/>
        <w:overflowPunct w:val="0"/>
        <w:autoSpaceDE w:val="0"/>
        <w:autoSpaceDN w:val="0"/>
        <w:adjustRightInd w:val="0"/>
        <w:snapToGrid w:val="0"/>
        <w:spacing w:line="360" w:lineRule="auto"/>
        <w:ind w:left="562" w:leftChars="0"/>
        <w:jc w:val="center"/>
        <w:outlineLvl w:val="9"/>
        <w:rPr>
          <w:rFonts w:hint="eastAsia" w:ascii="宋体" w:hAnsi="宋体" w:cs="宋体"/>
          <w:b/>
          <w:bCs/>
          <w:color w:val="auto"/>
          <w:sz w:val="28"/>
          <w:szCs w:val="28"/>
          <w:lang w:val="en-US" w:eastAsia="zh-CN"/>
        </w:rPr>
      </w:pPr>
      <w:r>
        <w:rPr>
          <w:rFonts w:hint="eastAsia" w:ascii="宋体" w:hAnsi="宋体" w:cs="宋体"/>
          <w:b/>
          <w:bCs/>
          <w:color w:val="auto"/>
          <w:sz w:val="28"/>
          <w:szCs w:val="28"/>
          <w:lang w:val="en-US" w:eastAsia="zh-CN"/>
        </w:rPr>
        <w:t>五、服务要求的响应</w:t>
      </w:r>
    </w:p>
    <w:p w14:paraId="65CC8D50">
      <w:pPr>
        <w:spacing w:line="360" w:lineRule="auto"/>
        <w:outlineLvl w:val="9"/>
        <w:rPr>
          <w:rFonts w:ascii="宋体" w:hAnsi="宋体" w:eastAsia="宋体" w:cs="宋体"/>
          <w:color w:val="auto"/>
          <w:szCs w:val="21"/>
        </w:rPr>
      </w:pPr>
      <w:r>
        <w:rPr>
          <w:rFonts w:hint="eastAsia" w:ascii="宋体" w:hAnsi="宋体" w:eastAsia="宋体" w:cs="宋体"/>
          <w:color w:val="auto"/>
          <w:szCs w:val="21"/>
        </w:rPr>
        <w:t xml:space="preserve"> </w:t>
      </w:r>
    </w:p>
    <w:p w14:paraId="62FC070A">
      <w:pPr>
        <w:spacing w:line="360" w:lineRule="auto"/>
        <w:outlineLvl w:val="9"/>
        <w:rPr>
          <w:rFonts w:hint="eastAsia" w:ascii="宋体" w:hAnsi="宋体" w:eastAsia="宋体" w:cs="宋体"/>
          <w:color w:val="auto"/>
          <w:sz w:val="28"/>
          <w:szCs w:val="28"/>
        </w:rPr>
      </w:pPr>
    </w:p>
    <w:p w14:paraId="3A03A166">
      <w:pPr>
        <w:spacing w:line="360" w:lineRule="auto"/>
        <w:outlineLvl w:val="9"/>
        <w:rPr>
          <w:rFonts w:hint="eastAsia" w:ascii="宋体" w:hAnsi="宋体" w:eastAsia="宋体" w:cs="宋体"/>
          <w:color w:val="auto"/>
          <w:sz w:val="28"/>
          <w:szCs w:val="28"/>
        </w:rPr>
      </w:pPr>
    </w:p>
    <w:p w14:paraId="09782AC2">
      <w:pPr>
        <w:spacing w:line="360" w:lineRule="auto"/>
        <w:outlineLvl w:val="9"/>
        <w:rPr>
          <w:rFonts w:hint="eastAsia" w:ascii="宋体" w:hAnsi="宋体" w:eastAsia="宋体" w:cs="宋体"/>
          <w:color w:val="auto"/>
          <w:sz w:val="28"/>
          <w:szCs w:val="28"/>
        </w:rPr>
      </w:pPr>
    </w:p>
    <w:p w14:paraId="1B43942F">
      <w:pPr>
        <w:spacing w:line="360" w:lineRule="auto"/>
        <w:outlineLvl w:val="9"/>
        <w:rPr>
          <w:rFonts w:hint="eastAsia" w:ascii="宋体" w:hAnsi="宋体" w:eastAsia="宋体" w:cs="宋体"/>
          <w:color w:val="auto"/>
          <w:sz w:val="28"/>
          <w:szCs w:val="28"/>
        </w:rPr>
      </w:pPr>
    </w:p>
    <w:p w14:paraId="4BE0F62F">
      <w:pPr>
        <w:spacing w:line="360" w:lineRule="auto"/>
        <w:outlineLvl w:val="9"/>
        <w:rPr>
          <w:rFonts w:hint="eastAsia" w:ascii="宋体" w:hAnsi="宋体" w:eastAsia="宋体" w:cs="宋体"/>
          <w:color w:val="auto"/>
          <w:sz w:val="28"/>
          <w:szCs w:val="28"/>
        </w:rPr>
      </w:pPr>
    </w:p>
    <w:p w14:paraId="200F9A9F">
      <w:pPr>
        <w:spacing w:line="360" w:lineRule="auto"/>
        <w:outlineLvl w:val="9"/>
        <w:rPr>
          <w:rFonts w:hint="eastAsia" w:ascii="宋体" w:hAnsi="宋体" w:eastAsia="宋体" w:cs="宋体"/>
          <w:color w:val="auto"/>
          <w:sz w:val="28"/>
          <w:szCs w:val="28"/>
        </w:rPr>
      </w:pPr>
    </w:p>
    <w:p w14:paraId="78E3CAC1">
      <w:pPr>
        <w:spacing w:line="360" w:lineRule="auto"/>
        <w:outlineLvl w:val="9"/>
        <w:rPr>
          <w:rFonts w:hint="eastAsia" w:ascii="宋体" w:hAnsi="宋体" w:eastAsia="宋体" w:cs="宋体"/>
          <w:color w:val="auto"/>
          <w:sz w:val="28"/>
          <w:szCs w:val="28"/>
        </w:rPr>
      </w:pPr>
    </w:p>
    <w:p w14:paraId="722EA6F3">
      <w:pPr>
        <w:spacing w:line="360" w:lineRule="auto"/>
        <w:outlineLvl w:val="9"/>
        <w:rPr>
          <w:rFonts w:hint="eastAsia" w:ascii="宋体" w:hAnsi="宋体" w:eastAsia="宋体" w:cs="宋体"/>
          <w:color w:val="auto"/>
          <w:sz w:val="28"/>
          <w:szCs w:val="28"/>
        </w:rPr>
      </w:pPr>
    </w:p>
    <w:p w14:paraId="78989041">
      <w:pPr>
        <w:spacing w:line="360" w:lineRule="auto"/>
        <w:outlineLvl w:val="9"/>
        <w:rPr>
          <w:rFonts w:hint="eastAsia" w:ascii="宋体" w:hAnsi="宋体" w:eastAsia="宋体" w:cs="宋体"/>
          <w:color w:val="auto"/>
          <w:sz w:val="28"/>
          <w:szCs w:val="28"/>
        </w:rPr>
      </w:pPr>
    </w:p>
    <w:p w14:paraId="136615E2">
      <w:pPr>
        <w:spacing w:line="360" w:lineRule="auto"/>
        <w:outlineLvl w:val="9"/>
        <w:rPr>
          <w:rFonts w:hint="eastAsia" w:ascii="宋体" w:hAnsi="宋体" w:eastAsia="宋体" w:cs="宋体"/>
          <w:color w:val="auto"/>
          <w:sz w:val="28"/>
          <w:szCs w:val="28"/>
        </w:rPr>
      </w:pPr>
    </w:p>
    <w:p w14:paraId="387C06C1">
      <w:pPr>
        <w:spacing w:line="360" w:lineRule="auto"/>
        <w:outlineLvl w:val="9"/>
        <w:rPr>
          <w:rFonts w:hint="eastAsia" w:ascii="宋体" w:hAnsi="宋体" w:eastAsia="宋体" w:cs="宋体"/>
          <w:color w:val="auto"/>
          <w:sz w:val="28"/>
          <w:szCs w:val="28"/>
        </w:rPr>
      </w:pPr>
    </w:p>
    <w:p w14:paraId="44BC3322">
      <w:pPr>
        <w:spacing w:line="360" w:lineRule="auto"/>
        <w:outlineLvl w:val="9"/>
        <w:rPr>
          <w:rFonts w:hint="eastAsia" w:ascii="宋体" w:hAnsi="宋体" w:eastAsia="宋体" w:cs="宋体"/>
          <w:color w:val="auto"/>
          <w:sz w:val="28"/>
          <w:szCs w:val="28"/>
        </w:rPr>
      </w:pPr>
    </w:p>
    <w:p w14:paraId="24B38FB4">
      <w:pPr>
        <w:spacing w:line="360" w:lineRule="auto"/>
        <w:ind w:firstLine="420" w:firstLineChars="200"/>
        <w:outlineLvl w:val="9"/>
        <w:rPr>
          <w:rFonts w:ascii="宋体" w:hAnsi="宋体" w:eastAsia="宋体" w:cs="宋体"/>
          <w:color w:val="auto"/>
          <w:szCs w:val="21"/>
        </w:rPr>
      </w:pPr>
      <w:r>
        <w:rPr>
          <w:rFonts w:hint="eastAsia" w:ascii="宋体" w:hAnsi="宋体" w:eastAsia="宋体" w:cs="宋体"/>
          <w:color w:val="auto"/>
          <w:szCs w:val="21"/>
        </w:rPr>
        <w:t>供应商：</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（电子签章）</w:t>
      </w:r>
    </w:p>
    <w:p w14:paraId="39EF1F4F">
      <w:pPr>
        <w:spacing w:line="360" w:lineRule="auto"/>
        <w:outlineLvl w:val="9"/>
        <w:rPr>
          <w:rFonts w:ascii="宋体" w:hAnsi="宋体" w:eastAsia="宋体" w:cs="宋体"/>
          <w:color w:val="auto"/>
          <w:szCs w:val="21"/>
        </w:rPr>
      </w:pPr>
    </w:p>
    <w:p w14:paraId="5D768871">
      <w:pPr>
        <w:spacing w:line="360" w:lineRule="auto"/>
        <w:outlineLvl w:val="9"/>
        <w:rPr>
          <w:rFonts w:ascii="宋体" w:hAnsi="宋体" w:eastAsia="宋体" w:cs="宋体"/>
          <w:color w:val="auto"/>
          <w:szCs w:val="21"/>
        </w:rPr>
      </w:pPr>
      <w:r>
        <w:rPr>
          <w:rFonts w:hint="eastAsia" w:ascii="宋体" w:hAnsi="宋体" w:eastAsia="宋体" w:cs="宋体"/>
          <w:color w:val="auto"/>
          <w:szCs w:val="21"/>
        </w:rPr>
        <w:t xml:space="preserve"> </w:t>
      </w:r>
    </w:p>
    <w:p w14:paraId="272EC44D">
      <w:pPr>
        <w:spacing w:line="360" w:lineRule="auto"/>
        <w:ind w:firstLine="420" w:firstLineChars="200"/>
        <w:outlineLvl w:val="9"/>
        <w:rPr>
          <w:rFonts w:ascii="宋体" w:hAnsi="宋体" w:eastAsia="宋体" w:cs="宋体"/>
          <w:color w:val="auto"/>
          <w:szCs w:val="21"/>
        </w:rPr>
      </w:pP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p>
    <w:p w14:paraId="2781D545">
      <w:pPr>
        <w:spacing w:line="360" w:lineRule="auto"/>
        <w:jc w:val="center"/>
        <w:outlineLvl w:val="9"/>
        <w:rPr>
          <w:rFonts w:ascii="宋体" w:hAnsi="宋体" w:eastAsia="宋体" w:cs="宋体"/>
          <w:b/>
          <w:bCs/>
          <w:color w:val="auto"/>
          <w:sz w:val="24"/>
          <w:szCs w:val="24"/>
        </w:rPr>
      </w:pPr>
      <w:r>
        <w:rPr>
          <w:rFonts w:hint="eastAsia" w:ascii="宋体" w:hAnsi="宋体" w:eastAsia="宋体" w:cs="宋体"/>
          <w:color w:val="auto"/>
          <w:sz w:val="28"/>
          <w:szCs w:val="28"/>
        </w:rPr>
        <w:br w:type="page"/>
      </w:r>
      <w:bookmarkStart w:id="97" w:name="_Toc12282"/>
      <w:bookmarkEnd w:id="97"/>
      <w:bookmarkStart w:id="98" w:name="_Toc152042585"/>
      <w:bookmarkEnd w:id="98"/>
      <w:bookmarkStart w:id="99" w:name="_Toc179632815"/>
      <w:bookmarkEnd w:id="99"/>
      <w:bookmarkStart w:id="100" w:name="_Toc6751"/>
      <w:bookmarkEnd w:id="100"/>
      <w:bookmarkStart w:id="101" w:name="_Toc152045795"/>
      <w:bookmarkEnd w:id="101"/>
      <w:bookmarkStart w:id="102" w:name="_Toc144974863"/>
      <w:bookmarkEnd w:id="102"/>
      <w:bookmarkStart w:id="103" w:name="_Toc144974864"/>
      <w:bookmarkEnd w:id="103"/>
      <w:bookmarkStart w:id="104" w:name="_Toc152042584"/>
      <w:bookmarkEnd w:id="104"/>
      <w:bookmarkStart w:id="105" w:name="_Toc23986"/>
      <w:bookmarkEnd w:id="105"/>
      <w:bookmarkStart w:id="106" w:name="_Toc21011"/>
      <w:bookmarkEnd w:id="106"/>
      <w:bookmarkStart w:id="107" w:name="_Toc152045796"/>
      <w:bookmarkEnd w:id="107"/>
      <w:bookmarkStart w:id="108" w:name="_Toc14762"/>
      <w:bookmarkEnd w:id="108"/>
      <w:bookmarkStart w:id="109" w:name="_Toc179632816"/>
      <w:r>
        <w:rPr>
          <w:rFonts w:hint="eastAsia" w:ascii="宋体" w:hAnsi="宋体" w:eastAsia="宋体" w:cs="宋体"/>
          <w:b/>
          <w:bCs/>
          <w:color w:val="auto"/>
          <w:sz w:val="28"/>
          <w:szCs w:val="28"/>
          <w:lang w:val="en-US" w:eastAsia="zh-CN"/>
        </w:rPr>
        <w:t>六</w:t>
      </w:r>
      <w:r>
        <w:rPr>
          <w:rFonts w:hint="eastAsia" w:ascii="宋体" w:hAnsi="宋体" w:eastAsia="宋体" w:cs="宋体"/>
          <w:b/>
          <w:bCs/>
          <w:color w:val="auto"/>
          <w:sz w:val="28"/>
          <w:szCs w:val="28"/>
        </w:rPr>
        <w:t>、</w:t>
      </w:r>
      <w:bookmarkEnd w:id="109"/>
      <w:bookmarkStart w:id="110" w:name="_Toc144974865"/>
      <w:bookmarkEnd w:id="110"/>
      <w:bookmarkStart w:id="111" w:name="_Toc4020"/>
      <w:bookmarkEnd w:id="111"/>
      <w:bookmarkStart w:id="112" w:name="_Toc152045797"/>
      <w:bookmarkEnd w:id="112"/>
      <w:bookmarkStart w:id="113" w:name="_Toc179632817"/>
      <w:bookmarkEnd w:id="113"/>
      <w:bookmarkStart w:id="114" w:name="_Toc152042586"/>
      <w:bookmarkEnd w:id="114"/>
      <w:bookmarkStart w:id="115" w:name="_Toc8725"/>
      <w:bookmarkEnd w:id="115"/>
      <w:r>
        <w:rPr>
          <w:rFonts w:hint="eastAsia" w:ascii="宋体" w:hAnsi="宋体" w:eastAsia="宋体" w:cs="宋体"/>
          <w:b/>
          <w:bCs/>
          <w:color w:val="auto"/>
          <w:sz w:val="28"/>
          <w:szCs w:val="28"/>
        </w:rPr>
        <w:t>资格审查资料</w:t>
      </w:r>
    </w:p>
    <w:p w14:paraId="50D04896">
      <w:pPr>
        <w:spacing w:line="360" w:lineRule="auto"/>
        <w:outlineLvl w:val="9"/>
        <w:rPr>
          <w:rFonts w:ascii="宋体" w:hAnsi="宋体" w:eastAsia="宋体" w:cs="宋体"/>
          <w:color w:val="auto"/>
          <w:szCs w:val="21"/>
        </w:rPr>
      </w:pPr>
      <w:r>
        <w:rPr>
          <w:rFonts w:hint="eastAsia" w:ascii="宋体" w:hAnsi="宋体" w:eastAsia="宋体" w:cs="宋体"/>
          <w:color w:val="auto"/>
          <w:szCs w:val="21"/>
        </w:rPr>
        <w:t xml:space="preserve"> </w:t>
      </w:r>
    </w:p>
    <w:p w14:paraId="6EF4075A">
      <w:pPr>
        <w:spacing w:line="360" w:lineRule="auto"/>
        <w:outlineLvl w:val="9"/>
        <w:rPr>
          <w:rFonts w:ascii="宋体" w:hAnsi="宋体" w:eastAsia="宋体" w:cs="宋体"/>
          <w:color w:val="auto"/>
          <w:szCs w:val="21"/>
        </w:rPr>
      </w:pPr>
      <w:r>
        <w:rPr>
          <w:rFonts w:hint="eastAsia" w:ascii="宋体" w:hAnsi="宋体" w:eastAsia="宋体" w:cs="宋体"/>
          <w:color w:val="auto"/>
          <w:szCs w:val="21"/>
        </w:rPr>
        <w:t>（一）供应商基本情况表</w:t>
      </w:r>
    </w:p>
    <w:tbl>
      <w:tblPr>
        <w:tblStyle w:val="20"/>
        <w:tblpPr w:leftFromText="180" w:rightFromText="180" w:vertAnchor="text" w:horzAnchor="page" w:tblpXSpec="center" w:tblpY="49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493"/>
        <w:gridCol w:w="759"/>
        <w:gridCol w:w="681"/>
        <w:gridCol w:w="613"/>
        <w:gridCol w:w="2124"/>
      </w:tblGrid>
      <w:tr w14:paraId="79C45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980" w:type="dxa"/>
            <w:tcBorders>
              <w:top w:val="single" w:color="auto" w:sz="4" w:space="0"/>
              <w:left w:val="single" w:color="auto" w:sz="4" w:space="0"/>
              <w:bottom w:val="single" w:color="auto" w:sz="4" w:space="0"/>
              <w:right w:val="single" w:color="auto" w:sz="4" w:space="0"/>
            </w:tcBorders>
            <w:noWrap w:val="0"/>
            <w:vAlign w:val="center"/>
          </w:tcPr>
          <w:p w14:paraId="7398648B">
            <w:pPr>
              <w:spacing w:line="360" w:lineRule="auto"/>
              <w:outlineLvl w:val="9"/>
              <w:rPr>
                <w:rFonts w:ascii="宋体" w:hAnsi="宋体" w:eastAsia="宋体" w:cs="宋体"/>
                <w:color w:val="auto"/>
                <w:szCs w:val="21"/>
              </w:rPr>
            </w:pPr>
            <w:bookmarkStart w:id="116" w:name="_bookmark164"/>
            <w:bookmarkEnd w:id="116"/>
            <w:r>
              <w:rPr>
                <w:rFonts w:hint="eastAsia" w:ascii="宋体" w:hAnsi="宋体" w:eastAsia="宋体" w:cs="宋体"/>
                <w:color w:val="auto"/>
                <w:szCs w:val="21"/>
              </w:rPr>
              <w:t>供应商名称</w:t>
            </w:r>
          </w:p>
        </w:tc>
        <w:tc>
          <w:tcPr>
            <w:tcW w:w="7550" w:type="dxa"/>
            <w:gridSpan w:val="7"/>
            <w:tcBorders>
              <w:top w:val="single" w:color="auto" w:sz="4" w:space="0"/>
              <w:left w:val="nil"/>
              <w:bottom w:val="single" w:color="auto" w:sz="4" w:space="0"/>
              <w:right w:val="single" w:color="auto" w:sz="4" w:space="0"/>
            </w:tcBorders>
            <w:noWrap w:val="0"/>
            <w:vAlign w:val="center"/>
          </w:tcPr>
          <w:p w14:paraId="0E99D35E">
            <w:pPr>
              <w:spacing w:line="360" w:lineRule="auto"/>
              <w:outlineLvl w:val="9"/>
              <w:rPr>
                <w:rFonts w:ascii="宋体" w:hAnsi="宋体" w:eastAsia="宋体" w:cs="宋体"/>
                <w:color w:val="auto"/>
                <w:szCs w:val="21"/>
              </w:rPr>
            </w:pPr>
          </w:p>
        </w:tc>
      </w:tr>
      <w:tr w14:paraId="10E13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80" w:type="dxa"/>
            <w:tcBorders>
              <w:top w:val="single" w:color="auto" w:sz="4" w:space="0"/>
              <w:left w:val="single" w:color="auto" w:sz="4" w:space="0"/>
              <w:bottom w:val="single" w:color="auto" w:sz="4" w:space="0"/>
              <w:right w:val="single" w:color="auto" w:sz="4" w:space="0"/>
            </w:tcBorders>
            <w:noWrap w:val="0"/>
            <w:vAlign w:val="center"/>
          </w:tcPr>
          <w:p w14:paraId="0ABE4BA3">
            <w:pPr>
              <w:spacing w:line="360" w:lineRule="auto"/>
              <w:outlineLvl w:val="9"/>
              <w:rPr>
                <w:rFonts w:ascii="宋体" w:hAnsi="宋体" w:eastAsia="宋体" w:cs="宋体"/>
                <w:color w:val="auto"/>
                <w:szCs w:val="21"/>
              </w:rPr>
            </w:pPr>
            <w:r>
              <w:rPr>
                <w:rFonts w:hint="eastAsia" w:ascii="宋体" w:hAnsi="宋体" w:eastAsia="宋体" w:cs="宋体"/>
                <w:color w:val="auto"/>
                <w:szCs w:val="21"/>
              </w:rPr>
              <w:t>注册地址</w:t>
            </w:r>
          </w:p>
        </w:tc>
        <w:tc>
          <w:tcPr>
            <w:tcW w:w="4132" w:type="dxa"/>
            <w:gridSpan w:val="4"/>
            <w:tcBorders>
              <w:top w:val="single" w:color="auto" w:sz="4" w:space="0"/>
              <w:left w:val="nil"/>
              <w:bottom w:val="single" w:color="auto" w:sz="4" w:space="0"/>
              <w:right w:val="single" w:color="auto" w:sz="4" w:space="0"/>
            </w:tcBorders>
            <w:noWrap w:val="0"/>
            <w:vAlign w:val="center"/>
          </w:tcPr>
          <w:p w14:paraId="5B012D19">
            <w:pPr>
              <w:spacing w:line="360" w:lineRule="auto"/>
              <w:outlineLvl w:val="9"/>
              <w:rPr>
                <w:rFonts w:ascii="宋体" w:hAnsi="宋体" w:eastAsia="宋体" w:cs="宋体"/>
                <w:color w:val="auto"/>
                <w:szCs w:val="21"/>
              </w:rPr>
            </w:pPr>
          </w:p>
        </w:tc>
        <w:tc>
          <w:tcPr>
            <w:tcW w:w="1294" w:type="dxa"/>
            <w:gridSpan w:val="2"/>
            <w:tcBorders>
              <w:top w:val="single" w:color="auto" w:sz="4" w:space="0"/>
              <w:left w:val="nil"/>
              <w:bottom w:val="single" w:color="auto" w:sz="4" w:space="0"/>
              <w:right w:val="single" w:color="auto" w:sz="4" w:space="0"/>
            </w:tcBorders>
            <w:noWrap w:val="0"/>
            <w:vAlign w:val="center"/>
          </w:tcPr>
          <w:p w14:paraId="31A8286C">
            <w:pPr>
              <w:spacing w:line="360" w:lineRule="auto"/>
              <w:outlineLvl w:val="9"/>
              <w:rPr>
                <w:rFonts w:ascii="宋体" w:hAnsi="宋体" w:eastAsia="宋体" w:cs="宋体"/>
                <w:color w:val="auto"/>
                <w:szCs w:val="21"/>
              </w:rPr>
            </w:pPr>
            <w:r>
              <w:rPr>
                <w:rFonts w:hint="eastAsia" w:ascii="宋体" w:hAnsi="宋体" w:eastAsia="宋体" w:cs="宋体"/>
                <w:color w:val="auto"/>
                <w:szCs w:val="21"/>
              </w:rPr>
              <w:t>邮政编码</w:t>
            </w:r>
          </w:p>
        </w:tc>
        <w:tc>
          <w:tcPr>
            <w:tcW w:w="2124" w:type="dxa"/>
            <w:tcBorders>
              <w:top w:val="single" w:color="auto" w:sz="4" w:space="0"/>
              <w:left w:val="nil"/>
              <w:bottom w:val="single" w:color="auto" w:sz="4" w:space="0"/>
              <w:right w:val="single" w:color="auto" w:sz="4" w:space="0"/>
            </w:tcBorders>
            <w:noWrap w:val="0"/>
            <w:vAlign w:val="center"/>
          </w:tcPr>
          <w:p w14:paraId="3CFA6578">
            <w:pPr>
              <w:spacing w:line="360" w:lineRule="auto"/>
              <w:outlineLvl w:val="9"/>
              <w:rPr>
                <w:rFonts w:ascii="宋体" w:hAnsi="宋体" w:eastAsia="宋体" w:cs="宋体"/>
                <w:color w:val="auto"/>
                <w:szCs w:val="21"/>
              </w:rPr>
            </w:pPr>
          </w:p>
        </w:tc>
      </w:tr>
      <w:tr w14:paraId="7568E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980" w:type="dxa"/>
            <w:vMerge w:val="restart"/>
            <w:tcBorders>
              <w:top w:val="nil"/>
              <w:left w:val="single" w:color="auto" w:sz="4" w:space="0"/>
              <w:bottom w:val="single" w:color="auto" w:sz="4" w:space="0"/>
              <w:right w:val="single" w:color="auto" w:sz="4" w:space="0"/>
            </w:tcBorders>
            <w:noWrap w:val="0"/>
            <w:vAlign w:val="center"/>
          </w:tcPr>
          <w:p w14:paraId="41C4C3D1">
            <w:pPr>
              <w:spacing w:line="360" w:lineRule="auto"/>
              <w:outlineLvl w:val="9"/>
              <w:rPr>
                <w:rFonts w:ascii="宋体" w:hAnsi="宋体" w:eastAsia="宋体" w:cs="宋体"/>
                <w:color w:val="auto"/>
                <w:szCs w:val="21"/>
              </w:rPr>
            </w:pPr>
            <w:r>
              <w:rPr>
                <w:rFonts w:hint="eastAsia" w:ascii="宋体" w:hAnsi="宋体" w:eastAsia="宋体" w:cs="宋体"/>
                <w:color w:val="auto"/>
                <w:szCs w:val="21"/>
              </w:rPr>
              <w:t>联系方式</w:t>
            </w:r>
          </w:p>
        </w:tc>
        <w:tc>
          <w:tcPr>
            <w:tcW w:w="1077" w:type="dxa"/>
            <w:tcBorders>
              <w:top w:val="single" w:color="auto" w:sz="4" w:space="0"/>
              <w:left w:val="nil"/>
              <w:bottom w:val="single" w:color="auto" w:sz="4" w:space="0"/>
              <w:right w:val="single" w:color="auto" w:sz="4" w:space="0"/>
            </w:tcBorders>
            <w:noWrap w:val="0"/>
            <w:vAlign w:val="center"/>
          </w:tcPr>
          <w:p w14:paraId="5ED4E0BA">
            <w:pPr>
              <w:spacing w:line="360" w:lineRule="auto"/>
              <w:outlineLvl w:val="9"/>
              <w:rPr>
                <w:rFonts w:ascii="宋体" w:hAnsi="宋体" w:eastAsia="宋体" w:cs="宋体"/>
                <w:color w:val="auto"/>
                <w:szCs w:val="21"/>
              </w:rPr>
            </w:pPr>
            <w:r>
              <w:rPr>
                <w:rFonts w:hint="eastAsia" w:ascii="宋体" w:hAnsi="宋体" w:eastAsia="宋体" w:cs="宋体"/>
                <w:color w:val="auto"/>
                <w:szCs w:val="21"/>
              </w:rPr>
              <w:t>联系人</w:t>
            </w:r>
          </w:p>
        </w:tc>
        <w:tc>
          <w:tcPr>
            <w:tcW w:w="3055" w:type="dxa"/>
            <w:gridSpan w:val="3"/>
            <w:tcBorders>
              <w:top w:val="single" w:color="auto" w:sz="4" w:space="0"/>
              <w:left w:val="nil"/>
              <w:bottom w:val="single" w:color="auto" w:sz="4" w:space="0"/>
              <w:right w:val="single" w:color="auto" w:sz="4" w:space="0"/>
            </w:tcBorders>
            <w:noWrap w:val="0"/>
            <w:vAlign w:val="center"/>
          </w:tcPr>
          <w:p w14:paraId="00DFEAFF">
            <w:pPr>
              <w:spacing w:line="360" w:lineRule="auto"/>
              <w:outlineLvl w:val="9"/>
              <w:rPr>
                <w:rFonts w:ascii="宋体" w:hAnsi="宋体" w:eastAsia="宋体" w:cs="宋体"/>
                <w:color w:val="auto"/>
                <w:szCs w:val="21"/>
              </w:rPr>
            </w:pPr>
          </w:p>
        </w:tc>
        <w:tc>
          <w:tcPr>
            <w:tcW w:w="1294" w:type="dxa"/>
            <w:gridSpan w:val="2"/>
            <w:tcBorders>
              <w:top w:val="single" w:color="auto" w:sz="4" w:space="0"/>
              <w:left w:val="nil"/>
              <w:bottom w:val="single" w:color="auto" w:sz="4" w:space="0"/>
              <w:right w:val="single" w:color="auto" w:sz="4" w:space="0"/>
            </w:tcBorders>
            <w:noWrap w:val="0"/>
            <w:vAlign w:val="center"/>
          </w:tcPr>
          <w:p w14:paraId="041FF0A5">
            <w:pPr>
              <w:spacing w:line="360" w:lineRule="auto"/>
              <w:outlineLvl w:val="9"/>
              <w:rPr>
                <w:rFonts w:ascii="宋体" w:hAnsi="宋体" w:eastAsia="宋体" w:cs="宋体"/>
                <w:color w:val="auto"/>
                <w:szCs w:val="21"/>
              </w:rPr>
            </w:pPr>
            <w:r>
              <w:rPr>
                <w:rFonts w:hint="eastAsia" w:ascii="宋体" w:hAnsi="宋体" w:eastAsia="宋体" w:cs="宋体"/>
                <w:color w:val="auto"/>
                <w:szCs w:val="21"/>
              </w:rPr>
              <w:t>电话</w:t>
            </w:r>
          </w:p>
        </w:tc>
        <w:tc>
          <w:tcPr>
            <w:tcW w:w="2124" w:type="dxa"/>
            <w:tcBorders>
              <w:top w:val="single" w:color="auto" w:sz="4" w:space="0"/>
              <w:left w:val="nil"/>
              <w:bottom w:val="single" w:color="auto" w:sz="4" w:space="0"/>
              <w:right w:val="single" w:color="auto" w:sz="4" w:space="0"/>
            </w:tcBorders>
            <w:noWrap w:val="0"/>
            <w:vAlign w:val="center"/>
          </w:tcPr>
          <w:p w14:paraId="23B5C909">
            <w:pPr>
              <w:spacing w:line="360" w:lineRule="auto"/>
              <w:outlineLvl w:val="9"/>
              <w:rPr>
                <w:rFonts w:ascii="宋体" w:hAnsi="宋体" w:eastAsia="宋体" w:cs="宋体"/>
                <w:color w:val="auto"/>
                <w:szCs w:val="21"/>
              </w:rPr>
            </w:pPr>
          </w:p>
        </w:tc>
      </w:tr>
      <w:tr w14:paraId="594F2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1980" w:type="dxa"/>
            <w:vMerge w:val="continue"/>
            <w:tcBorders>
              <w:top w:val="nil"/>
              <w:left w:val="single" w:color="auto" w:sz="4" w:space="0"/>
              <w:bottom w:val="single" w:color="auto" w:sz="4" w:space="0"/>
              <w:right w:val="single" w:color="auto" w:sz="4" w:space="0"/>
            </w:tcBorders>
            <w:noWrap w:val="0"/>
            <w:vAlign w:val="center"/>
          </w:tcPr>
          <w:p w14:paraId="626732A2">
            <w:pPr>
              <w:spacing w:line="360" w:lineRule="auto"/>
              <w:outlineLvl w:val="9"/>
              <w:rPr>
                <w:rFonts w:ascii="宋体" w:hAnsi="宋体" w:eastAsia="宋体" w:cs="宋体"/>
                <w:color w:val="auto"/>
                <w:szCs w:val="21"/>
              </w:rPr>
            </w:pPr>
          </w:p>
        </w:tc>
        <w:tc>
          <w:tcPr>
            <w:tcW w:w="1077" w:type="dxa"/>
            <w:tcBorders>
              <w:top w:val="single" w:color="auto" w:sz="4" w:space="0"/>
              <w:left w:val="nil"/>
              <w:bottom w:val="single" w:color="auto" w:sz="4" w:space="0"/>
              <w:right w:val="single" w:color="auto" w:sz="4" w:space="0"/>
            </w:tcBorders>
            <w:noWrap w:val="0"/>
            <w:vAlign w:val="center"/>
          </w:tcPr>
          <w:p w14:paraId="118BD101">
            <w:pPr>
              <w:spacing w:line="360" w:lineRule="auto"/>
              <w:outlineLvl w:val="9"/>
              <w:rPr>
                <w:rFonts w:ascii="宋体" w:hAnsi="宋体" w:eastAsia="宋体" w:cs="宋体"/>
                <w:color w:val="auto"/>
                <w:szCs w:val="21"/>
              </w:rPr>
            </w:pPr>
            <w:r>
              <w:rPr>
                <w:rFonts w:hint="eastAsia" w:ascii="宋体" w:hAnsi="宋体" w:eastAsia="宋体" w:cs="宋体"/>
                <w:color w:val="auto"/>
                <w:szCs w:val="21"/>
              </w:rPr>
              <w:t>传真</w:t>
            </w:r>
          </w:p>
        </w:tc>
        <w:tc>
          <w:tcPr>
            <w:tcW w:w="3055" w:type="dxa"/>
            <w:gridSpan w:val="3"/>
            <w:tcBorders>
              <w:top w:val="single" w:color="auto" w:sz="4" w:space="0"/>
              <w:left w:val="nil"/>
              <w:bottom w:val="single" w:color="auto" w:sz="4" w:space="0"/>
              <w:right w:val="single" w:color="auto" w:sz="4" w:space="0"/>
            </w:tcBorders>
            <w:noWrap w:val="0"/>
            <w:vAlign w:val="center"/>
          </w:tcPr>
          <w:p w14:paraId="5D85201D">
            <w:pPr>
              <w:spacing w:line="360" w:lineRule="auto"/>
              <w:outlineLvl w:val="9"/>
              <w:rPr>
                <w:rFonts w:ascii="宋体" w:hAnsi="宋体" w:eastAsia="宋体" w:cs="宋体"/>
                <w:color w:val="auto"/>
                <w:szCs w:val="21"/>
              </w:rPr>
            </w:pPr>
          </w:p>
        </w:tc>
        <w:tc>
          <w:tcPr>
            <w:tcW w:w="1294" w:type="dxa"/>
            <w:gridSpan w:val="2"/>
            <w:tcBorders>
              <w:top w:val="single" w:color="auto" w:sz="4" w:space="0"/>
              <w:left w:val="nil"/>
              <w:bottom w:val="single" w:color="auto" w:sz="4" w:space="0"/>
              <w:right w:val="single" w:color="auto" w:sz="4" w:space="0"/>
            </w:tcBorders>
            <w:noWrap w:val="0"/>
            <w:vAlign w:val="center"/>
          </w:tcPr>
          <w:p w14:paraId="4C0DC35F">
            <w:pPr>
              <w:spacing w:line="360" w:lineRule="auto"/>
              <w:outlineLvl w:val="9"/>
              <w:rPr>
                <w:rFonts w:ascii="宋体" w:hAnsi="宋体" w:eastAsia="宋体" w:cs="宋体"/>
                <w:color w:val="auto"/>
                <w:szCs w:val="21"/>
              </w:rPr>
            </w:pPr>
            <w:r>
              <w:rPr>
                <w:rFonts w:hint="eastAsia" w:ascii="宋体" w:hAnsi="宋体" w:eastAsia="宋体" w:cs="宋体"/>
                <w:color w:val="auto"/>
                <w:szCs w:val="21"/>
              </w:rPr>
              <w:t>网址</w:t>
            </w:r>
          </w:p>
        </w:tc>
        <w:tc>
          <w:tcPr>
            <w:tcW w:w="2124" w:type="dxa"/>
            <w:tcBorders>
              <w:top w:val="single" w:color="auto" w:sz="4" w:space="0"/>
              <w:left w:val="nil"/>
              <w:bottom w:val="single" w:color="auto" w:sz="4" w:space="0"/>
              <w:right w:val="single" w:color="auto" w:sz="4" w:space="0"/>
            </w:tcBorders>
            <w:noWrap w:val="0"/>
            <w:vAlign w:val="center"/>
          </w:tcPr>
          <w:p w14:paraId="22DED63D">
            <w:pPr>
              <w:spacing w:line="360" w:lineRule="auto"/>
              <w:outlineLvl w:val="9"/>
              <w:rPr>
                <w:rFonts w:ascii="宋体" w:hAnsi="宋体" w:eastAsia="宋体" w:cs="宋体"/>
                <w:color w:val="auto"/>
                <w:szCs w:val="21"/>
              </w:rPr>
            </w:pPr>
          </w:p>
        </w:tc>
      </w:tr>
      <w:tr w14:paraId="1A1FF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1980" w:type="dxa"/>
            <w:tcBorders>
              <w:top w:val="single" w:color="auto" w:sz="4" w:space="0"/>
              <w:left w:val="single" w:color="auto" w:sz="4" w:space="0"/>
              <w:bottom w:val="single" w:color="auto" w:sz="4" w:space="0"/>
              <w:right w:val="single" w:color="auto" w:sz="4" w:space="0"/>
            </w:tcBorders>
            <w:noWrap w:val="0"/>
            <w:vAlign w:val="center"/>
          </w:tcPr>
          <w:p w14:paraId="4E6FEBEE">
            <w:pPr>
              <w:spacing w:line="360" w:lineRule="auto"/>
              <w:outlineLvl w:val="9"/>
              <w:rPr>
                <w:rFonts w:ascii="宋体" w:hAnsi="宋体" w:eastAsia="宋体" w:cs="宋体"/>
                <w:color w:val="auto"/>
                <w:szCs w:val="21"/>
              </w:rPr>
            </w:pPr>
            <w:r>
              <w:rPr>
                <w:rFonts w:hint="eastAsia" w:ascii="宋体" w:hAnsi="宋体" w:eastAsia="宋体" w:cs="宋体"/>
                <w:color w:val="auto"/>
                <w:szCs w:val="21"/>
              </w:rPr>
              <w:t>法定代表人</w:t>
            </w:r>
          </w:p>
        </w:tc>
        <w:tc>
          <w:tcPr>
            <w:tcW w:w="1077" w:type="dxa"/>
            <w:tcBorders>
              <w:top w:val="single" w:color="auto" w:sz="4" w:space="0"/>
              <w:left w:val="nil"/>
              <w:bottom w:val="single" w:color="auto" w:sz="4" w:space="0"/>
              <w:right w:val="single" w:color="auto" w:sz="4" w:space="0"/>
            </w:tcBorders>
            <w:noWrap w:val="0"/>
            <w:vAlign w:val="center"/>
          </w:tcPr>
          <w:p w14:paraId="5FC12349">
            <w:pPr>
              <w:spacing w:line="360" w:lineRule="auto"/>
              <w:outlineLvl w:val="9"/>
              <w:rPr>
                <w:rFonts w:ascii="宋体" w:hAnsi="宋体" w:eastAsia="宋体" w:cs="宋体"/>
                <w:color w:val="auto"/>
                <w:szCs w:val="21"/>
              </w:rPr>
            </w:pPr>
            <w:r>
              <w:rPr>
                <w:rFonts w:hint="eastAsia" w:ascii="宋体" w:hAnsi="宋体" w:eastAsia="宋体" w:cs="宋体"/>
                <w:color w:val="auto"/>
                <w:szCs w:val="21"/>
              </w:rPr>
              <w:t>姓名</w:t>
            </w:r>
          </w:p>
        </w:tc>
        <w:tc>
          <w:tcPr>
            <w:tcW w:w="1803" w:type="dxa"/>
            <w:tcBorders>
              <w:top w:val="single" w:color="auto" w:sz="4" w:space="0"/>
              <w:left w:val="nil"/>
              <w:bottom w:val="single" w:color="auto" w:sz="4" w:space="0"/>
              <w:right w:val="single" w:color="auto" w:sz="4" w:space="0"/>
            </w:tcBorders>
            <w:noWrap w:val="0"/>
            <w:vAlign w:val="center"/>
          </w:tcPr>
          <w:p w14:paraId="64E85B92">
            <w:pPr>
              <w:spacing w:line="360" w:lineRule="auto"/>
              <w:outlineLvl w:val="9"/>
              <w:rPr>
                <w:rFonts w:ascii="宋体" w:hAnsi="宋体" w:eastAsia="宋体" w:cs="宋体"/>
                <w:color w:val="auto"/>
                <w:szCs w:val="21"/>
              </w:rPr>
            </w:pPr>
          </w:p>
        </w:tc>
        <w:tc>
          <w:tcPr>
            <w:tcW w:w="1252" w:type="dxa"/>
            <w:gridSpan w:val="2"/>
            <w:tcBorders>
              <w:top w:val="single" w:color="auto" w:sz="4" w:space="0"/>
              <w:left w:val="nil"/>
              <w:bottom w:val="single" w:color="auto" w:sz="4" w:space="0"/>
              <w:right w:val="single" w:color="auto" w:sz="4" w:space="0"/>
            </w:tcBorders>
            <w:noWrap w:val="0"/>
            <w:vAlign w:val="center"/>
          </w:tcPr>
          <w:p w14:paraId="4AC73BEC">
            <w:pPr>
              <w:spacing w:line="360" w:lineRule="auto"/>
              <w:outlineLvl w:val="9"/>
              <w:rPr>
                <w:rFonts w:ascii="宋体" w:hAnsi="宋体" w:eastAsia="宋体" w:cs="宋体"/>
                <w:color w:val="auto"/>
                <w:szCs w:val="21"/>
              </w:rPr>
            </w:pPr>
            <w:r>
              <w:rPr>
                <w:rFonts w:hint="eastAsia" w:ascii="宋体" w:hAnsi="宋体" w:eastAsia="宋体" w:cs="宋体"/>
                <w:color w:val="auto"/>
                <w:szCs w:val="21"/>
              </w:rPr>
              <w:t>电话</w:t>
            </w:r>
          </w:p>
        </w:tc>
        <w:tc>
          <w:tcPr>
            <w:tcW w:w="3418" w:type="dxa"/>
            <w:gridSpan w:val="3"/>
            <w:tcBorders>
              <w:top w:val="single" w:color="auto" w:sz="4" w:space="0"/>
              <w:left w:val="nil"/>
              <w:bottom w:val="single" w:color="auto" w:sz="4" w:space="0"/>
              <w:right w:val="single" w:color="auto" w:sz="4" w:space="0"/>
            </w:tcBorders>
            <w:noWrap w:val="0"/>
            <w:vAlign w:val="center"/>
          </w:tcPr>
          <w:p w14:paraId="444DF873">
            <w:pPr>
              <w:spacing w:line="360" w:lineRule="auto"/>
              <w:outlineLvl w:val="9"/>
              <w:rPr>
                <w:rFonts w:ascii="宋体" w:hAnsi="宋体" w:eastAsia="宋体" w:cs="宋体"/>
                <w:color w:val="auto"/>
                <w:szCs w:val="21"/>
              </w:rPr>
            </w:pPr>
          </w:p>
        </w:tc>
      </w:tr>
      <w:tr w14:paraId="73E67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1980" w:type="dxa"/>
            <w:tcBorders>
              <w:top w:val="single" w:color="auto" w:sz="4" w:space="0"/>
              <w:left w:val="single" w:color="auto" w:sz="4" w:space="0"/>
              <w:bottom w:val="single" w:color="auto" w:sz="4" w:space="0"/>
              <w:right w:val="single" w:color="auto" w:sz="4" w:space="0"/>
            </w:tcBorders>
            <w:noWrap w:val="0"/>
            <w:vAlign w:val="center"/>
          </w:tcPr>
          <w:p w14:paraId="272064D8">
            <w:pPr>
              <w:spacing w:line="360" w:lineRule="auto"/>
              <w:outlineLvl w:val="9"/>
              <w:rPr>
                <w:rFonts w:ascii="宋体" w:hAnsi="宋体" w:eastAsia="宋体" w:cs="宋体"/>
                <w:color w:val="auto"/>
                <w:szCs w:val="21"/>
              </w:rPr>
            </w:pPr>
            <w:r>
              <w:rPr>
                <w:rFonts w:hint="eastAsia" w:ascii="宋体" w:hAnsi="宋体" w:eastAsia="宋体" w:cs="宋体"/>
                <w:color w:val="auto"/>
                <w:szCs w:val="21"/>
              </w:rPr>
              <w:t>成立时间</w:t>
            </w:r>
          </w:p>
        </w:tc>
        <w:tc>
          <w:tcPr>
            <w:tcW w:w="7550" w:type="dxa"/>
            <w:gridSpan w:val="7"/>
            <w:tcBorders>
              <w:top w:val="single" w:color="auto" w:sz="4" w:space="0"/>
              <w:left w:val="nil"/>
              <w:bottom w:val="single" w:color="auto" w:sz="4" w:space="0"/>
              <w:right w:val="single" w:color="auto" w:sz="4" w:space="0"/>
            </w:tcBorders>
            <w:noWrap w:val="0"/>
            <w:vAlign w:val="center"/>
          </w:tcPr>
          <w:p w14:paraId="6872BC4F">
            <w:pPr>
              <w:spacing w:line="360" w:lineRule="auto"/>
              <w:outlineLvl w:val="9"/>
              <w:rPr>
                <w:rFonts w:ascii="宋体" w:hAnsi="宋体" w:eastAsia="宋体" w:cs="宋体"/>
                <w:color w:val="auto"/>
                <w:szCs w:val="21"/>
              </w:rPr>
            </w:pPr>
          </w:p>
        </w:tc>
      </w:tr>
      <w:tr w14:paraId="023D7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1980" w:type="dxa"/>
            <w:tcBorders>
              <w:top w:val="single" w:color="auto" w:sz="4" w:space="0"/>
              <w:left w:val="single" w:color="auto" w:sz="4" w:space="0"/>
              <w:bottom w:val="single" w:color="auto" w:sz="4" w:space="0"/>
              <w:right w:val="single" w:color="auto" w:sz="4" w:space="0"/>
            </w:tcBorders>
            <w:noWrap w:val="0"/>
            <w:vAlign w:val="center"/>
          </w:tcPr>
          <w:p w14:paraId="537D846E">
            <w:pPr>
              <w:spacing w:line="360" w:lineRule="auto"/>
              <w:outlineLvl w:val="9"/>
              <w:rPr>
                <w:rFonts w:ascii="宋体" w:hAnsi="宋体" w:eastAsia="宋体" w:cs="宋体"/>
                <w:color w:val="auto"/>
                <w:szCs w:val="21"/>
              </w:rPr>
            </w:pPr>
            <w:r>
              <w:rPr>
                <w:rFonts w:hint="eastAsia" w:ascii="宋体" w:hAnsi="宋体" w:eastAsia="宋体" w:cs="宋体"/>
                <w:color w:val="auto"/>
                <w:szCs w:val="21"/>
              </w:rPr>
              <w:t>营业执照号</w:t>
            </w:r>
          </w:p>
        </w:tc>
        <w:tc>
          <w:tcPr>
            <w:tcW w:w="3373" w:type="dxa"/>
            <w:gridSpan w:val="3"/>
            <w:tcBorders>
              <w:top w:val="single" w:color="auto" w:sz="4" w:space="0"/>
              <w:left w:val="nil"/>
              <w:bottom w:val="single" w:color="auto" w:sz="4" w:space="0"/>
              <w:right w:val="single" w:color="auto" w:sz="4" w:space="0"/>
            </w:tcBorders>
            <w:noWrap w:val="0"/>
            <w:vAlign w:val="center"/>
          </w:tcPr>
          <w:p w14:paraId="1F999391">
            <w:pPr>
              <w:spacing w:line="360" w:lineRule="auto"/>
              <w:outlineLvl w:val="9"/>
              <w:rPr>
                <w:rFonts w:ascii="宋体" w:hAnsi="宋体" w:eastAsia="宋体" w:cs="宋体"/>
                <w:color w:val="auto"/>
                <w:szCs w:val="21"/>
              </w:rPr>
            </w:pPr>
          </w:p>
        </w:tc>
        <w:tc>
          <w:tcPr>
            <w:tcW w:w="1440" w:type="dxa"/>
            <w:gridSpan w:val="2"/>
            <w:tcBorders>
              <w:top w:val="single" w:color="auto" w:sz="4" w:space="0"/>
              <w:left w:val="nil"/>
              <w:bottom w:val="single" w:color="auto" w:sz="4" w:space="0"/>
              <w:right w:val="single" w:color="auto" w:sz="4" w:space="0"/>
            </w:tcBorders>
            <w:noWrap w:val="0"/>
            <w:vAlign w:val="center"/>
          </w:tcPr>
          <w:p w14:paraId="690B9C21">
            <w:pPr>
              <w:spacing w:line="360" w:lineRule="auto"/>
              <w:outlineLvl w:val="9"/>
              <w:rPr>
                <w:rFonts w:ascii="宋体" w:hAnsi="宋体" w:cs="黑体"/>
                <w:color w:val="auto"/>
                <w:sz w:val="24"/>
              </w:rPr>
            </w:pPr>
            <w:r>
              <w:rPr>
                <w:rFonts w:hint="eastAsia" w:ascii="宋体" w:hAnsi="宋体" w:cs="黑体"/>
                <w:color w:val="auto"/>
                <w:sz w:val="24"/>
              </w:rPr>
              <w:t>开户银行</w:t>
            </w:r>
          </w:p>
        </w:tc>
        <w:tc>
          <w:tcPr>
            <w:tcW w:w="2737" w:type="dxa"/>
            <w:gridSpan w:val="2"/>
            <w:tcBorders>
              <w:top w:val="single" w:color="auto" w:sz="4" w:space="0"/>
              <w:left w:val="nil"/>
              <w:bottom w:val="single" w:color="auto" w:sz="4" w:space="0"/>
              <w:right w:val="single" w:color="auto" w:sz="4" w:space="0"/>
            </w:tcBorders>
            <w:noWrap w:val="0"/>
            <w:vAlign w:val="center"/>
          </w:tcPr>
          <w:p w14:paraId="71F3A806">
            <w:pPr>
              <w:spacing w:line="360" w:lineRule="auto"/>
              <w:outlineLvl w:val="9"/>
              <w:rPr>
                <w:rFonts w:ascii="宋体" w:hAnsi="宋体" w:eastAsia="宋体" w:cs="宋体"/>
                <w:color w:val="auto"/>
                <w:szCs w:val="21"/>
              </w:rPr>
            </w:pPr>
          </w:p>
        </w:tc>
      </w:tr>
      <w:tr w14:paraId="78AD7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980" w:type="dxa"/>
            <w:tcBorders>
              <w:top w:val="single" w:color="auto" w:sz="4" w:space="0"/>
              <w:left w:val="single" w:color="auto" w:sz="4" w:space="0"/>
              <w:bottom w:val="single" w:color="auto" w:sz="4" w:space="0"/>
              <w:right w:val="single" w:color="auto" w:sz="4" w:space="0"/>
            </w:tcBorders>
            <w:noWrap w:val="0"/>
            <w:vAlign w:val="center"/>
          </w:tcPr>
          <w:p w14:paraId="66564394">
            <w:pPr>
              <w:spacing w:line="360" w:lineRule="auto"/>
              <w:outlineLvl w:val="9"/>
              <w:rPr>
                <w:rFonts w:ascii="宋体" w:hAnsi="宋体" w:eastAsia="宋体" w:cs="宋体"/>
                <w:color w:val="auto"/>
                <w:szCs w:val="21"/>
              </w:rPr>
            </w:pPr>
            <w:r>
              <w:rPr>
                <w:rFonts w:hint="eastAsia" w:ascii="宋体" w:hAnsi="宋体" w:eastAsia="宋体" w:cs="宋体"/>
                <w:color w:val="auto"/>
                <w:szCs w:val="21"/>
              </w:rPr>
              <w:t>注册资金</w:t>
            </w:r>
          </w:p>
        </w:tc>
        <w:tc>
          <w:tcPr>
            <w:tcW w:w="3373" w:type="dxa"/>
            <w:gridSpan w:val="3"/>
            <w:tcBorders>
              <w:top w:val="single" w:color="auto" w:sz="4" w:space="0"/>
              <w:left w:val="nil"/>
              <w:bottom w:val="single" w:color="auto" w:sz="4" w:space="0"/>
              <w:right w:val="single" w:color="auto" w:sz="4" w:space="0"/>
            </w:tcBorders>
            <w:noWrap w:val="0"/>
            <w:vAlign w:val="center"/>
          </w:tcPr>
          <w:p w14:paraId="6F58EBFC">
            <w:pPr>
              <w:spacing w:line="360" w:lineRule="auto"/>
              <w:outlineLvl w:val="9"/>
              <w:rPr>
                <w:rFonts w:ascii="宋体" w:hAnsi="宋体" w:eastAsia="宋体" w:cs="宋体"/>
                <w:color w:val="auto"/>
                <w:szCs w:val="21"/>
              </w:rPr>
            </w:pPr>
          </w:p>
        </w:tc>
        <w:tc>
          <w:tcPr>
            <w:tcW w:w="1440" w:type="dxa"/>
            <w:gridSpan w:val="2"/>
            <w:tcBorders>
              <w:top w:val="single" w:color="auto" w:sz="4" w:space="0"/>
              <w:left w:val="nil"/>
              <w:bottom w:val="single" w:color="auto" w:sz="4" w:space="0"/>
              <w:right w:val="single" w:color="auto" w:sz="4" w:space="0"/>
            </w:tcBorders>
            <w:noWrap w:val="0"/>
            <w:vAlign w:val="center"/>
          </w:tcPr>
          <w:p w14:paraId="55ACD33A">
            <w:pPr>
              <w:spacing w:line="360" w:lineRule="auto"/>
              <w:outlineLvl w:val="9"/>
              <w:rPr>
                <w:rFonts w:ascii="宋体" w:hAnsi="宋体" w:cs="黑体"/>
                <w:color w:val="auto"/>
                <w:sz w:val="24"/>
              </w:rPr>
            </w:pPr>
            <w:r>
              <w:rPr>
                <w:rFonts w:hint="eastAsia" w:ascii="宋体" w:hAnsi="宋体" w:cs="黑体"/>
                <w:color w:val="auto"/>
                <w:sz w:val="24"/>
              </w:rPr>
              <w:t>账号</w:t>
            </w:r>
          </w:p>
        </w:tc>
        <w:tc>
          <w:tcPr>
            <w:tcW w:w="2737" w:type="dxa"/>
            <w:gridSpan w:val="2"/>
            <w:tcBorders>
              <w:top w:val="single" w:color="auto" w:sz="4" w:space="0"/>
              <w:left w:val="nil"/>
              <w:bottom w:val="single" w:color="auto" w:sz="4" w:space="0"/>
              <w:right w:val="single" w:color="auto" w:sz="4" w:space="0"/>
            </w:tcBorders>
            <w:noWrap w:val="0"/>
            <w:vAlign w:val="center"/>
          </w:tcPr>
          <w:p w14:paraId="12CBE273">
            <w:pPr>
              <w:spacing w:line="360" w:lineRule="auto"/>
              <w:outlineLvl w:val="9"/>
              <w:rPr>
                <w:rFonts w:ascii="宋体" w:hAnsi="宋体" w:eastAsia="宋体" w:cs="宋体"/>
                <w:color w:val="auto"/>
                <w:szCs w:val="21"/>
              </w:rPr>
            </w:pPr>
          </w:p>
        </w:tc>
      </w:tr>
      <w:tr w14:paraId="13A3F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1980" w:type="dxa"/>
            <w:tcBorders>
              <w:top w:val="single" w:color="auto" w:sz="4" w:space="0"/>
              <w:left w:val="single" w:color="auto" w:sz="4" w:space="0"/>
              <w:bottom w:val="single" w:color="auto" w:sz="4" w:space="0"/>
              <w:right w:val="single" w:color="auto" w:sz="4" w:space="0"/>
            </w:tcBorders>
            <w:noWrap w:val="0"/>
            <w:vAlign w:val="center"/>
          </w:tcPr>
          <w:p w14:paraId="44B01450">
            <w:pPr>
              <w:spacing w:line="360" w:lineRule="auto"/>
              <w:outlineLvl w:val="9"/>
              <w:rPr>
                <w:rFonts w:ascii="宋体" w:hAnsi="宋体" w:eastAsia="宋体" w:cs="宋体"/>
                <w:color w:val="auto"/>
                <w:szCs w:val="21"/>
              </w:rPr>
            </w:pPr>
            <w:r>
              <w:rPr>
                <w:rFonts w:hint="eastAsia" w:ascii="宋体" w:hAnsi="宋体" w:eastAsia="宋体" w:cs="宋体"/>
                <w:color w:val="auto"/>
                <w:szCs w:val="21"/>
              </w:rPr>
              <w:t>经营范围备注</w:t>
            </w:r>
          </w:p>
        </w:tc>
        <w:tc>
          <w:tcPr>
            <w:tcW w:w="7550" w:type="dxa"/>
            <w:gridSpan w:val="7"/>
            <w:tcBorders>
              <w:top w:val="single" w:color="auto" w:sz="4" w:space="0"/>
              <w:left w:val="nil"/>
              <w:bottom w:val="single" w:color="auto" w:sz="4" w:space="0"/>
              <w:right w:val="single" w:color="auto" w:sz="4" w:space="0"/>
            </w:tcBorders>
            <w:noWrap w:val="0"/>
            <w:vAlign w:val="center"/>
          </w:tcPr>
          <w:p w14:paraId="25D9C98F">
            <w:pPr>
              <w:spacing w:line="360" w:lineRule="auto"/>
              <w:outlineLvl w:val="9"/>
              <w:rPr>
                <w:rFonts w:ascii="宋体" w:hAnsi="宋体" w:eastAsia="宋体" w:cs="宋体"/>
                <w:color w:val="auto"/>
                <w:szCs w:val="21"/>
              </w:rPr>
            </w:pPr>
          </w:p>
        </w:tc>
      </w:tr>
    </w:tbl>
    <w:p w14:paraId="213CEDBB">
      <w:pPr>
        <w:spacing w:line="360" w:lineRule="auto"/>
        <w:outlineLvl w:val="9"/>
        <w:rPr>
          <w:rFonts w:ascii="宋体" w:hAnsi="宋体" w:eastAsia="宋体" w:cs="宋体"/>
          <w:color w:val="auto"/>
          <w:szCs w:val="21"/>
        </w:rPr>
      </w:pPr>
      <w:r>
        <w:rPr>
          <w:rFonts w:hint="eastAsia" w:ascii="宋体" w:hAnsi="宋体" w:eastAsia="宋体" w:cs="宋体"/>
          <w:color w:val="auto"/>
          <w:szCs w:val="21"/>
        </w:rPr>
        <w:t xml:space="preserve"> </w:t>
      </w:r>
    </w:p>
    <w:p w14:paraId="4D539602">
      <w:pPr>
        <w:spacing w:line="360" w:lineRule="auto"/>
        <w:outlineLvl w:val="9"/>
        <w:rPr>
          <w:rFonts w:ascii="宋体" w:hAnsi="宋体" w:eastAsia="宋体" w:cs="宋体"/>
          <w:color w:val="auto"/>
          <w:spacing w:val="-2"/>
          <w:sz w:val="22"/>
        </w:rPr>
      </w:pPr>
      <w:r>
        <w:rPr>
          <w:rFonts w:hint="eastAsia" w:ascii="宋体" w:hAnsi="宋体" w:eastAsia="宋体" w:cs="宋体"/>
          <w:color w:val="auto"/>
          <w:spacing w:val="-2"/>
          <w:sz w:val="22"/>
        </w:rPr>
        <w:t xml:space="preserve"> </w:t>
      </w:r>
    </w:p>
    <w:p w14:paraId="0B5267BD">
      <w:pPr>
        <w:spacing w:line="360" w:lineRule="auto"/>
        <w:outlineLvl w:val="9"/>
        <w:rPr>
          <w:rFonts w:ascii="宋体" w:hAnsi="宋体" w:eastAsia="宋体" w:cs="宋体"/>
          <w:color w:val="auto"/>
          <w:spacing w:val="-2"/>
          <w:sz w:val="22"/>
        </w:rPr>
      </w:pPr>
      <w:r>
        <w:rPr>
          <w:rFonts w:hint="eastAsia" w:ascii="宋体" w:hAnsi="宋体" w:eastAsia="宋体" w:cs="宋体"/>
          <w:color w:val="auto"/>
          <w:spacing w:val="-2"/>
          <w:sz w:val="22"/>
        </w:rPr>
        <w:t>供应商：</w:t>
      </w:r>
      <w:r>
        <w:rPr>
          <w:rFonts w:hint="eastAsia" w:ascii="宋体" w:hAnsi="宋体" w:eastAsia="宋体" w:cs="宋体"/>
          <w:color w:val="auto"/>
          <w:spacing w:val="-2"/>
          <w:sz w:val="22"/>
          <w:u w:val="single"/>
        </w:rPr>
        <w:t xml:space="preserve">               </w:t>
      </w:r>
      <w:r>
        <w:rPr>
          <w:rFonts w:hint="eastAsia" w:ascii="宋体" w:hAnsi="宋体" w:eastAsia="宋体" w:cs="宋体"/>
          <w:color w:val="auto"/>
          <w:spacing w:val="-2"/>
          <w:sz w:val="22"/>
        </w:rPr>
        <w:t>（电子签章）</w:t>
      </w:r>
    </w:p>
    <w:p w14:paraId="5563E74B">
      <w:pPr>
        <w:spacing w:line="360" w:lineRule="auto"/>
        <w:outlineLvl w:val="9"/>
        <w:rPr>
          <w:rFonts w:ascii="宋体" w:hAnsi="宋体" w:eastAsia="宋体" w:cs="宋体"/>
          <w:color w:val="auto"/>
          <w:szCs w:val="21"/>
        </w:rPr>
      </w:pPr>
      <w:r>
        <w:rPr>
          <w:rFonts w:hint="eastAsia" w:ascii="宋体" w:hAnsi="宋体" w:eastAsia="宋体" w:cs="宋体"/>
          <w:color w:val="auto"/>
          <w:szCs w:val="21"/>
        </w:rPr>
        <w:t>法定代表人或授权委托人：</w:t>
      </w:r>
      <w:r>
        <w:rPr>
          <w:rFonts w:hint="eastAsia" w:ascii="宋体" w:hAnsi="宋体" w:eastAsia="宋体" w:cs="宋体"/>
          <w:color w:val="auto"/>
          <w:szCs w:val="21"/>
          <w:u w:val="single"/>
        </w:rPr>
        <w:t xml:space="preserve">            </w:t>
      </w:r>
      <w:r>
        <w:rPr>
          <w:rFonts w:hint="eastAsia" w:ascii="宋体" w:hAnsi="宋体" w:eastAsia="宋体" w:cs="宋体"/>
          <w:color w:val="auto"/>
          <w:spacing w:val="-2"/>
          <w:szCs w:val="21"/>
        </w:rPr>
        <w:t>（电子签章）</w:t>
      </w:r>
    </w:p>
    <w:p w14:paraId="62A916A8">
      <w:pPr>
        <w:spacing w:line="360" w:lineRule="auto"/>
        <w:outlineLvl w:val="9"/>
        <w:rPr>
          <w:rFonts w:ascii="宋体" w:hAnsi="宋体" w:eastAsia="宋体" w:cs="宋体"/>
          <w:color w:val="auto"/>
          <w:szCs w:val="21"/>
        </w:rPr>
      </w:pPr>
      <w:r>
        <w:rPr>
          <w:rFonts w:hint="eastAsia" w:ascii="宋体" w:hAnsi="宋体" w:eastAsia="宋体" w:cs="宋体"/>
          <w:color w:val="auto"/>
          <w:szCs w:val="21"/>
        </w:rPr>
        <w:t>年  月  日</w:t>
      </w:r>
    </w:p>
    <w:p w14:paraId="4CF5D5DA">
      <w:pPr>
        <w:spacing w:line="360" w:lineRule="auto"/>
        <w:outlineLvl w:val="9"/>
        <w:rPr>
          <w:rFonts w:ascii="宋体" w:hAnsi="宋体" w:eastAsia="宋体" w:cs="宋体"/>
          <w:color w:val="auto"/>
          <w:szCs w:val="21"/>
        </w:rPr>
      </w:pPr>
    </w:p>
    <w:p w14:paraId="5D1D9C7D">
      <w:pPr>
        <w:pStyle w:val="18"/>
        <w:outlineLvl w:val="9"/>
        <w:rPr>
          <w:rFonts w:ascii="宋体" w:hAnsi="宋体" w:eastAsia="宋体" w:cs="宋体"/>
          <w:color w:val="auto"/>
          <w:szCs w:val="21"/>
        </w:rPr>
      </w:pPr>
    </w:p>
    <w:p w14:paraId="5B1DDB83">
      <w:pPr>
        <w:pStyle w:val="19"/>
        <w:outlineLvl w:val="9"/>
        <w:rPr>
          <w:rFonts w:ascii="宋体" w:hAnsi="宋体" w:eastAsia="宋体" w:cs="宋体"/>
          <w:color w:val="auto"/>
          <w:szCs w:val="21"/>
        </w:rPr>
      </w:pPr>
    </w:p>
    <w:p w14:paraId="41B31501">
      <w:pPr>
        <w:pStyle w:val="5"/>
        <w:outlineLvl w:val="9"/>
        <w:rPr>
          <w:rFonts w:ascii="宋体" w:hAnsi="宋体" w:eastAsia="宋体" w:cs="宋体"/>
          <w:color w:val="auto"/>
          <w:szCs w:val="21"/>
        </w:rPr>
      </w:pPr>
    </w:p>
    <w:p w14:paraId="74E361C0">
      <w:pPr>
        <w:pStyle w:val="7"/>
        <w:outlineLvl w:val="9"/>
        <w:rPr>
          <w:color w:val="auto"/>
        </w:rPr>
      </w:pPr>
    </w:p>
    <w:p w14:paraId="25B3E20F">
      <w:pPr>
        <w:spacing w:line="360" w:lineRule="auto"/>
        <w:outlineLvl w:val="9"/>
        <w:rPr>
          <w:rFonts w:ascii="宋体" w:hAnsi="宋体" w:eastAsia="宋体" w:cs="宋体"/>
          <w:color w:val="auto"/>
          <w:szCs w:val="21"/>
        </w:rPr>
      </w:pPr>
      <w:r>
        <w:rPr>
          <w:rFonts w:hint="eastAsia" w:ascii="宋体" w:hAnsi="宋体" w:eastAsia="宋体" w:cs="宋体"/>
          <w:color w:val="auto"/>
          <w:szCs w:val="21"/>
        </w:rPr>
        <w:t>（二）资格审查资料</w:t>
      </w:r>
    </w:p>
    <w:p w14:paraId="69DF6ACB">
      <w:pPr>
        <w:spacing w:line="360" w:lineRule="auto"/>
        <w:jc w:val="center"/>
        <w:outlineLvl w:val="9"/>
        <w:rPr>
          <w:rFonts w:ascii="宋体" w:hAnsi="宋体" w:eastAsia="宋体" w:cs="宋体"/>
          <w:b/>
          <w:bCs/>
          <w:color w:val="auto"/>
          <w:sz w:val="28"/>
          <w:szCs w:val="28"/>
        </w:rPr>
      </w:pPr>
      <w:r>
        <w:rPr>
          <w:rFonts w:hint="eastAsia" w:ascii="宋体" w:hAnsi="宋体" w:eastAsia="宋体" w:cs="宋体"/>
          <w:color w:val="auto"/>
          <w:sz w:val="24"/>
          <w:szCs w:val="24"/>
        </w:rPr>
        <w:br w:type="page"/>
      </w:r>
      <w:r>
        <w:rPr>
          <w:rFonts w:hint="eastAsia" w:ascii="宋体" w:hAnsi="宋体" w:eastAsia="宋体" w:cs="宋体"/>
          <w:b/>
          <w:bCs/>
          <w:color w:val="auto"/>
          <w:sz w:val="28"/>
          <w:szCs w:val="28"/>
          <w:lang w:val="en-US" w:eastAsia="zh-CN"/>
        </w:rPr>
        <w:t>七</w:t>
      </w:r>
      <w:r>
        <w:rPr>
          <w:rFonts w:hint="eastAsia" w:ascii="宋体" w:hAnsi="宋体" w:eastAsia="宋体" w:cs="宋体"/>
          <w:b/>
          <w:bCs/>
          <w:color w:val="auto"/>
          <w:sz w:val="28"/>
          <w:szCs w:val="28"/>
        </w:rPr>
        <w:t>、其他资料</w:t>
      </w:r>
    </w:p>
    <w:p w14:paraId="3F0540BF">
      <w:pPr>
        <w:spacing w:line="360" w:lineRule="auto"/>
        <w:outlineLvl w:val="9"/>
        <w:rPr>
          <w:rFonts w:ascii="宋体" w:hAnsi="宋体" w:eastAsia="宋体" w:cs="Segoe UI"/>
          <w:b/>
          <w:bCs/>
          <w:color w:val="auto"/>
          <w:sz w:val="32"/>
          <w:szCs w:val="32"/>
          <w:shd w:val="clear" w:color="auto" w:fill="FFFFFF"/>
        </w:rPr>
      </w:pPr>
    </w:p>
    <w:p w14:paraId="0FBE7EA6">
      <w:pPr>
        <w:spacing w:line="360" w:lineRule="auto"/>
        <w:jc w:val="center"/>
        <w:outlineLvl w:val="9"/>
        <w:rPr>
          <w:rFonts w:ascii="宋体" w:hAnsi="宋体" w:eastAsia="宋体" w:cs="Segoe UI"/>
          <w:b/>
          <w:bCs/>
          <w:color w:val="auto"/>
          <w:sz w:val="28"/>
          <w:szCs w:val="28"/>
          <w:shd w:val="clear" w:color="auto" w:fill="FFFFFF"/>
        </w:rPr>
      </w:pPr>
      <w:r>
        <w:rPr>
          <w:rFonts w:hint="eastAsia" w:ascii="宋体" w:hAnsi="宋体" w:eastAsia="宋体" w:cs="Segoe UI"/>
          <w:b/>
          <w:bCs/>
          <w:color w:val="auto"/>
          <w:sz w:val="28"/>
          <w:szCs w:val="28"/>
          <w:shd w:val="clear" w:color="auto" w:fill="FFFFFF"/>
          <w:lang w:val="en-US" w:eastAsia="zh-CN"/>
        </w:rPr>
        <w:t>7.1</w:t>
      </w:r>
      <w:r>
        <w:rPr>
          <w:rFonts w:ascii="宋体" w:hAnsi="宋体" w:eastAsia="宋体" w:cs="Segoe UI"/>
          <w:b/>
          <w:bCs/>
          <w:color w:val="auto"/>
          <w:sz w:val="28"/>
          <w:szCs w:val="28"/>
          <w:shd w:val="clear" w:color="auto" w:fill="FFFFFF"/>
        </w:rPr>
        <w:t>反商业贿赂承诺书</w:t>
      </w:r>
    </w:p>
    <w:p w14:paraId="5B884971">
      <w:pPr>
        <w:spacing w:line="360" w:lineRule="auto"/>
        <w:outlineLvl w:val="9"/>
        <w:rPr>
          <w:rFonts w:ascii="宋体" w:hAnsi="宋体"/>
          <w:color w:val="auto"/>
          <w:szCs w:val="21"/>
        </w:rPr>
      </w:pPr>
      <w:bookmarkStart w:id="117" w:name="_Toc19208"/>
      <w:r>
        <w:rPr>
          <w:rFonts w:hint="eastAsia" w:ascii="宋体" w:hAnsi="宋体"/>
          <w:color w:val="auto"/>
          <w:szCs w:val="21"/>
        </w:rPr>
        <w:t xml:space="preserve"> </w:t>
      </w:r>
    </w:p>
    <w:p w14:paraId="1BF30947">
      <w:pPr>
        <w:spacing w:line="360" w:lineRule="auto"/>
        <w:outlineLvl w:val="9"/>
        <w:rPr>
          <w:rFonts w:ascii="宋体" w:hAnsi="宋体"/>
          <w:color w:val="auto"/>
          <w:szCs w:val="21"/>
        </w:rPr>
      </w:pPr>
      <w:r>
        <w:rPr>
          <w:rFonts w:hint="eastAsia" w:ascii="宋体" w:hAnsi="宋体"/>
          <w:color w:val="auto"/>
          <w:szCs w:val="21"/>
        </w:rPr>
        <w:t>致：</w:t>
      </w:r>
      <w:r>
        <w:rPr>
          <w:rFonts w:hint="eastAsia" w:ascii="宋体" w:hAnsi="宋体"/>
          <w:color w:val="auto"/>
          <w:szCs w:val="21"/>
          <w:u w:val="single"/>
        </w:rPr>
        <w:t xml:space="preserve">                       </w:t>
      </w:r>
      <w:r>
        <w:rPr>
          <w:rFonts w:hint="eastAsia" w:ascii="宋体" w:hAnsi="宋体"/>
          <w:color w:val="auto"/>
          <w:szCs w:val="21"/>
        </w:rPr>
        <w:t>（采购人名称）</w:t>
      </w:r>
      <w:r>
        <w:rPr>
          <w:rFonts w:hint="eastAsia" w:ascii="宋体" w:hAnsi="宋体"/>
          <w:b/>
          <w:bCs/>
          <w:color w:val="auto"/>
          <w:szCs w:val="21"/>
        </w:rPr>
        <w:t xml:space="preserve"> </w:t>
      </w:r>
    </w:p>
    <w:p w14:paraId="7B0376D7">
      <w:pPr>
        <w:spacing w:line="360" w:lineRule="auto"/>
        <w:ind w:firstLine="420" w:firstLineChars="200"/>
        <w:outlineLvl w:val="9"/>
        <w:rPr>
          <w:rFonts w:ascii="宋体" w:hAnsi="宋体"/>
          <w:color w:val="auto"/>
          <w:szCs w:val="21"/>
        </w:rPr>
      </w:pPr>
      <w:r>
        <w:rPr>
          <w:rFonts w:hint="eastAsia" w:ascii="宋体" w:hAnsi="宋体"/>
          <w:color w:val="auto"/>
          <w:szCs w:val="21"/>
        </w:rPr>
        <w:t>进一步规范政府采购行为，营造公平竞争的政府采购市场环境，维护政府采购制度良好声誉，在参与贵单位组织的招标活动中，我方庄重承诺：</w:t>
      </w:r>
    </w:p>
    <w:p w14:paraId="76C90A42">
      <w:pPr>
        <w:spacing w:line="360" w:lineRule="auto"/>
        <w:ind w:firstLine="420" w:firstLineChars="200"/>
        <w:outlineLvl w:val="9"/>
        <w:rPr>
          <w:rFonts w:ascii="宋体" w:hAnsi="宋体"/>
          <w:color w:val="auto"/>
          <w:szCs w:val="21"/>
        </w:rPr>
      </w:pPr>
      <w:r>
        <w:rPr>
          <w:rFonts w:hint="eastAsia" w:ascii="宋体" w:hAnsi="宋体"/>
          <w:color w:val="auto"/>
          <w:szCs w:val="21"/>
        </w:rPr>
        <w:t>一、依法参与招标活动，遵纪守法，诚信经营，公平竞争。</w:t>
      </w:r>
    </w:p>
    <w:p w14:paraId="60EA9121">
      <w:pPr>
        <w:spacing w:line="360" w:lineRule="auto"/>
        <w:ind w:firstLine="420" w:firstLineChars="200"/>
        <w:outlineLvl w:val="9"/>
        <w:rPr>
          <w:rFonts w:ascii="宋体" w:hAnsi="宋体"/>
          <w:color w:val="auto"/>
          <w:szCs w:val="21"/>
        </w:rPr>
      </w:pPr>
      <w:r>
        <w:rPr>
          <w:rFonts w:hint="eastAsia" w:ascii="宋体" w:hAnsi="宋体"/>
          <w:color w:val="auto"/>
          <w:szCs w:val="21"/>
        </w:rPr>
        <w:t>二、不向采购人、采购代理机构和评审专家提供任何形式的商业贿赂，对索取或接受商业贿赂的单位和个人，及时向财政部门和纪检监察机关举报。</w:t>
      </w:r>
    </w:p>
    <w:p w14:paraId="4AE62A42">
      <w:pPr>
        <w:spacing w:line="360" w:lineRule="auto"/>
        <w:ind w:firstLine="420" w:firstLineChars="200"/>
        <w:outlineLvl w:val="9"/>
        <w:rPr>
          <w:rFonts w:ascii="宋体" w:hAnsi="宋体"/>
          <w:color w:val="auto"/>
          <w:szCs w:val="21"/>
        </w:rPr>
      </w:pPr>
      <w:r>
        <w:rPr>
          <w:rFonts w:hint="eastAsia" w:ascii="宋体" w:hAnsi="宋体"/>
          <w:color w:val="auto"/>
          <w:szCs w:val="21"/>
        </w:rPr>
        <w:t>三、不以提供虚假资质文件等形式参与招标活动，不以虚假材料谋取中标。</w:t>
      </w:r>
    </w:p>
    <w:p w14:paraId="2DA0A4B8">
      <w:pPr>
        <w:spacing w:line="360" w:lineRule="auto"/>
        <w:ind w:firstLine="420" w:firstLineChars="200"/>
        <w:outlineLvl w:val="9"/>
        <w:rPr>
          <w:rFonts w:ascii="宋体" w:hAnsi="宋体"/>
          <w:color w:val="auto"/>
          <w:szCs w:val="21"/>
        </w:rPr>
      </w:pPr>
      <w:r>
        <w:rPr>
          <w:rFonts w:hint="eastAsia" w:ascii="宋体" w:hAnsi="宋体"/>
          <w:color w:val="auto"/>
          <w:szCs w:val="21"/>
        </w:rPr>
        <w:t>四、不采取不正当手段诋毁、排挤其它供应商，与其它参与招标活动的供应商保持良性的竞争关系。</w:t>
      </w:r>
    </w:p>
    <w:p w14:paraId="3BBA9B77">
      <w:pPr>
        <w:spacing w:line="360" w:lineRule="auto"/>
        <w:ind w:firstLine="420" w:firstLineChars="200"/>
        <w:outlineLvl w:val="9"/>
        <w:rPr>
          <w:rFonts w:ascii="宋体" w:hAnsi="宋体"/>
          <w:color w:val="auto"/>
          <w:szCs w:val="21"/>
        </w:rPr>
      </w:pPr>
      <w:r>
        <w:rPr>
          <w:rFonts w:hint="eastAsia" w:ascii="宋体" w:hAnsi="宋体"/>
          <w:color w:val="auto"/>
          <w:szCs w:val="21"/>
        </w:rPr>
        <w:t>五、不与采购人、采购代理机构和评审专家恶意串通，自觉维护政府采购公平竞争的市场秩序。</w:t>
      </w:r>
    </w:p>
    <w:p w14:paraId="337A7640">
      <w:pPr>
        <w:spacing w:line="360" w:lineRule="auto"/>
        <w:ind w:firstLine="420" w:firstLineChars="200"/>
        <w:outlineLvl w:val="9"/>
        <w:rPr>
          <w:rFonts w:ascii="宋体" w:hAnsi="宋体"/>
          <w:color w:val="auto"/>
          <w:szCs w:val="21"/>
        </w:rPr>
      </w:pPr>
      <w:r>
        <w:rPr>
          <w:rFonts w:hint="eastAsia" w:ascii="宋体" w:hAnsi="宋体"/>
          <w:color w:val="auto"/>
          <w:szCs w:val="21"/>
        </w:rPr>
        <w:t>六、不与其它供应商串通采取围标、陪标等商业欺诈手段谋取中标，积极维护国家利益、社会公共利益和采购人的合法权益。</w:t>
      </w:r>
    </w:p>
    <w:p w14:paraId="74AC811B">
      <w:pPr>
        <w:spacing w:line="360" w:lineRule="auto"/>
        <w:ind w:firstLine="420" w:firstLineChars="200"/>
        <w:outlineLvl w:val="9"/>
        <w:rPr>
          <w:rFonts w:ascii="宋体" w:hAnsi="宋体"/>
          <w:color w:val="auto"/>
          <w:szCs w:val="21"/>
        </w:rPr>
      </w:pPr>
      <w:r>
        <w:rPr>
          <w:rFonts w:hint="eastAsia" w:ascii="宋体" w:hAnsi="宋体"/>
          <w:color w:val="auto"/>
          <w:szCs w:val="21"/>
        </w:rPr>
        <w:t>七、严格履行政府采购合同约定义务，不在政府采购合同执行过程中采取降低质量或标准、减少数量、拖延交付时间等方式损害采购人的利益，并自觉承担违约责任。</w:t>
      </w:r>
    </w:p>
    <w:p w14:paraId="656B84D5">
      <w:pPr>
        <w:spacing w:line="360" w:lineRule="auto"/>
        <w:ind w:firstLine="420" w:firstLineChars="200"/>
        <w:outlineLvl w:val="9"/>
        <w:rPr>
          <w:rFonts w:ascii="宋体" w:hAnsi="宋体"/>
          <w:color w:val="auto"/>
          <w:szCs w:val="21"/>
        </w:rPr>
      </w:pPr>
      <w:r>
        <w:rPr>
          <w:rFonts w:hint="eastAsia" w:ascii="宋体" w:hAnsi="宋体"/>
          <w:color w:val="auto"/>
          <w:szCs w:val="21"/>
        </w:rPr>
        <w:t>八、自觉接受并积极配合相关监督部门实施的监督检查，如实反映情况，及时提供有关证明材料。</w:t>
      </w:r>
    </w:p>
    <w:p w14:paraId="574037FD">
      <w:pPr>
        <w:spacing w:line="360" w:lineRule="auto"/>
        <w:ind w:firstLine="420" w:firstLineChars="200"/>
        <w:outlineLvl w:val="9"/>
        <w:rPr>
          <w:rFonts w:ascii="宋体" w:hAnsi="宋体"/>
          <w:color w:val="auto"/>
          <w:szCs w:val="21"/>
        </w:rPr>
      </w:pPr>
      <w:r>
        <w:rPr>
          <w:rFonts w:hint="eastAsia" w:ascii="宋体" w:hAnsi="宋体"/>
          <w:color w:val="auto"/>
          <w:szCs w:val="21"/>
        </w:rPr>
        <w:t xml:space="preserve"> </w:t>
      </w:r>
    </w:p>
    <w:p w14:paraId="21DB74F7">
      <w:pPr>
        <w:spacing w:line="360" w:lineRule="auto"/>
        <w:ind w:firstLine="420" w:firstLineChars="200"/>
        <w:outlineLvl w:val="9"/>
        <w:rPr>
          <w:rFonts w:ascii="宋体" w:hAnsi="宋体"/>
          <w:color w:val="auto"/>
          <w:kern w:val="0"/>
          <w:szCs w:val="21"/>
          <w:u w:val="single"/>
        </w:rPr>
      </w:pPr>
      <w:r>
        <w:rPr>
          <w:rFonts w:hint="eastAsia" w:ascii="宋体" w:hAnsi="宋体"/>
          <w:color w:val="auto"/>
          <w:kern w:val="0"/>
          <w:szCs w:val="21"/>
        </w:rPr>
        <w:t>法定代表人或授权委托人</w:t>
      </w:r>
      <w:r>
        <w:rPr>
          <w:rFonts w:hint="eastAsia" w:ascii="宋体" w:hAnsi="宋体"/>
          <w:color w:val="auto"/>
          <w:spacing w:val="6"/>
          <w:kern w:val="0"/>
          <w:szCs w:val="21"/>
        </w:rPr>
        <w:t>（电子签章）</w:t>
      </w:r>
      <w:r>
        <w:rPr>
          <w:rFonts w:hint="eastAsia" w:ascii="宋体" w:hAnsi="宋体"/>
          <w:color w:val="auto"/>
          <w:kern w:val="0"/>
          <w:szCs w:val="21"/>
        </w:rPr>
        <w:t xml:space="preserve">： </w:t>
      </w:r>
      <w:r>
        <w:rPr>
          <w:rFonts w:hint="eastAsia" w:ascii="宋体" w:hAnsi="宋体"/>
          <w:color w:val="auto"/>
          <w:kern w:val="0"/>
          <w:szCs w:val="21"/>
          <w:u w:val="single"/>
        </w:rPr>
        <w:t xml:space="preserve">                </w:t>
      </w:r>
    </w:p>
    <w:p w14:paraId="731C5584">
      <w:pPr>
        <w:spacing w:line="360" w:lineRule="auto"/>
        <w:outlineLvl w:val="9"/>
        <w:rPr>
          <w:rFonts w:ascii="宋体" w:hAnsi="宋体"/>
          <w:color w:val="auto"/>
          <w:szCs w:val="21"/>
        </w:rPr>
      </w:pPr>
    </w:p>
    <w:p w14:paraId="32A1279E">
      <w:pPr>
        <w:spacing w:line="360" w:lineRule="auto"/>
        <w:ind w:firstLine="420" w:firstLineChars="200"/>
        <w:outlineLvl w:val="9"/>
        <w:rPr>
          <w:rFonts w:ascii="宋体" w:hAnsi="宋体"/>
          <w:color w:val="auto"/>
          <w:szCs w:val="21"/>
        </w:rPr>
      </w:pPr>
      <w:r>
        <w:rPr>
          <w:rFonts w:hint="eastAsia" w:ascii="宋体" w:hAnsi="宋体"/>
          <w:color w:val="auto"/>
          <w:szCs w:val="21"/>
        </w:rPr>
        <w:t>供应商：</w:t>
      </w:r>
      <w:r>
        <w:rPr>
          <w:rFonts w:hint="eastAsia" w:ascii="宋体" w:hAnsi="宋体"/>
          <w:color w:val="auto"/>
          <w:szCs w:val="21"/>
          <w:u w:val="single"/>
        </w:rPr>
        <w:t xml:space="preserve">                              </w:t>
      </w:r>
      <w:r>
        <w:rPr>
          <w:rFonts w:hint="eastAsia" w:ascii="宋体" w:hAnsi="宋体"/>
          <w:color w:val="auto"/>
          <w:szCs w:val="21"/>
        </w:rPr>
        <w:t>（全称并加盖</w:t>
      </w:r>
      <w:r>
        <w:rPr>
          <w:rFonts w:hint="eastAsia" w:ascii="宋体" w:hAnsi="宋体"/>
          <w:color w:val="auto"/>
          <w:spacing w:val="6"/>
          <w:kern w:val="0"/>
          <w:szCs w:val="21"/>
        </w:rPr>
        <w:t>电子签章</w:t>
      </w:r>
      <w:r>
        <w:rPr>
          <w:rFonts w:hint="eastAsia" w:ascii="宋体" w:hAnsi="宋体"/>
          <w:color w:val="auto"/>
          <w:szCs w:val="21"/>
        </w:rPr>
        <w:t>）</w:t>
      </w:r>
    </w:p>
    <w:p w14:paraId="290B60AD">
      <w:pPr>
        <w:spacing w:line="360" w:lineRule="auto"/>
        <w:outlineLvl w:val="9"/>
        <w:rPr>
          <w:rFonts w:ascii="宋体" w:hAnsi="宋体"/>
          <w:color w:val="auto"/>
          <w:szCs w:val="21"/>
        </w:rPr>
      </w:pPr>
      <w:r>
        <w:rPr>
          <w:rFonts w:hint="eastAsia" w:ascii="宋体" w:hAnsi="宋体"/>
          <w:color w:val="auto"/>
          <w:szCs w:val="21"/>
        </w:rPr>
        <w:t xml:space="preserve">                                 </w:t>
      </w:r>
    </w:p>
    <w:p w14:paraId="5B3FE019">
      <w:pPr>
        <w:spacing w:line="360" w:lineRule="auto"/>
        <w:ind w:firstLine="420" w:firstLineChars="200"/>
        <w:outlineLvl w:val="9"/>
        <w:rPr>
          <w:rFonts w:ascii="宋体" w:hAnsi="宋体"/>
          <w:color w:val="auto"/>
          <w:szCs w:val="21"/>
        </w:rPr>
      </w:pPr>
      <w:r>
        <w:rPr>
          <w:rFonts w:hint="eastAsia" w:ascii="宋体" w:hAnsi="宋体"/>
          <w:color w:val="auto"/>
          <w:szCs w:val="21"/>
        </w:rPr>
        <w:t xml:space="preserve"> </w:t>
      </w:r>
      <w:r>
        <w:rPr>
          <w:rFonts w:hint="eastAsia" w:ascii="宋体" w:hAnsi="宋体"/>
          <w:color w:val="auto"/>
          <w:szCs w:val="21"/>
          <w:u w:val="single"/>
        </w:rPr>
        <w:t xml:space="preserve">    </w:t>
      </w:r>
      <w:r>
        <w:rPr>
          <w:rFonts w:hint="eastAsia" w:ascii="宋体" w:hAnsi="宋体"/>
          <w:color w:val="auto"/>
          <w:szCs w:val="21"/>
        </w:rPr>
        <w:t xml:space="preserve">年 </w:t>
      </w:r>
      <w:r>
        <w:rPr>
          <w:rFonts w:hint="eastAsia" w:ascii="宋体" w:hAnsi="宋体"/>
          <w:color w:val="auto"/>
          <w:szCs w:val="21"/>
          <w:u w:val="single"/>
        </w:rPr>
        <w:t xml:space="preserve">   </w:t>
      </w:r>
      <w:r>
        <w:rPr>
          <w:rFonts w:hint="eastAsia" w:ascii="宋体" w:hAnsi="宋体"/>
          <w:color w:val="auto"/>
          <w:szCs w:val="21"/>
        </w:rPr>
        <w:t xml:space="preserve">月 </w:t>
      </w:r>
      <w:r>
        <w:rPr>
          <w:rFonts w:hint="eastAsia" w:ascii="宋体" w:hAnsi="宋体"/>
          <w:color w:val="auto"/>
          <w:szCs w:val="21"/>
          <w:u w:val="single"/>
        </w:rPr>
        <w:t xml:space="preserve">   </w:t>
      </w:r>
      <w:r>
        <w:rPr>
          <w:rFonts w:hint="eastAsia" w:ascii="宋体" w:hAnsi="宋体"/>
          <w:color w:val="auto"/>
          <w:szCs w:val="21"/>
        </w:rPr>
        <w:t>日</w:t>
      </w:r>
    </w:p>
    <w:p w14:paraId="03FFBFD4">
      <w:pPr>
        <w:spacing w:line="360" w:lineRule="auto"/>
        <w:outlineLvl w:val="9"/>
        <w:rPr>
          <w:rFonts w:ascii="宋体" w:hAnsi="宋体" w:eastAsia="宋体"/>
          <w:color w:val="auto"/>
          <w:szCs w:val="21"/>
        </w:rPr>
      </w:pPr>
    </w:p>
    <w:p w14:paraId="27EBE6AD">
      <w:pPr>
        <w:pStyle w:val="18"/>
        <w:outlineLvl w:val="9"/>
        <w:rPr>
          <w:rFonts w:ascii="宋体" w:hAnsi="宋体" w:eastAsia="宋体"/>
          <w:color w:val="auto"/>
          <w:szCs w:val="21"/>
        </w:rPr>
      </w:pPr>
    </w:p>
    <w:p w14:paraId="3F0B3144">
      <w:pPr>
        <w:pStyle w:val="19"/>
        <w:outlineLvl w:val="9"/>
        <w:rPr>
          <w:rFonts w:ascii="宋体" w:hAnsi="宋体" w:eastAsia="宋体"/>
          <w:color w:val="auto"/>
          <w:szCs w:val="21"/>
        </w:rPr>
      </w:pPr>
    </w:p>
    <w:p w14:paraId="40F549C3">
      <w:pPr>
        <w:pStyle w:val="5"/>
        <w:outlineLvl w:val="9"/>
        <w:rPr>
          <w:rFonts w:ascii="宋体" w:hAnsi="宋体" w:eastAsia="宋体"/>
          <w:color w:val="auto"/>
          <w:szCs w:val="21"/>
        </w:rPr>
      </w:pPr>
    </w:p>
    <w:p w14:paraId="33BBC628">
      <w:pPr>
        <w:pStyle w:val="6"/>
        <w:outlineLvl w:val="9"/>
        <w:rPr>
          <w:rFonts w:ascii="宋体" w:hAnsi="宋体" w:eastAsia="宋体"/>
          <w:color w:val="auto"/>
          <w:szCs w:val="21"/>
        </w:rPr>
      </w:pPr>
    </w:p>
    <w:p w14:paraId="45BD987F">
      <w:pPr>
        <w:pStyle w:val="7"/>
        <w:outlineLvl w:val="9"/>
        <w:rPr>
          <w:rFonts w:ascii="宋体" w:hAnsi="宋体" w:eastAsia="宋体"/>
          <w:color w:val="auto"/>
          <w:szCs w:val="21"/>
        </w:rPr>
      </w:pPr>
    </w:p>
    <w:p w14:paraId="04615894">
      <w:pPr>
        <w:pStyle w:val="6"/>
        <w:outlineLvl w:val="9"/>
        <w:rPr>
          <w:color w:val="auto"/>
        </w:rPr>
      </w:pPr>
    </w:p>
    <w:p w14:paraId="0E7C77BE">
      <w:pPr>
        <w:spacing w:line="360" w:lineRule="auto"/>
        <w:jc w:val="center"/>
        <w:outlineLvl w:val="9"/>
        <w:rPr>
          <w:rFonts w:ascii="宋体" w:hAnsi="宋体" w:eastAsia="宋体"/>
          <w:color w:val="auto"/>
        </w:rPr>
      </w:pPr>
      <w:r>
        <w:rPr>
          <w:rFonts w:hint="eastAsia" w:ascii="宋体" w:hAnsi="宋体" w:eastAsia="宋体" w:cs="Segoe UI"/>
          <w:b/>
          <w:bCs/>
          <w:color w:val="auto"/>
          <w:sz w:val="32"/>
          <w:szCs w:val="32"/>
          <w:shd w:val="clear" w:color="auto" w:fill="FFFFFF"/>
          <w:lang w:val="en-US" w:eastAsia="zh-CN"/>
        </w:rPr>
        <w:t>7.2</w:t>
      </w:r>
      <w:r>
        <w:rPr>
          <w:rFonts w:hint="eastAsia" w:ascii="宋体" w:hAnsi="宋体" w:eastAsia="宋体" w:cs="Segoe UI"/>
          <w:b/>
          <w:bCs/>
          <w:color w:val="auto"/>
          <w:sz w:val="32"/>
          <w:szCs w:val="32"/>
          <w:shd w:val="clear" w:color="auto" w:fill="FFFFFF"/>
        </w:rPr>
        <w:t>供应商</w:t>
      </w:r>
      <w:r>
        <w:rPr>
          <w:rFonts w:ascii="宋体" w:hAnsi="宋体" w:eastAsia="宋体" w:cs="Segoe UI"/>
          <w:b/>
          <w:bCs/>
          <w:color w:val="auto"/>
          <w:sz w:val="32"/>
          <w:szCs w:val="32"/>
          <w:shd w:val="clear" w:color="auto" w:fill="FFFFFF"/>
        </w:rPr>
        <w:t>诚信承诺书</w:t>
      </w:r>
      <w:bookmarkEnd w:id="117"/>
    </w:p>
    <w:p w14:paraId="3D83B48D">
      <w:pPr>
        <w:spacing w:line="360" w:lineRule="auto"/>
        <w:outlineLvl w:val="9"/>
        <w:rPr>
          <w:rFonts w:ascii="宋体" w:hAnsi="宋体" w:eastAsia="宋体"/>
          <w:color w:val="auto"/>
        </w:rPr>
      </w:pPr>
      <w:r>
        <w:rPr>
          <w:rFonts w:ascii="宋体" w:hAnsi="宋体" w:eastAsia="宋体" w:cs="宋体"/>
          <w:color w:val="auto"/>
          <w:sz w:val="28"/>
          <w:szCs w:val="28"/>
          <w:shd w:val="clear" w:color="auto" w:fill="FFFFFF"/>
        </w:rPr>
        <w:t>  </w:t>
      </w:r>
    </w:p>
    <w:p w14:paraId="078C7A9E">
      <w:pPr>
        <w:spacing w:line="480" w:lineRule="auto"/>
        <w:outlineLvl w:val="9"/>
        <w:rPr>
          <w:rFonts w:ascii="宋体" w:hAnsi="宋体" w:eastAsia="宋体"/>
          <w:color w:val="auto"/>
          <w:szCs w:val="21"/>
        </w:rPr>
      </w:pPr>
      <w:r>
        <w:rPr>
          <w:rFonts w:ascii="宋体" w:hAnsi="宋体" w:eastAsia="宋体" w:cs="Segoe UI"/>
          <w:color w:val="auto"/>
          <w:szCs w:val="21"/>
          <w:shd w:val="clear" w:color="auto" w:fill="FFFFFF"/>
        </w:rPr>
        <w:t>我单位在参加</w:t>
      </w:r>
      <w:r>
        <w:rPr>
          <w:rFonts w:ascii="宋体" w:hAnsi="宋体" w:eastAsia="宋体" w:cs="宋体"/>
          <w:color w:val="auto"/>
          <w:szCs w:val="21"/>
          <w:u w:val="single"/>
          <w:shd w:val="clear" w:color="auto" w:fill="FFFFFF"/>
        </w:rPr>
        <w:t xml:space="preserve">  </w:t>
      </w:r>
      <w:r>
        <w:rPr>
          <w:rFonts w:ascii="宋体" w:hAnsi="宋体" w:eastAsia="宋体" w:cs="Segoe UI"/>
          <w:color w:val="auto"/>
          <w:szCs w:val="21"/>
          <w:u w:val="single"/>
          <w:shd w:val="clear" w:color="auto" w:fill="FFFFFF"/>
        </w:rPr>
        <w:t>（项目名称）</w:t>
      </w:r>
      <w:r>
        <w:rPr>
          <w:rFonts w:ascii="宋体" w:hAnsi="宋体" w:eastAsia="宋体" w:cs="宋体"/>
          <w:color w:val="auto"/>
          <w:szCs w:val="21"/>
          <w:u w:val="single"/>
          <w:shd w:val="clear" w:color="auto" w:fill="FFFFFF"/>
        </w:rPr>
        <w:t>  </w:t>
      </w:r>
      <w:r>
        <w:rPr>
          <w:rFonts w:ascii="宋体" w:hAnsi="宋体" w:eastAsia="宋体" w:cs="Segoe UI"/>
          <w:color w:val="auto"/>
          <w:szCs w:val="21"/>
          <w:shd w:val="clear" w:color="auto" w:fill="FFFFFF"/>
        </w:rPr>
        <w:t>的投标活动中，郑重承诺如下： </w:t>
      </w:r>
    </w:p>
    <w:p w14:paraId="58975632">
      <w:pPr>
        <w:spacing w:line="480" w:lineRule="auto"/>
        <w:ind w:firstLine="420" w:firstLineChars="200"/>
        <w:outlineLvl w:val="9"/>
        <w:rPr>
          <w:rFonts w:ascii="宋体" w:hAnsi="宋体" w:eastAsia="宋体" w:cs="宋体"/>
          <w:color w:val="auto"/>
          <w:szCs w:val="21"/>
          <w:shd w:val="clear" w:color="auto" w:fill="FFFFFF"/>
        </w:rPr>
      </w:pPr>
      <w:r>
        <w:rPr>
          <w:rFonts w:ascii="宋体" w:hAnsi="宋体" w:eastAsia="宋体" w:cs="宋体"/>
          <w:color w:val="auto"/>
          <w:szCs w:val="21"/>
          <w:shd w:val="clear" w:color="auto" w:fill="FFFFFF"/>
        </w:rPr>
        <w:t>1．我方在此声明，本次招标投标活动中申报的所有资料都是真实、准确、完整的，如发现提供虚假资料，或与事实不符而导致投标无效，甚至造成任何法律和经济责任，完全由我方负责； </w:t>
      </w:r>
    </w:p>
    <w:p w14:paraId="2D557FD2">
      <w:pPr>
        <w:spacing w:line="480" w:lineRule="auto"/>
        <w:ind w:firstLine="420" w:firstLineChars="200"/>
        <w:outlineLvl w:val="9"/>
        <w:rPr>
          <w:rFonts w:ascii="宋体" w:hAnsi="宋体" w:eastAsia="宋体" w:cs="宋体"/>
          <w:color w:val="auto"/>
          <w:szCs w:val="21"/>
          <w:shd w:val="clear" w:color="auto" w:fill="FFFFFF"/>
        </w:rPr>
      </w:pPr>
      <w:r>
        <w:rPr>
          <w:rFonts w:ascii="宋体" w:hAnsi="宋体" w:eastAsia="宋体" w:cs="宋体"/>
          <w:color w:val="auto"/>
          <w:szCs w:val="21"/>
          <w:shd w:val="clear" w:color="auto" w:fill="FFFFFF"/>
        </w:rPr>
        <w:t>2．我方在本次投标活动中绝无挂靠、串标、围标情形，若经贵方查出，立即取消我方投标或</w:t>
      </w:r>
      <w:r>
        <w:rPr>
          <w:rFonts w:hint="eastAsia" w:ascii="宋体" w:hAnsi="宋体" w:eastAsia="宋体" w:cs="宋体"/>
          <w:color w:val="auto"/>
          <w:szCs w:val="21"/>
          <w:shd w:val="clear" w:color="auto" w:fill="FFFFFF"/>
        </w:rPr>
        <w:t>成交</w:t>
      </w:r>
      <w:r>
        <w:rPr>
          <w:rFonts w:ascii="宋体" w:hAnsi="宋体" w:eastAsia="宋体" w:cs="宋体"/>
          <w:color w:val="auto"/>
          <w:szCs w:val="21"/>
          <w:shd w:val="clear" w:color="auto" w:fill="FFFFFF"/>
        </w:rPr>
        <w:t>资格并承担相应的法律责任； </w:t>
      </w:r>
    </w:p>
    <w:p w14:paraId="7B9D7C5F">
      <w:pPr>
        <w:spacing w:line="480" w:lineRule="auto"/>
        <w:ind w:firstLine="420" w:firstLineChars="200"/>
        <w:outlineLvl w:val="9"/>
        <w:rPr>
          <w:rFonts w:ascii="宋体" w:hAnsi="宋体" w:eastAsia="宋体" w:cs="宋体"/>
          <w:color w:val="auto"/>
          <w:szCs w:val="21"/>
          <w:shd w:val="clear" w:color="auto" w:fill="FFFFFF"/>
        </w:rPr>
      </w:pPr>
      <w:r>
        <w:rPr>
          <w:rFonts w:ascii="宋体" w:hAnsi="宋体" w:eastAsia="宋体" w:cs="宋体"/>
          <w:color w:val="auto"/>
          <w:szCs w:val="21"/>
          <w:shd w:val="clear" w:color="auto" w:fill="FFFFFF"/>
        </w:rPr>
        <w:t>3．我方在以往的招标采购活动中，无重大违法记录； </w:t>
      </w:r>
    </w:p>
    <w:p w14:paraId="7ABCB971">
      <w:pPr>
        <w:spacing w:line="480" w:lineRule="auto"/>
        <w:ind w:firstLine="420" w:firstLineChars="200"/>
        <w:outlineLvl w:val="9"/>
        <w:rPr>
          <w:rFonts w:ascii="宋体" w:hAnsi="宋体" w:eastAsia="宋体" w:cs="宋体"/>
          <w:color w:val="auto"/>
          <w:szCs w:val="21"/>
          <w:shd w:val="clear" w:color="auto" w:fill="FFFFFF"/>
        </w:rPr>
      </w:pPr>
      <w:r>
        <w:rPr>
          <w:rFonts w:ascii="宋体" w:hAnsi="宋体" w:eastAsia="宋体" w:cs="宋体"/>
          <w:color w:val="auto"/>
          <w:szCs w:val="21"/>
          <w:shd w:val="clear" w:color="auto" w:fill="FFFFFF"/>
        </w:rPr>
        <w:t>4．我方一旦中标，将严格按照投标文件中所承诺的报价、质量、</w:t>
      </w:r>
      <w:r>
        <w:rPr>
          <w:rFonts w:hint="eastAsia" w:ascii="宋体" w:hAnsi="宋体" w:eastAsia="宋体" w:cs="宋体"/>
          <w:color w:val="auto"/>
          <w:szCs w:val="21"/>
          <w:shd w:val="clear" w:color="auto" w:fill="FFFFFF"/>
          <w:lang w:val="en-US" w:eastAsia="zh-CN"/>
        </w:rPr>
        <w:t>服务期</w:t>
      </w:r>
      <w:r>
        <w:rPr>
          <w:rFonts w:ascii="宋体" w:hAnsi="宋体" w:eastAsia="宋体" w:cs="宋体"/>
          <w:color w:val="auto"/>
          <w:szCs w:val="21"/>
          <w:shd w:val="clear" w:color="auto" w:fill="FFFFFF"/>
        </w:rPr>
        <w:t>等内容组织实施； </w:t>
      </w:r>
    </w:p>
    <w:p w14:paraId="44FC5370">
      <w:pPr>
        <w:spacing w:line="480" w:lineRule="auto"/>
        <w:ind w:firstLine="420" w:firstLineChars="200"/>
        <w:outlineLvl w:val="9"/>
        <w:rPr>
          <w:rFonts w:ascii="宋体" w:hAnsi="宋体" w:eastAsia="宋体" w:cs="宋体"/>
          <w:color w:val="auto"/>
          <w:szCs w:val="21"/>
          <w:shd w:val="clear" w:color="auto" w:fill="FFFFFF"/>
        </w:rPr>
      </w:pPr>
      <w:r>
        <w:rPr>
          <w:rFonts w:ascii="宋体" w:hAnsi="宋体" w:eastAsia="宋体" w:cs="宋体"/>
          <w:color w:val="auto"/>
          <w:szCs w:val="21"/>
          <w:shd w:val="clear" w:color="auto" w:fill="FFFFFF"/>
        </w:rPr>
        <w:t>5．我方一旦中标，将按规定及时与采购单位签订合同。 </w:t>
      </w:r>
    </w:p>
    <w:p w14:paraId="65ECD8C3">
      <w:pPr>
        <w:spacing w:line="480" w:lineRule="auto"/>
        <w:ind w:firstLine="420" w:firstLineChars="200"/>
        <w:outlineLvl w:val="9"/>
        <w:rPr>
          <w:rFonts w:ascii="宋体" w:hAnsi="宋体" w:eastAsia="宋体" w:cs="宋体"/>
          <w:color w:val="auto"/>
          <w:szCs w:val="21"/>
          <w:shd w:val="clear" w:color="auto" w:fill="FFFFFF"/>
        </w:rPr>
      </w:pPr>
      <w:r>
        <w:rPr>
          <w:rFonts w:ascii="宋体" w:hAnsi="宋体" w:eastAsia="宋体" w:cs="宋体"/>
          <w:color w:val="auto"/>
          <w:szCs w:val="21"/>
          <w:shd w:val="clear" w:color="auto" w:fill="FFFFFF"/>
        </w:rPr>
        <w:t>若我方违反上述承诺，自愿无条件接受采购单位处罚。对造成的损失、任何法律和经济责任完全由我单位负责。 </w:t>
      </w:r>
    </w:p>
    <w:p w14:paraId="3ADBB17D">
      <w:pPr>
        <w:spacing w:line="360" w:lineRule="auto"/>
        <w:outlineLvl w:val="9"/>
        <w:rPr>
          <w:rFonts w:ascii="宋体" w:hAnsi="宋体" w:eastAsia="宋体"/>
          <w:color w:val="auto"/>
          <w:szCs w:val="21"/>
        </w:rPr>
      </w:pPr>
      <w:r>
        <w:rPr>
          <w:rFonts w:ascii="宋体" w:hAnsi="宋体" w:eastAsia="宋体" w:cs="宋体"/>
          <w:color w:val="auto"/>
          <w:szCs w:val="21"/>
          <w:shd w:val="clear" w:color="auto" w:fill="FFFFFF"/>
        </w:rPr>
        <w:t>  </w:t>
      </w:r>
    </w:p>
    <w:p w14:paraId="141EBFAB">
      <w:pPr>
        <w:spacing w:line="360" w:lineRule="auto"/>
        <w:outlineLvl w:val="9"/>
        <w:rPr>
          <w:rFonts w:ascii="宋体" w:hAnsi="宋体" w:eastAsia="宋体" w:cs="Segoe UI"/>
          <w:color w:val="auto"/>
          <w:szCs w:val="21"/>
          <w:shd w:val="clear" w:color="auto" w:fill="FFFFFF"/>
        </w:rPr>
      </w:pPr>
    </w:p>
    <w:p w14:paraId="5ABCAB9F">
      <w:pPr>
        <w:spacing w:line="360" w:lineRule="auto"/>
        <w:outlineLvl w:val="9"/>
        <w:rPr>
          <w:rFonts w:ascii="宋体" w:hAnsi="宋体" w:eastAsia="宋体" w:cs="Segoe UI"/>
          <w:color w:val="auto"/>
          <w:szCs w:val="21"/>
          <w:shd w:val="clear" w:color="auto" w:fill="FFFFFF"/>
        </w:rPr>
      </w:pPr>
    </w:p>
    <w:p w14:paraId="22DE0667">
      <w:pPr>
        <w:spacing w:line="360" w:lineRule="auto"/>
        <w:ind w:firstLine="420" w:firstLineChars="200"/>
        <w:outlineLvl w:val="9"/>
        <w:rPr>
          <w:rFonts w:ascii="宋体" w:hAnsi="宋体" w:eastAsia="宋体"/>
          <w:color w:val="auto"/>
          <w:szCs w:val="21"/>
        </w:rPr>
      </w:pPr>
      <w:r>
        <w:rPr>
          <w:rFonts w:hint="eastAsia" w:ascii="宋体" w:hAnsi="宋体" w:eastAsia="宋体" w:cs="Segoe UI"/>
          <w:color w:val="auto"/>
          <w:szCs w:val="21"/>
          <w:shd w:val="clear" w:color="auto" w:fill="FFFFFF"/>
        </w:rPr>
        <w:t>供应商</w:t>
      </w:r>
      <w:r>
        <w:rPr>
          <w:rFonts w:ascii="宋体" w:hAnsi="宋体" w:eastAsia="宋体" w:cs="Segoe UI"/>
          <w:color w:val="auto"/>
          <w:szCs w:val="21"/>
          <w:shd w:val="clear" w:color="auto" w:fill="FFFFFF"/>
        </w:rPr>
        <w:t>：</w:t>
      </w:r>
      <w:r>
        <w:rPr>
          <w:rFonts w:hint="eastAsia" w:ascii="宋体" w:hAnsi="宋体" w:eastAsia="宋体" w:cs="Segoe UI"/>
          <w:color w:val="auto"/>
          <w:szCs w:val="21"/>
          <w:u w:val="single"/>
          <w:shd w:val="clear" w:color="auto" w:fill="FFFFFF"/>
        </w:rPr>
        <w:t xml:space="preserve">                   </w:t>
      </w:r>
      <w:r>
        <w:rPr>
          <w:rFonts w:hint="eastAsia" w:ascii="宋体" w:hAnsi="宋体"/>
          <w:color w:val="auto"/>
          <w:szCs w:val="21"/>
        </w:rPr>
        <w:t>（电子签章）</w:t>
      </w:r>
      <w:r>
        <w:rPr>
          <w:rFonts w:ascii="宋体" w:hAnsi="宋体" w:eastAsia="宋体" w:cs="Segoe UI"/>
          <w:color w:val="auto"/>
          <w:szCs w:val="21"/>
          <w:shd w:val="clear" w:color="auto" w:fill="FFFFFF"/>
        </w:rPr>
        <w:t> </w:t>
      </w:r>
    </w:p>
    <w:p w14:paraId="7BE0ED74">
      <w:pPr>
        <w:spacing w:line="360" w:lineRule="auto"/>
        <w:outlineLvl w:val="9"/>
        <w:rPr>
          <w:rFonts w:ascii="宋体" w:hAnsi="宋体" w:eastAsia="宋体" w:cs="Segoe UI"/>
          <w:color w:val="auto"/>
          <w:szCs w:val="21"/>
          <w:shd w:val="clear" w:color="auto" w:fill="FFFFFF"/>
        </w:rPr>
      </w:pPr>
    </w:p>
    <w:p w14:paraId="3BA4B652">
      <w:pPr>
        <w:spacing w:line="360" w:lineRule="auto"/>
        <w:ind w:firstLine="420" w:firstLineChars="200"/>
        <w:outlineLvl w:val="9"/>
        <w:rPr>
          <w:rFonts w:ascii="宋体" w:hAnsi="宋体" w:eastAsia="宋体"/>
          <w:color w:val="auto"/>
          <w:szCs w:val="21"/>
        </w:rPr>
      </w:pPr>
      <w:r>
        <w:rPr>
          <w:rFonts w:ascii="宋体" w:hAnsi="宋体" w:eastAsia="宋体" w:cs="Segoe UI"/>
          <w:color w:val="auto"/>
          <w:szCs w:val="21"/>
          <w:shd w:val="clear" w:color="auto" w:fill="FFFFFF"/>
        </w:rPr>
        <w:t>法定代表人或其委托代理人：</w:t>
      </w:r>
      <w:r>
        <w:rPr>
          <w:rFonts w:hint="eastAsia" w:ascii="宋体" w:hAnsi="宋体" w:eastAsia="宋体" w:cs="Segoe UI"/>
          <w:color w:val="auto"/>
          <w:szCs w:val="21"/>
          <w:u w:val="single"/>
          <w:shd w:val="clear" w:color="auto" w:fill="FFFFFF"/>
        </w:rPr>
        <w:t xml:space="preserve">                   </w:t>
      </w:r>
      <w:r>
        <w:rPr>
          <w:rFonts w:hint="eastAsia" w:ascii="宋体" w:hAnsi="宋体"/>
          <w:color w:val="auto"/>
          <w:szCs w:val="21"/>
        </w:rPr>
        <w:t>（电子签章）</w:t>
      </w:r>
      <w:r>
        <w:rPr>
          <w:rFonts w:ascii="宋体" w:hAnsi="宋体" w:eastAsia="宋体" w:cs="Segoe UI"/>
          <w:color w:val="auto"/>
          <w:szCs w:val="21"/>
          <w:shd w:val="clear" w:color="auto" w:fill="FFFFFF"/>
        </w:rPr>
        <w:t> </w:t>
      </w:r>
    </w:p>
    <w:p w14:paraId="4E8B6D89">
      <w:pPr>
        <w:spacing w:line="360" w:lineRule="auto"/>
        <w:outlineLvl w:val="9"/>
        <w:rPr>
          <w:rFonts w:ascii="宋体" w:hAnsi="宋体" w:eastAsia="宋体" w:cs="Segoe UI"/>
          <w:color w:val="auto"/>
          <w:szCs w:val="21"/>
          <w:shd w:val="clear" w:color="auto" w:fill="FFFFFF"/>
        </w:rPr>
      </w:pPr>
    </w:p>
    <w:p w14:paraId="6AEC793E">
      <w:pPr>
        <w:spacing w:line="360" w:lineRule="auto"/>
        <w:ind w:firstLine="420" w:firstLineChars="200"/>
        <w:outlineLvl w:val="9"/>
        <w:rPr>
          <w:rFonts w:ascii="宋体" w:hAnsi="宋体"/>
          <w:color w:val="auto"/>
          <w:szCs w:val="21"/>
        </w:rPr>
      </w:pPr>
      <w:r>
        <w:rPr>
          <w:rFonts w:ascii="宋体" w:hAnsi="宋体" w:eastAsia="宋体" w:cs="宋体"/>
          <w:color w:val="auto"/>
          <w:szCs w:val="21"/>
          <w:shd w:val="clear" w:color="auto" w:fill="FFFFFF"/>
        </w:rPr>
        <w:t> </w:t>
      </w:r>
      <w:r>
        <w:rPr>
          <w:rFonts w:hint="eastAsia" w:ascii="宋体" w:hAnsi="宋体"/>
          <w:color w:val="auto"/>
          <w:szCs w:val="21"/>
          <w:u w:val="single"/>
        </w:rPr>
        <w:t xml:space="preserve">    </w:t>
      </w:r>
      <w:r>
        <w:rPr>
          <w:rFonts w:hint="eastAsia" w:ascii="宋体" w:hAnsi="宋体"/>
          <w:color w:val="auto"/>
          <w:szCs w:val="21"/>
        </w:rPr>
        <w:t xml:space="preserve">年 </w:t>
      </w:r>
      <w:r>
        <w:rPr>
          <w:rFonts w:hint="eastAsia" w:ascii="宋体" w:hAnsi="宋体"/>
          <w:color w:val="auto"/>
          <w:szCs w:val="21"/>
          <w:u w:val="single"/>
        </w:rPr>
        <w:t xml:space="preserve">   </w:t>
      </w:r>
      <w:r>
        <w:rPr>
          <w:rFonts w:hint="eastAsia" w:ascii="宋体" w:hAnsi="宋体"/>
          <w:color w:val="auto"/>
          <w:szCs w:val="21"/>
        </w:rPr>
        <w:t xml:space="preserve">月 </w:t>
      </w:r>
      <w:r>
        <w:rPr>
          <w:rFonts w:hint="eastAsia" w:ascii="宋体" w:hAnsi="宋体"/>
          <w:color w:val="auto"/>
          <w:szCs w:val="21"/>
          <w:u w:val="single"/>
        </w:rPr>
        <w:t xml:space="preserve">   </w:t>
      </w:r>
      <w:r>
        <w:rPr>
          <w:rFonts w:hint="eastAsia" w:ascii="宋体" w:hAnsi="宋体"/>
          <w:color w:val="auto"/>
          <w:szCs w:val="21"/>
        </w:rPr>
        <w:t>日</w:t>
      </w:r>
    </w:p>
    <w:p w14:paraId="1E12B826">
      <w:pPr>
        <w:spacing w:line="360" w:lineRule="auto"/>
        <w:outlineLvl w:val="9"/>
        <w:rPr>
          <w:rFonts w:ascii="宋体" w:hAnsi="宋体" w:eastAsia="宋体"/>
          <w:color w:val="auto"/>
        </w:rPr>
      </w:pPr>
    </w:p>
    <w:p w14:paraId="0F3837C3">
      <w:pPr>
        <w:spacing w:line="360" w:lineRule="auto"/>
        <w:outlineLvl w:val="9"/>
        <w:rPr>
          <w:rFonts w:ascii="宋体" w:hAnsi="宋体" w:eastAsia="宋体"/>
          <w:color w:val="auto"/>
        </w:rPr>
      </w:pPr>
      <w:r>
        <w:rPr>
          <w:rFonts w:ascii="宋体" w:hAnsi="宋体" w:eastAsia="宋体" w:cs="宋体"/>
          <w:color w:val="auto"/>
          <w:shd w:val="clear" w:color="auto" w:fill="FFFFFF"/>
        </w:rPr>
        <w:t>  </w:t>
      </w:r>
    </w:p>
    <w:p w14:paraId="2C61C7F2">
      <w:pPr>
        <w:spacing w:line="360" w:lineRule="auto"/>
        <w:jc w:val="center"/>
        <w:outlineLvl w:val="9"/>
        <w:rPr>
          <w:rFonts w:ascii="宋体" w:hAnsi="宋体" w:eastAsia="宋体" w:cs="Segoe UI"/>
          <w:b/>
          <w:bCs/>
          <w:color w:val="auto"/>
          <w:sz w:val="32"/>
          <w:szCs w:val="32"/>
          <w:shd w:val="clear" w:color="auto" w:fill="FFFFFF"/>
        </w:rPr>
      </w:pPr>
      <w:r>
        <w:rPr>
          <w:rFonts w:ascii="宋体" w:hAnsi="宋体" w:eastAsia="宋体" w:cs="Segoe UI"/>
          <w:b/>
          <w:bCs/>
          <w:color w:val="auto"/>
          <w:sz w:val="32"/>
          <w:szCs w:val="32"/>
          <w:shd w:val="clear" w:color="auto" w:fill="FFFFFF"/>
        </w:rPr>
        <w:br w:type="page"/>
      </w:r>
      <w:r>
        <w:rPr>
          <w:rFonts w:hint="eastAsia" w:ascii="宋体" w:hAnsi="宋体" w:eastAsia="宋体" w:cs="Segoe UI"/>
          <w:b/>
          <w:bCs/>
          <w:color w:val="auto"/>
          <w:sz w:val="32"/>
          <w:szCs w:val="32"/>
          <w:shd w:val="clear" w:color="auto" w:fill="FFFFFF"/>
          <w:lang w:val="en-US" w:eastAsia="zh-CN"/>
        </w:rPr>
        <w:t>7.3</w:t>
      </w:r>
      <w:r>
        <w:rPr>
          <w:rFonts w:hint="eastAsia" w:ascii="宋体" w:hAnsi="宋体" w:eastAsia="宋体" w:cs="Segoe UI"/>
          <w:b/>
          <w:bCs/>
          <w:color w:val="auto"/>
          <w:sz w:val="32"/>
          <w:szCs w:val="32"/>
          <w:shd w:val="clear" w:color="auto" w:fill="FFFFFF"/>
        </w:rPr>
        <w:t>招标代理服务费承诺函</w:t>
      </w:r>
    </w:p>
    <w:p w14:paraId="205A6826">
      <w:pPr>
        <w:spacing w:line="360" w:lineRule="auto"/>
        <w:outlineLvl w:val="9"/>
        <w:rPr>
          <w:rFonts w:ascii="宋体" w:hAnsi="宋体"/>
          <w:b/>
          <w:bCs/>
          <w:color w:val="auto"/>
        </w:rPr>
      </w:pPr>
      <w:r>
        <w:rPr>
          <w:rFonts w:hint="eastAsia" w:ascii="宋体" w:hAnsi="宋体"/>
          <w:b/>
          <w:bCs/>
          <w:color w:val="auto"/>
        </w:rPr>
        <w:t xml:space="preserve"> </w:t>
      </w:r>
    </w:p>
    <w:p w14:paraId="1969E393">
      <w:pPr>
        <w:spacing w:line="360" w:lineRule="auto"/>
        <w:outlineLvl w:val="9"/>
        <w:rPr>
          <w:rFonts w:ascii="宋体" w:hAnsi="宋体"/>
          <w:bCs/>
          <w:color w:val="auto"/>
          <w:szCs w:val="21"/>
        </w:rPr>
      </w:pPr>
      <w:r>
        <w:rPr>
          <w:rFonts w:hint="eastAsia" w:ascii="宋体" w:hAnsi="宋体"/>
          <w:bCs/>
          <w:color w:val="auto"/>
          <w:szCs w:val="21"/>
        </w:rPr>
        <w:t>致</w:t>
      </w:r>
      <w:r>
        <w:rPr>
          <w:rFonts w:hint="eastAsia" w:ascii="宋体" w:hAnsi="宋体"/>
          <w:bCs/>
          <w:color w:val="auto"/>
          <w:szCs w:val="21"/>
          <w:u w:val="single"/>
          <w:lang w:val="en-US" w:eastAsia="zh-CN"/>
        </w:rPr>
        <w:t xml:space="preserve">          （代理机构）</w:t>
      </w:r>
      <w:r>
        <w:rPr>
          <w:rFonts w:hint="eastAsia" w:ascii="宋体" w:hAnsi="宋体"/>
          <w:bCs/>
          <w:color w:val="auto"/>
          <w:szCs w:val="21"/>
        </w:rPr>
        <w:t>：</w:t>
      </w:r>
    </w:p>
    <w:p w14:paraId="0BF5EA97">
      <w:pPr>
        <w:spacing w:line="360" w:lineRule="auto"/>
        <w:ind w:firstLine="420" w:firstLineChars="200"/>
        <w:outlineLvl w:val="9"/>
        <w:rPr>
          <w:rFonts w:ascii="宋体" w:hAnsi="宋体"/>
          <w:bCs/>
          <w:color w:val="auto"/>
          <w:szCs w:val="21"/>
        </w:rPr>
      </w:pPr>
      <w:r>
        <w:rPr>
          <w:rFonts w:hint="eastAsia" w:ascii="宋体" w:hAnsi="宋体"/>
          <w:bCs/>
          <w:color w:val="auto"/>
          <w:szCs w:val="21"/>
        </w:rPr>
        <w:t>我单位在参加</w:t>
      </w:r>
      <w:r>
        <w:rPr>
          <w:rFonts w:hint="eastAsia" w:ascii="宋体" w:hAnsi="宋体"/>
          <w:bCs/>
          <w:color w:val="auto"/>
          <w:szCs w:val="21"/>
          <w:u w:val="single"/>
        </w:rPr>
        <w:t xml:space="preserve">       （项目名称）</w:t>
      </w:r>
      <w:r>
        <w:rPr>
          <w:rFonts w:hint="eastAsia" w:ascii="宋体" w:hAnsi="宋体"/>
          <w:bCs/>
          <w:color w:val="auto"/>
          <w:szCs w:val="21"/>
        </w:rPr>
        <w:t>的投标活动中，郑重承诺如下：</w:t>
      </w:r>
    </w:p>
    <w:p w14:paraId="60FEE704">
      <w:pPr>
        <w:spacing w:line="360" w:lineRule="auto"/>
        <w:ind w:firstLine="420" w:firstLineChars="200"/>
        <w:outlineLvl w:val="9"/>
        <w:rPr>
          <w:rFonts w:ascii="宋体" w:hAnsi="宋体"/>
          <w:bCs/>
          <w:color w:val="auto"/>
          <w:szCs w:val="21"/>
        </w:rPr>
      </w:pPr>
      <w:r>
        <w:rPr>
          <w:rFonts w:hint="eastAsia" w:ascii="宋体" w:hAnsi="宋体"/>
          <w:bCs/>
          <w:color w:val="auto"/>
          <w:szCs w:val="21"/>
        </w:rPr>
        <w:t>我单位若在本项目招标中获取中标，保证在成交公告发布后5个工作日内，按照磋商文件中的规定，向招标代理机构一次性足额支付招标代理服务费用。否则，由此产生的一切法律后果和责任有我单位承担。我单位声明放弃对此提出任何异议和追索的权利。</w:t>
      </w:r>
    </w:p>
    <w:p w14:paraId="36619C05">
      <w:pPr>
        <w:spacing w:line="360" w:lineRule="auto"/>
        <w:ind w:firstLine="420" w:firstLineChars="200"/>
        <w:outlineLvl w:val="9"/>
        <w:rPr>
          <w:rFonts w:ascii="宋体" w:hAnsi="宋体"/>
          <w:bCs/>
          <w:color w:val="auto"/>
          <w:szCs w:val="21"/>
        </w:rPr>
      </w:pPr>
      <w:r>
        <w:rPr>
          <w:rFonts w:hint="eastAsia" w:ascii="宋体" w:hAnsi="宋体"/>
          <w:bCs/>
          <w:color w:val="auto"/>
          <w:szCs w:val="21"/>
        </w:rPr>
        <w:t>特此承诺。</w:t>
      </w:r>
    </w:p>
    <w:p w14:paraId="5DD14A6A">
      <w:pPr>
        <w:spacing w:line="360" w:lineRule="auto"/>
        <w:ind w:firstLine="420" w:firstLineChars="200"/>
        <w:outlineLvl w:val="9"/>
        <w:rPr>
          <w:rFonts w:ascii="宋体" w:hAnsi="宋体"/>
          <w:bCs/>
          <w:color w:val="auto"/>
          <w:szCs w:val="21"/>
        </w:rPr>
      </w:pPr>
      <w:r>
        <w:rPr>
          <w:rFonts w:hint="eastAsia" w:ascii="宋体" w:hAnsi="宋体"/>
          <w:bCs/>
          <w:color w:val="auto"/>
          <w:szCs w:val="21"/>
        </w:rPr>
        <w:t xml:space="preserve"> </w:t>
      </w:r>
    </w:p>
    <w:p w14:paraId="32C7ACCF">
      <w:pPr>
        <w:spacing w:line="360" w:lineRule="auto"/>
        <w:outlineLvl w:val="9"/>
        <w:rPr>
          <w:rFonts w:ascii="宋体" w:hAnsi="宋体"/>
          <w:b/>
          <w:bCs/>
          <w:color w:val="auto"/>
          <w:szCs w:val="21"/>
        </w:rPr>
      </w:pPr>
      <w:r>
        <w:rPr>
          <w:rFonts w:hint="eastAsia" w:ascii="宋体" w:hAnsi="宋体"/>
          <w:b/>
          <w:bCs/>
          <w:color w:val="auto"/>
          <w:szCs w:val="21"/>
        </w:rPr>
        <w:t xml:space="preserve"> </w:t>
      </w:r>
    </w:p>
    <w:p w14:paraId="113CFAD4">
      <w:pPr>
        <w:spacing w:line="360" w:lineRule="auto"/>
        <w:outlineLvl w:val="9"/>
        <w:rPr>
          <w:rFonts w:ascii="宋体" w:hAnsi="宋体"/>
          <w:b/>
          <w:bCs/>
          <w:color w:val="auto"/>
          <w:szCs w:val="21"/>
        </w:rPr>
      </w:pPr>
      <w:r>
        <w:rPr>
          <w:rFonts w:hint="eastAsia" w:ascii="宋体" w:hAnsi="宋体"/>
          <w:b/>
          <w:bCs/>
          <w:color w:val="auto"/>
          <w:szCs w:val="21"/>
        </w:rPr>
        <w:t xml:space="preserve"> </w:t>
      </w:r>
    </w:p>
    <w:p w14:paraId="19B9133B">
      <w:pPr>
        <w:spacing w:line="360" w:lineRule="auto"/>
        <w:ind w:firstLine="420" w:firstLineChars="200"/>
        <w:outlineLvl w:val="9"/>
        <w:rPr>
          <w:rFonts w:ascii="宋体" w:hAnsi="宋体"/>
          <w:color w:val="auto"/>
          <w:kern w:val="0"/>
          <w:szCs w:val="21"/>
          <w:u w:val="single"/>
        </w:rPr>
      </w:pPr>
      <w:r>
        <w:rPr>
          <w:rFonts w:hint="eastAsia" w:ascii="宋体" w:hAnsi="宋体"/>
          <w:color w:val="auto"/>
          <w:kern w:val="0"/>
          <w:szCs w:val="21"/>
        </w:rPr>
        <w:t xml:space="preserve">法定代表人或授权委托人： </w:t>
      </w:r>
      <w:r>
        <w:rPr>
          <w:rFonts w:hint="eastAsia" w:ascii="宋体" w:hAnsi="宋体"/>
          <w:color w:val="auto"/>
          <w:kern w:val="0"/>
          <w:szCs w:val="21"/>
          <w:u w:val="single"/>
        </w:rPr>
        <w:t xml:space="preserve">                </w:t>
      </w:r>
      <w:r>
        <w:rPr>
          <w:rFonts w:hint="eastAsia" w:ascii="宋体" w:hAnsi="宋体"/>
          <w:color w:val="auto"/>
          <w:spacing w:val="6"/>
          <w:kern w:val="0"/>
          <w:szCs w:val="21"/>
        </w:rPr>
        <w:t>（电子签章）</w:t>
      </w:r>
    </w:p>
    <w:p w14:paraId="1E26E9CA">
      <w:pPr>
        <w:spacing w:line="360" w:lineRule="auto"/>
        <w:outlineLvl w:val="9"/>
        <w:rPr>
          <w:rFonts w:ascii="宋体" w:hAnsi="宋体"/>
          <w:color w:val="auto"/>
          <w:szCs w:val="21"/>
        </w:rPr>
      </w:pPr>
    </w:p>
    <w:p w14:paraId="1A6D1058">
      <w:pPr>
        <w:spacing w:line="360" w:lineRule="auto"/>
        <w:ind w:firstLine="420" w:firstLineChars="200"/>
        <w:outlineLvl w:val="9"/>
        <w:rPr>
          <w:rFonts w:ascii="宋体" w:hAnsi="宋体"/>
          <w:color w:val="auto"/>
          <w:szCs w:val="21"/>
        </w:rPr>
      </w:pPr>
      <w:r>
        <w:rPr>
          <w:rFonts w:hint="eastAsia" w:ascii="宋体" w:hAnsi="宋体"/>
          <w:color w:val="auto"/>
          <w:szCs w:val="21"/>
        </w:rPr>
        <w:t>供应商：</w:t>
      </w:r>
      <w:r>
        <w:rPr>
          <w:rFonts w:hint="eastAsia" w:ascii="宋体" w:hAnsi="宋体"/>
          <w:color w:val="auto"/>
          <w:szCs w:val="21"/>
          <w:u w:val="single"/>
        </w:rPr>
        <w:t xml:space="preserve">                              </w:t>
      </w:r>
      <w:r>
        <w:rPr>
          <w:rFonts w:hint="eastAsia" w:ascii="宋体" w:hAnsi="宋体"/>
          <w:color w:val="auto"/>
          <w:szCs w:val="21"/>
        </w:rPr>
        <w:t>（全称并加盖</w:t>
      </w:r>
      <w:r>
        <w:rPr>
          <w:rFonts w:hint="eastAsia" w:ascii="宋体" w:hAnsi="宋体"/>
          <w:color w:val="auto"/>
          <w:spacing w:val="6"/>
          <w:kern w:val="0"/>
          <w:szCs w:val="21"/>
        </w:rPr>
        <w:t>电子签章</w:t>
      </w:r>
      <w:r>
        <w:rPr>
          <w:rFonts w:hint="eastAsia" w:ascii="宋体" w:hAnsi="宋体"/>
          <w:color w:val="auto"/>
          <w:szCs w:val="21"/>
        </w:rPr>
        <w:t>）</w:t>
      </w:r>
    </w:p>
    <w:p w14:paraId="23A6D777">
      <w:pPr>
        <w:spacing w:line="360" w:lineRule="auto"/>
        <w:outlineLvl w:val="9"/>
        <w:rPr>
          <w:rFonts w:ascii="宋体" w:hAnsi="宋体"/>
          <w:color w:val="auto"/>
          <w:szCs w:val="21"/>
        </w:rPr>
      </w:pPr>
      <w:r>
        <w:rPr>
          <w:rFonts w:hint="eastAsia" w:ascii="宋体" w:hAnsi="宋体"/>
          <w:color w:val="auto"/>
          <w:szCs w:val="21"/>
        </w:rPr>
        <w:t xml:space="preserve">                                 </w:t>
      </w:r>
    </w:p>
    <w:p w14:paraId="19047103">
      <w:pPr>
        <w:spacing w:line="360" w:lineRule="auto"/>
        <w:outlineLvl w:val="9"/>
        <w:rPr>
          <w:rFonts w:ascii="宋体" w:hAnsi="宋体"/>
          <w:color w:val="auto"/>
          <w:szCs w:val="21"/>
        </w:rPr>
      </w:pPr>
      <w:r>
        <w:rPr>
          <w:rFonts w:hint="eastAsia" w:ascii="宋体" w:hAnsi="宋体"/>
          <w:color w:val="auto"/>
          <w:szCs w:val="21"/>
        </w:rPr>
        <w:t xml:space="preserve"> </w:t>
      </w:r>
      <w:r>
        <w:rPr>
          <w:rFonts w:hint="eastAsia" w:ascii="宋体" w:hAnsi="宋体"/>
          <w:color w:val="auto"/>
          <w:szCs w:val="21"/>
          <w:lang w:val="en-US" w:eastAsia="zh-CN"/>
        </w:rPr>
        <w:t xml:space="preserve">  </w:t>
      </w:r>
      <w:r>
        <w:rPr>
          <w:rFonts w:hint="eastAsia" w:ascii="宋体" w:hAnsi="宋体"/>
          <w:color w:val="auto"/>
          <w:szCs w:val="21"/>
          <w:u w:val="single"/>
        </w:rPr>
        <w:t xml:space="preserve">    </w:t>
      </w:r>
      <w:r>
        <w:rPr>
          <w:rFonts w:hint="eastAsia" w:ascii="宋体" w:hAnsi="宋体"/>
          <w:color w:val="auto"/>
          <w:szCs w:val="21"/>
        </w:rPr>
        <w:t xml:space="preserve">年 </w:t>
      </w:r>
      <w:r>
        <w:rPr>
          <w:rFonts w:hint="eastAsia" w:ascii="宋体" w:hAnsi="宋体"/>
          <w:color w:val="auto"/>
          <w:szCs w:val="21"/>
          <w:u w:val="single"/>
        </w:rPr>
        <w:t xml:space="preserve">   </w:t>
      </w:r>
      <w:r>
        <w:rPr>
          <w:rFonts w:hint="eastAsia" w:ascii="宋体" w:hAnsi="宋体"/>
          <w:color w:val="auto"/>
          <w:szCs w:val="21"/>
        </w:rPr>
        <w:t xml:space="preserve">月 </w:t>
      </w:r>
      <w:r>
        <w:rPr>
          <w:rFonts w:hint="eastAsia" w:ascii="宋体" w:hAnsi="宋体"/>
          <w:color w:val="auto"/>
          <w:szCs w:val="21"/>
          <w:u w:val="single"/>
        </w:rPr>
        <w:t xml:space="preserve">   </w:t>
      </w:r>
      <w:r>
        <w:rPr>
          <w:rFonts w:hint="eastAsia" w:ascii="宋体" w:hAnsi="宋体"/>
          <w:color w:val="auto"/>
          <w:szCs w:val="21"/>
        </w:rPr>
        <w:t>日</w:t>
      </w:r>
    </w:p>
    <w:p w14:paraId="24ABA8E9">
      <w:pPr>
        <w:spacing w:line="360" w:lineRule="auto"/>
        <w:outlineLvl w:val="9"/>
        <w:rPr>
          <w:rFonts w:hint="eastAsia" w:ascii="宋体" w:hAnsi="宋体"/>
          <w:b/>
          <w:bCs/>
          <w:color w:val="auto"/>
        </w:rPr>
      </w:pPr>
      <w:r>
        <w:rPr>
          <w:rFonts w:hint="eastAsia" w:ascii="宋体" w:hAnsi="宋体"/>
          <w:b/>
          <w:bCs/>
          <w:color w:val="auto"/>
        </w:rPr>
        <w:t xml:space="preserve"> </w:t>
      </w:r>
    </w:p>
    <w:p w14:paraId="25637F14">
      <w:pPr>
        <w:spacing w:line="360" w:lineRule="auto"/>
        <w:jc w:val="center"/>
        <w:outlineLvl w:val="9"/>
        <w:rPr>
          <w:rFonts w:hint="default" w:ascii="宋体" w:hAnsi="宋体" w:eastAsia="宋体"/>
          <w:b/>
          <w:bCs/>
          <w:color w:val="auto"/>
          <w:sz w:val="32"/>
          <w:szCs w:val="36"/>
          <w:lang w:val="en-US" w:eastAsia="zh-CN"/>
        </w:rPr>
      </w:pPr>
      <w:r>
        <w:rPr>
          <w:rFonts w:hint="eastAsia" w:ascii="宋体" w:hAnsi="宋体"/>
          <w:b/>
          <w:bCs/>
          <w:color w:val="auto"/>
        </w:rPr>
        <w:br w:type="page"/>
      </w:r>
      <w:r>
        <w:rPr>
          <w:rFonts w:hint="eastAsia" w:ascii="宋体" w:hAnsi="宋体"/>
          <w:b/>
          <w:bCs/>
          <w:color w:val="auto"/>
          <w:sz w:val="32"/>
          <w:szCs w:val="36"/>
          <w:lang w:val="en-US" w:eastAsia="zh-CN"/>
        </w:rPr>
        <w:t>7.4、其他资料</w:t>
      </w:r>
    </w:p>
    <w:p w14:paraId="6CC45008">
      <w:pPr>
        <w:spacing w:line="360" w:lineRule="auto"/>
        <w:outlineLvl w:val="9"/>
        <w:rPr>
          <w:rFonts w:ascii="宋体" w:hAnsi="宋体" w:eastAsia="宋体" w:cs="Segoe UI"/>
          <w:b/>
          <w:bCs/>
          <w:color w:val="auto"/>
          <w:sz w:val="32"/>
          <w:szCs w:val="32"/>
          <w:shd w:val="clear" w:color="auto" w:fill="FFFFFF"/>
        </w:rPr>
      </w:pPr>
    </w:p>
    <w:p w14:paraId="7FF76F45">
      <w:pPr>
        <w:spacing w:line="360" w:lineRule="auto"/>
        <w:outlineLvl w:val="9"/>
        <w:rPr>
          <w:rFonts w:ascii="宋体" w:hAnsi="宋体" w:eastAsia="宋体" w:cs="Segoe UI"/>
          <w:b/>
          <w:bCs/>
          <w:color w:val="auto"/>
          <w:sz w:val="32"/>
          <w:szCs w:val="32"/>
          <w:shd w:val="clear" w:color="auto" w:fill="FFFFFF"/>
        </w:rPr>
      </w:pPr>
    </w:p>
    <w:p w14:paraId="52DF7D76">
      <w:pPr>
        <w:spacing w:line="360" w:lineRule="auto"/>
        <w:outlineLvl w:val="9"/>
        <w:rPr>
          <w:rFonts w:ascii="宋体" w:hAnsi="宋体" w:eastAsia="宋体" w:cs="宋体"/>
          <w:b/>
          <w:bCs/>
          <w:color w:val="auto"/>
          <w:sz w:val="28"/>
          <w:szCs w:val="28"/>
        </w:rPr>
      </w:pPr>
    </w:p>
    <w:p w14:paraId="29E8FE2E">
      <w:pPr>
        <w:widowControl/>
        <w:jc w:val="left"/>
        <w:outlineLvl w:val="9"/>
        <w:rPr>
          <w:rFonts w:ascii="宋体" w:hAnsi="宋体" w:eastAsia="宋体" w:cs="Segoe UI"/>
          <w:color w:val="auto"/>
          <w:shd w:val="clear" w:color="auto" w:fill="FFFFFF"/>
        </w:rPr>
      </w:pPr>
      <w:bookmarkStart w:id="118" w:name="_Toc21091"/>
      <w:r>
        <w:rPr>
          <w:rFonts w:ascii="宋体" w:hAnsi="宋体" w:eastAsia="宋体" w:cs="Segoe UI"/>
          <w:color w:val="auto"/>
          <w:shd w:val="clear" w:color="auto" w:fill="FFFFFF"/>
        </w:rPr>
        <w:br w:type="page"/>
      </w:r>
    </w:p>
    <w:p w14:paraId="39309C6C">
      <w:pPr>
        <w:spacing w:line="360" w:lineRule="auto"/>
        <w:jc w:val="center"/>
        <w:outlineLvl w:val="9"/>
        <w:rPr>
          <w:rFonts w:ascii="宋体" w:hAnsi="宋体" w:eastAsia="宋体" w:cs="Segoe UI"/>
          <w:b/>
          <w:bCs/>
          <w:color w:val="auto"/>
          <w:sz w:val="32"/>
          <w:szCs w:val="32"/>
          <w:shd w:val="clear" w:color="auto" w:fill="FFFFFF"/>
        </w:rPr>
      </w:pPr>
      <w:r>
        <w:rPr>
          <w:rFonts w:hint="eastAsia" w:ascii="宋体" w:hAnsi="宋体" w:eastAsia="宋体" w:cs="Segoe UI"/>
          <w:b/>
          <w:bCs/>
          <w:color w:val="auto"/>
          <w:sz w:val="32"/>
          <w:szCs w:val="32"/>
          <w:shd w:val="clear" w:color="auto" w:fill="FFFFFF"/>
        </w:rPr>
        <w:t xml:space="preserve">政府采购政策 </w:t>
      </w:r>
    </w:p>
    <w:p w14:paraId="46DA21A2">
      <w:pPr>
        <w:spacing w:line="360" w:lineRule="auto"/>
        <w:outlineLvl w:val="9"/>
        <w:rPr>
          <w:rFonts w:ascii="宋体" w:hAnsi="宋体"/>
          <w:color w:val="auto"/>
          <w:sz w:val="24"/>
          <w:szCs w:val="24"/>
        </w:rPr>
      </w:pPr>
      <w:r>
        <w:rPr>
          <w:rFonts w:hint="eastAsia" w:ascii="宋体" w:hAnsi="宋体"/>
          <w:color w:val="auto"/>
          <w:sz w:val="24"/>
          <w:szCs w:val="24"/>
        </w:rPr>
        <w:t>一、关于小、微企业及产品（如有）</w:t>
      </w:r>
    </w:p>
    <w:p w14:paraId="7B82AEF3">
      <w:pPr>
        <w:spacing w:line="360" w:lineRule="auto"/>
        <w:outlineLvl w:val="9"/>
        <w:rPr>
          <w:rFonts w:ascii="宋体" w:hAnsi="宋体"/>
          <w:bCs/>
          <w:color w:val="auto"/>
          <w:sz w:val="24"/>
        </w:rPr>
      </w:pPr>
      <w:r>
        <w:rPr>
          <w:rFonts w:hint="eastAsia" w:ascii="宋体" w:hAnsi="宋体"/>
          <w:bCs/>
          <w:color w:val="auto"/>
          <w:sz w:val="24"/>
        </w:rPr>
        <w:t>1、政府采购政策：</w:t>
      </w:r>
    </w:p>
    <w:p w14:paraId="597B9A6B">
      <w:pPr>
        <w:spacing w:line="360" w:lineRule="auto"/>
        <w:outlineLvl w:val="9"/>
        <w:rPr>
          <w:rFonts w:ascii="宋体" w:hAnsi="宋体"/>
          <w:color w:val="auto"/>
          <w:sz w:val="24"/>
        </w:rPr>
      </w:pPr>
      <w:r>
        <w:rPr>
          <w:rFonts w:hint="eastAsia" w:ascii="宋体" w:hAnsi="宋体"/>
          <w:color w:val="auto"/>
          <w:sz w:val="24"/>
        </w:rPr>
        <w:t>1.1《政府采购促进中小企业发展管理办法》（财库﹝2020﹞46 号）</w:t>
      </w:r>
    </w:p>
    <w:p w14:paraId="4BD33D98">
      <w:pPr>
        <w:spacing w:line="360" w:lineRule="auto"/>
        <w:outlineLvl w:val="9"/>
        <w:rPr>
          <w:color w:val="auto"/>
        </w:rPr>
      </w:pPr>
      <w:r>
        <w:rPr>
          <w:rFonts w:hint="eastAsia" w:ascii="宋体" w:hAnsi="宋体"/>
          <w:color w:val="auto"/>
          <w:sz w:val="24"/>
          <w:szCs w:val="24"/>
        </w:rPr>
        <w:t>1.2《关于进一步加大政府采购支持中小企业力度的通知》的通知（财库﹝2022﹞19号文件）</w:t>
      </w:r>
    </w:p>
    <w:p w14:paraId="76B74058">
      <w:pPr>
        <w:spacing w:line="360" w:lineRule="auto"/>
        <w:outlineLvl w:val="9"/>
        <w:rPr>
          <w:rFonts w:ascii="宋体" w:hAnsi="宋体"/>
          <w:bCs/>
          <w:color w:val="auto"/>
          <w:sz w:val="24"/>
        </w:rPr>
      </w:pPr>
      <w:r>
        <w:rPr>
          <w:rFonts w:hint="eastAsia" w:ascii="宋体" w:hAnsi="宋体"/>
          <w:bCs/>
          <w:color w:val="auto"/>
          <w:sz w:val="24"/>
        </w:rPr>
        <w:t>2、附声明函（</w:t>
      </w:r>
      <w:r>
        <w:rPr>
          <w:rFonts w:hint="eastAsia" w:ascii="宋体" w:hAnsi="宋体"/>
          <w:color w:val="auto"/>
          <w:sz w:val="24"/>
        </w:rPr>
        <w:t>无声明函投标报价评审时不予价格扣除优惠</w:t>
      </w:r>
      <w:r>
        <w:rPr>
          <w:rFonts w:hint="eastAsia" w:ascii="宋体" w:hAnsi="宋体"/>
          <w:bCs/>
          <w:color w:val="auto"/>
          <w:sz w:val="24"/>
        </w:rPr>
        <w:t>）</w:t>
      </w:r>
    </w:p>
    <w:p w14:paraId="7958B12C">
      <w:pPr>
        <w:spacing w:line="360" w:lineRule="auto"/>
        <w:outlineLvl w:val="9"/>
        <w:rPr>
          <w:color w:val="auto"/>
        </w:rPr>
      </w:pPr>
    </w:p>
    <w:p w14:paraId="4F9F8031">
      <w:pPr>
        <w:spacing w:line="360" w:lineRule="auto"/>
        <w:jc w:val="center"/>
        <w:outlineLvl w:val="9"/>
        <w:rPr>
          <w:rFonts w:ascii="宋体" w:hAnsi="宋体"/>
          <w:color w:val="auto"/>
          <w:sz w:val="30"/>
          <w:szCs w:val="30"/>
        </w:rPr>
      </w:pPr>
      <w:r>
        <w:rPr>
          <w:rFonts w:hint="eastAsia" w:ascii="宋体" w:hAnsi="宋体"/>
          <w:color w:val="auto"/>
          <w:sz w:val="30"/>
          <w:szCs w:val="30"/>
        </w:rPr>
        <w:t>中小企业声明函</w:t>
      </w:r>
    </w:p>
    <w:p w14:paraId="0365841C">
      <w:pPr>
        <w:spacing w:line="360" w:lineRule="auto"/>
        <w:ind w:firstLine="480" w:firstLineChars="200"/>
        <w:outlineLvl w:val="9"/>
        <w:rPr>
          <w:rFonts w:ascii="宋体" w:hAnsi="宋体"/>
          <w:color w:val="auto"/>
          <w:sz w:val="24"/>
        </w:rPr>
      </w:pPr>
      <w:r>
        <w:rPr>
          <w:rFonts w:hint="eastAsia" w:ascii="宋体" w:hAnsi="宋体"/>
          <w:color w:val="auto"/>
          <w:sz w:val="24"/>
        </w:rPr>
        <w:t>本公司（联合体）郑重声明，根据《政府采购促进中小企业发展管理办法》（财库﹝2020﹞46 号）的规定，本公司（联合体）参加（单位名称）的（项目名称）采购活动，服务全部由符合政策要求的中小企业承接。相关企业（含联合体中的中小企业、签订分包意向协议的中小企业）的具体情况如下：</w:t>
      </w:r>
    </w:p>
    <w:p w14:paraId="7472EC7A">
      <w:pPr>
        <w:spacing w:line="360" w:lineRule="auto"/>
        <w:ind w:firstLine="480" w:firstLineChars="200"/>
        <w:outlineLvl w:val="9"/>
        <w:rPr>
          <w:rFonts w:ascii="宋体" w:hAnsi="宋体"/>
          <w:color w:val="auto"/>
          <w:sz w:val="24"/>
        </w:rPr>
      </w:pPr>
      <w:r>
        <w:rPr>
          <w:rFonts w:hint="eastAsia" w:ascii="宋体" w:hAnsi="宋体"/>
          <w:color w:val="auto"/>
          <w:sz w:val="24"/>
        </w:rPr>
        <w:t>1.</w:t>
      </w:r>
      <w:r>
        <w:rPr>
          <w:rFonts w:hint="eastAsia" w:ascii="宋体" w:hAnsi="宋体"/>
          <w:color w:val="auto"/>
          <w:sz w:val="24"/>
          <w:u w:val="single"/>
        </w:rPr>
        <w:t xml:space="preserve">（标的名称） </w:t>
      </w:r>
      <w:r>
        <w:rPr>
          <w:rFonts w:hint="eastAsia" w:ascii="宋体" w:hAnsi="宋体"/>
          <w:color w:val="auto"/>
          <w:sz w:val="24"/>
        </w:rPr>
        <w:t>，属于</w:t>
      </w:r>
      <w:r>
        <w:rPr>
          <w:rFonts w:hint="eastAsia" w:ascii="宋体" w:hAnsi="宋体"/>
          <w:color w:val="auto"/>
          <w:sz w:val="24"/>
          <w:u w:val="single"/>
        </w:rPr>
        <w:t>（采购文件中明确的所属行业）</w:t>
      </w:r>
      <w:r>
        <w:rPr>
          <w:rFonts w:hint="eastAsia" w:ascii="宋体" w:hAnsi="宋体"/>
          <w:color w:val="auto"/>
          <w:sz w:val="24"/>
        </w:rPr>
        <w:t>；承建（承接）企业为</w:t>
      </w:r>
      <w:r>
        <w:rPr>
          <w:rFonts w:hint="eastAsia" w:ascii="宋体" w:hAnsi="宋体"/>
          <w:color w:val="auto"/>
          <w:sz w:val="24"/>
          <w:u w:val="single"/>
        </w:rPr>
        <w:t>（企业名称）</w:t>
      </w:r>
      <w:r>
        <w:rPr>
          <w:rFonts w:hint="eastAsia" w:ascii="宋体" w:hAnsi="宋体"/>
          <w:color w:val="auto"/>
          <w:sz w:val="24"/>
        </w:rPr>
        <w:t>，从业人员</w:t>
      </w:r>
      <w:r>
        <w:rPr>
          <w:rFonts w:hint="eastAsia" w:ascii="宋体" w:hAnsi="宋体"/>
          <w:color w:val="auto"/>
          <w:sz w:val="24"/>
          <w:u w:val="single"/>
        </w:rPr>
        <w:t xml:space="preserve"> </w:t>
      </w:r>
      <w:r>
        <w:rPr>
          <w:rFonts w:hint="eastAsia" w:ascii="宋体" w:hAnsi="宋体"/>
          <w:color w:val="auto"/>
          <w:sz w:val="24"/>
        </w:rPr>
        <w:t>人，营业 收入为</w:t>
      </w:r>
      <w:r>
        <w:rPr>
          <w:rFonts w:hint="eastAsia" w:ascii="宋体" w:hAnsi="宋体"/>
          <w:color w:val="auto"/>
          <w:sz w:val="24"/>
          <w:u w:val="single"/>
        </w:rPr>
        <w:t xml:space="preserve"> </w:t>
      </w:r>
      <w:r>
        <w:rPr>
          <w:rFonts w:hint="eastAsia" w:ascii="宋体" w:hAnsi="宋体"/>
          <w:color w:val="auto"/>
          <w:sz w:val="24"/>
        </w:rPr>
        <w:t>万元，资产总额为</w:t>
      </w:r>
      <w:r>
        <w:rPr>
          <w:rFonts w:hint="eastAsia" w:ascii="宋体" w:hAnsi="宋体"/>
          <w:color w:val="auto"/>
          <w:sz w:val="24"/>
          <w:u w:val="single"/>
        </w:rPr>
        <w:t xml:space="preserve"> </w:t>
      </w:r>
      <w:r>
        <w:rPr>
          <w:rFonts w:hint="eastAsia" w:ascii="宋体" w:hAnsi="宋体"/>
          <w:color w:val="auto"/>
          <w:sz w:val="24"/>
        </w:rPr>
        <w:t>万元，属于</w:t>
      </w:r>
      <w:r>
        <w:rPr>
          <w:rFonts w:hint="eastAsia" w:ascii="宋体" w:hAnsi="宋体"/>
          <w:color w:val="auto"/>
          <w:sz w:val="24"/>
          <w:u w:val="single"/>
        </w:rPr>
        <w:t>（中型企业、 小型企业、微型企业）</w:t>
      </w:r>
      <w:r>
        <w:rPr>
          <w:rFonts w:hint="eastAsia" w:ascii="宋体" w:hAnsi="宋体"/>
          <w:color w:val="auto"/>
          <w:sz w:val="24"/>
        </w:rPr>
        <w:t xml:space="preserve">； </w:t>
      </w:r>
    </w:p>
    <w:p w14:paraId="52C946CF">
      <w:pPr>
        <w:spacing w:line="360" w:lineRule="auto"/>
        <w:ind w:firstLine="480" w:firstLineChars="200"/>
        <w:outlineLvl w:val="9"/>
        <w:rPr>
          <w:rFonts w:ascii="宋体" w:hAnsi="宋体"/>
          <w:color w:val="auto"/>
          <w:sz w:val="24"/>
        </w:rPr>
      </w:pPr>
      <w:r>
        <w:rPr>
          <w:rFonts w:hint="eastAsia" w:ascii="宋体" w:hAnsi="宋体"/>
          <w:color w:val="auto"/>
          <w:sz w:val="24"/>
        </w:rPr>
        <w:t>2.</w:t>
      </w:r>
      <w:r>
        <w:rPr>
          <w:rFonts w:hint="eastAsia" w:ascii="宋体" w:hAnsi="宋体"/>
          <w:color w:val="auto"/>
          <w:sz w:val="24"/>
          <w:u w:val="single"/>
        </w:rPr>
        <w:t xml:space="preserve">（标的名称） </w:t>
      </w:r>
      <w:r>
        <w:rPr>
          <w:rFonts w:hint="eastAsia" w:ascii="宋体" w:hAnsi="宋体"/>
          <w:color w:val="auto"/>
          <w:sz w:val="24"/>
        </w:rPr>
        <w:t>，属于</w:t>
      </w:r>
      <w:r>
        <w:rPr>
          <w:rFonts w:hint="eastAsia" w:ascii="宋体" w:hAnsi="宋体"/>
          <w:color w:val="auto"/>
          <w:sz w:val="24"/>
          <w:u w:val="single"/>
        </w:rPr>
        <w:t>（采购文件中明确的所属行业）</w:t>
      </w:r>
      <w:r>
        <w:rPr>
          <w:rFonts w:hint="eastAsia" w:ascii="宋体" w:hAnsi="宋体"/>
          <w:color w:val="auto"/>
          <w:sz w:val="24"/>
        </w:rPr>
        <w:t>； 承建（承接）企业为</w:t>
      </w:r>
      <w:r>
        <w:rPr>
          <w:rFonts w:hint="eastAsia" w:ascii="宋体" w:hAnsi="宋体"/>
          <w:color w:val="auto"/>
          <w:sz w:val="24"/>
          <w:u w:val="single"/>
        </w:rPr>
        <w:t>（企业名称）</w:t>
      </w:r>
      <w:r>
        <w:rPr>
          <w:rFonts w:hint="eastAsia" w:ascii="宋体" w:hAnsi="宋体"/>
          <w:color w:val="auto"/>
          <w:sz w:val="24"/>
        </w:rPr>
        <w:t>，从业人员</w:t>
      </w:r>
      <w:r>
        <w:rPr>
          <w:rFonts w:hint="eastAsia" w:ascii="宋体" w:hAnsi="宋体"/>
          <w:color w:val="auto"/>
          <w:sz w:val="24"/>
          <w:u w:val="single"/>
        </w:rPr>
        <w:t xml:space="preserve"> </w:t>
      </w:r>
      <w:r>
        <w:rPr>
          <w:rFonts w:hint="eastAsia" w:ascii="宋体" w:hAnsi="宋体"/>
          <w:color w:val="auto"/>
          <w:sz w:val="24"/>
        </w:rPr>
        <w:t>人，营业 收入为</w:t>
      </w:r>
      <w:r>
        <w:rPr>
          <w:rFonts w:hint="eastAsia" w:ascii="宋体" w:hAnsi="宋体"/>
          <w:color w:val="auto"/>
          <w:sz w:val="24"/>
          <w:u w:val="single"/>
        </w:rPr>
        <w:t xml:space="preserve"> </w:t>
      </w:r>
      <w:r>
        <w:rPr>
          <w:rFonts w:hint="eastAsia" w:ascii="宋体" w:hAnsi="宋体"/>
          <w:color w:val="auto"/>
          <w:sz w:val="24"/>
        </w:rPr>
        <w:t>万元，资产总额为</w:t>
      </w:r>
      <w:r>
        <w:rPr>
          <w:rFonts w:hint="eastAsia" w:ascii="宋体" w:hAnsi="宋体"/>
          <w:color w:val="auto"/>
          <w:sz w:val="24"/>
          <w:u w:val="single"/>
        </w:rPr>
        <w:t xml:space="preserve"> </w:t>
      </w:r>
      <w:r>
        <w:rPr>
          <w:rFonts w:hint="eastAsia" w:ascii="宋体" w:hAnsi="宋体"/>
          <w:color w:val="auto"/>
          <w:sz w:val="24"/>
        </w:rPr>
        <w:t>万元，属于</w:t>
      </w:r>
      <w:r>
        <w:rPr>
          <w:rFonts w:hint="eastAsia" w:ascii="宋体" w:hAnsi="宋体"/>
          <w:color w:val="auto"/>
          <w:sz w:val="24"/>
          <w:u w:val="single"/>
        </w:rPr>
        <w:t>（中型企业、 小型企业、微型企业）</w:t>
      </w:r>
      <w:r>
        <w:rPr>
          <w:rFonts w:hint="eastAsia" w:ascii="宋体" w:hAnsi="宋体"/>
          <w:color w:val="auto"/>
          <w:sz w:val="24"/>
        </w:rPr>
        <w:t xml:space="preserve">； </w:t>
      </w:r>
    </w:p>
    <w:p w14:paraId="65E99A42">
      <w:pPr>
        <w:spacing w:line="360" w:lineRule="auto"/>
        <w:outlineLvl w:val="9"/>
        <w:rPr>
          <w:rFonts w:ascii="宋体" w:hAnsi="宋体"/>
          <w:color w:val="auto"/>
          <w:sz w:val="24"/>
        </w:rPr>
      </w:pPr>
      <w:r>
        <w:rPr>
          <w:rFonts w:hint="eastAsia" w:ascii="宋体" w:hAnsi="宋体"/>
          <w:color w:val="auto"/>
          <w:sz w:val="24"/>
        </w:rPr>
        <w:t>……</w:t>
      </w:r>
    </w:p>
    <w:p w14:paraId="4ED7E975">
      <w:pPr>
        <w:spacing w:line="360" w:lineRule="auto"/>
        <w:ind w:firstLine="480" w:firstLineChars="200"/>
        <w:outlineLvl w:val="9"/>
        <w:rPr>
          <w:rFonts w:ascii="宋体" w:hAnsi="宋体"/>
          <w:color w:val="auto"/>
          <w:sz w:val="24"/>
        </w:rPr>
      </w:pPr>
      <w:r>
        <w:rPr>
          <w:rFonts w:hint="eastAsia" w:ascii="宋体" w:hAnsi="宋体"/>
          <w:color w:val="auto"/>
          <w:sz w:val="24"/>
        </w:rPr>
        <w:t>以上企业，不属于大企业的分支机构，不存在控股股东为大企业的情形，也不存在与大企业的负责人为同一人的情形。本企业对上述声明内容的真实性负责。如有虚假，将依法承担相应责任。</w:t>
      </w:r>
    </w:p>
    <w:p w14:paraId="08C9EDEE">
      <w:pPr>
        <w:spacing w:line="360" w:lineRule="auto"/>
        <w:ind w:firstLine="5244" w:firstLineChars="2185"/>
        <w:outlineLvl w:val="9"/>
        <w:rPr>
          <w:rFonts w:ascii="宋体" w:hAnsi="宋体"/>
          <w:color w:val="auto"/>
          <w:sz w:val="24"/>
        </w:rPr>
      </w:pPr>
      <w:r>
        <w:rPr>
          <w:rFonts w:hint="eastAsia" w:ascii="宋体" w:hAnsi="宋体"/>
          <w:color w:val="auto"/>
          <w:sz w:val="24"/>
        </w:rPr>
        <w:t xml:space="preserve">企业名称（盖电子签章）： </w:t>
      </w:r>
    </w:p>
    <w:p w14:paraId="7EA8BF6C">
      <w:pPr>
        <w:spacing w:line="360" w:lineRule="auto"/>
        <w:ind w:firstLine="5244" w:firstLineChars="2185"/>
        <w:outlineLvl w:val="9"/>
        <w:rPr>
          <w:rFonts w:ascii="宋体" w:hAnsi="宋体"/>
          <w:color w:val="auto"/>
          <w:sz w:val="24"/>
        </w:rPr>
      </w:pPr>
      <w:r>
        <w:rPr>
          <w:rFonts w:hint="eastAsia" w:ascii="宋体" w:hAnsi="宋体"/>
          <w:color w:val="auto"/>
          <w:kern w:val="0"/>
          <w:sz w:val="24"/>
          <w:u w:val="single"/>
        </w:rPr>
        <w:t xml:space="preserve">   </w:t>
      </w:r>
      <w:r>
        <w:rPr>
          <w:rFonts w:hint="eastAsia" w:ascii="宋体" w:hAnsi="宋体"/>
          <w:color w:val="auto"/>
          <w:kern w:val="0"/>
          <w:sz w:val="24"/>
          <w:u w:val="single"/>
        </w:rPr>
        <w:tab/>
      </w:r>
      <w:r>
        <w:rPr>
          <w:rFonts w:hint="eastAsia" w:ascii="宋体" w:hAnsi="宋体"/>
          <w:color w:val="auto"/>
          <w:kern w:val="0"/>
          <w:sz w:val="24"/>
        </w:rPr>
        <w:t>年</w:t>
      </w:r>
      <w:r>
        <w:rPr>
          <w:rFonts w:hint="eastAsia" w:ascii="宋体" w:hAnsi="宋体"/>
          <w:color w:val="auto"/>
          <w:spacing w:val="43"/>
          <w:kern w:val="0"/>
          <w:sz w:val="24"/>
          <w:u w:val="single"/>
        </w:rPr>
        <w:t xml:space="preserve"> </w:t>
      </w:r>
      <w:r>
        <w:rPr>
          <w:rFonts w:hint="eastAsia" w:ascii="宋体" w:hAnsi="宋体"/>
          <w:color w:val="auto"/>
          <w:kern w:val="0"/>
          <w:sz w:val="24"/>
          <w:u w:val="single"/>
        </w:rPr>
        <w:tab/>
      </w:r>
      <w:r>
        <w:rPr>
          <w:rFonts w:hint="eastAsia" w:ascii="宋体" w:hAnsi="宋体"/>
          <w:color w:val="auto"/>
          <w:kern w:val="0"/>
          <w:sz w:val="24"/>
        </w:rPr>
        <w:t>月</w:t>
      </w:r>
      <w:r>
        <w:rPr>
          <w:rFonts w:hint="eastAsia" w:ascii="宋体" w:hAnsi="宋体"/>
          <w:color w:val="auto"/>
          <w:spacing w:val="43"/>
          <w:kern w:val="0"/>
          <w:sz w:val="24"/>
          <w:u w:val="single"/>
        </w:rPr>
        <w:t xml:space="preserve"> </w:t>
      </w:r>
      <w:r>
        <w:rPr>
          <w:rFonts w:hint="eastAsia" w:ascii="宋体" w:hAnsi="宋体"/>
          <w:color w:val="auto"/>
          <w:kern w:val="0"/>
          <w:sz w:val="24"/>
          <w:u w:val="single"/>
        </w:rPr>
        <w:tab/>
      </w:r>
      <w:r>
        <w:rPr>
          <w:rFonts w:hint="eastAsia" w:ascii="宋体" w:hAnsi="宋体"/>
          <w:color w:val="auto"/>
          <w:kern w:val="0"/>
          <w:sz w:val="24"/>
        </w:rPr>
        <w:t>日</w:t>
      </w:r>
    </w:p>
    <w:p w14:paraId="22DDFCA4">
      <w:pPr>
        <w:spacing w:line="360" w:lineRule="auto"/>
        <w:outlineLvl w:val="9"/>
        <w:rPr>
          <w:rFonts w:ascii="宋体" w:hAnsi="宋体"/>
          <w:color w:val="auto"/>
          <w:sz w:val="24"/>
          <w:vertAlign w:val="superscript"/>
        </w:rPr>
      </w:pPr>
    </w:p>
    <w:p w14:paraId="7B8EC359">
      <w:pPr>
        <w:spacing w:line="360" w:lineRule="auto"/>
        <w:outlineLvl w:val="9"/>
        <w:rPr>
          <w:rFonts w:ascii="宋体" w:hAnsi="宋体"/>
          <w:color w:val="auto"/>
          <w:sz w:val="24"/>
        </w:rPr>
      </w:pPr>
      <w:r>
        <w:rPr>
          <w:rFonts w:hint="eastAsia" w:ascii="宋体" w:hAnsi="宋体"/>
          <w:color w:val="auto"/>
          <w:sz w:val="24"/>
          <w:vertAlign w:val="superscript"/>
        </w:rPr>
        <w:t>1</w:t>
      </w:r>
      <w:r>
        <w:rPr>
          <w:rFonts w:hint="eastAsia" w:ascii="宋体" w:hAnsi="宋体"/>
          <w:color w:val="auto"/>
          <w:sz w:val="24"/>
        </w:rPr>
        <w:t>从业人员、营业收入、资产总额填报上一年度数据，无上一年度数据的新成立企业可不填报。</w:t>
      </w:r>
      <w:r>
        <w:rPr>
          <w:rFonts w:hint="eastAsia" w:ascii="宋体" w:hAnsi="宋体"/>
          <w:color w:val="auto"/>
          <w:sz w:val="24"/>
        </w:rPr>
        <w:br w:type="page"/>
      </w:r>
      <w:r>
        <w:rPr>
          <w:rFonts w:hint="eastAsia" w:ascii="宋体" w:hAnsi="宋体"/>
          <w:color w:val="auto"/>
          <w:sz w:val="24"/>
        </w:rPr>
        <w:t>二、关于节能产品、环境标志产品（如有）</w:t>
      </w:r>
    </w:p>
    <w:p w14:paraId="42BEBB0D">
      <w:pPr>
        <w:spacing w:line="360" w:lineRule="auto"/>
        <w:outlineLvl w:val="9"/>
        <w:rPr>
          <w:rFonts w:ascii="宋体" w:hAnsi="宋体"/>
          <w:b/>
          <w:bCs/>
          <w:color w:val="auto"/>
          <w:sz w:val="24"/>
        </w:rPr>
      </w:pPr>
      <w:r>
        <w:rPr>
          <w:rFonts w:hint="eastAsia" w:ascii="宋体" w:hAnsi="宋体"/>
          <w:b/>
          <w:bCs/>
          <w:color w:val="auto"/>
          <w:sz w:val="24"/>
        </w:rPr>
        <w:t>执行国家最新一期节能、环境标志产品清单及相关要求</w:t>
      </w:r>
    </w:p>
    <w:p w14:paraId="77204023">
      <w:pPr>
        <w:spacing w:line="360" w:lineRule="auto"/>
        <w:outlineLvl w:val="9"/>
        <w:rPr>
          <w:rFonts w:ascii="宋体" w:hAnsi="宋体"/>
          <w:b/>
          <w:bCs/>
          <w:color w:val="auto"/>
        </w:rPr>
      </w:pPr>
      <w:r>
        <w:rPr>
          <w:rFonts w:hint="eastAsia" w:ascii="宋体" w:hAnsi="宋体"/>
          <w:b/>
          <w:bCs/>
          <w:color w:val="auto"/>
        </w:rPr>
        <w:t xml:space="preserve"> </w:t>
      </w:r>
    </w:p>
    <w:p w14:paraId="7D447687">
      <w:pPr>
        <w:spacing w:line="360" w:lineRule="auto"/>
        <w:outlineLvl w:val="9"/>
        <w:rPr>
          <w:rFonts w:ascii="宋体" w:hAnsi="宋体"/>
          <w:b/>
          <w:bCs/>
          <w:color w:val="auto"/>
        </w:rPr>
      </w:pPr>
      <w:r>
        <w:rPr>
          <w:rFonts w:hint="eastAsia" w:ascii="宋体" w:hAnsi="宋体"/>
          <w:b/>
          <w:bCs/>
          <w:color w:val="auto"/>
        </w:rPr>
        <w:t xml:space="preserve"> </w:t>
      </w:r>
    </w:p>
    <w:p w14:paraId="1CCFFAEE">
      <w:pPr>
        <w:spacing w:line="360" w:lineRule="auto"/>
        <w:outlineLvl w:val="9"/>
        <w:rPr>
          <w:rFonts w:ascii="宋体" w:hAnsi="宋体"/>
          <w:b/>
          <w:bCs/>
          <w:color w:val="auto"/>
        </w:rPr>
      </w:pPr>
      <w:r>
        <w:rPr>
          <w:rFonts w:hint="eastAsia" w:ascii="宋体" w:hAnsi="宋体"/>
          <w:b/>
          <w:bCs/>
          <w:color w:val="auto"/>
        </w:rPr>
        <w:t xml:space="preserve"> </w:t>
      </w:r>
    </w:p>
    <w:p w14:paraId="4E21201A">
      <w:pPr>
        <w:spacing w:line="360" w:lineRule="auto"/>
        <w:outlineLvl w:val="9"/>
        <w:rPr>
          <w:rFonts w:ascii="宋体" w:hAnsi="宋体"/>
          <w:b/>
          <w:bCs/>
          <w:color w:val="auto"/>
        </w:rPr>
      </w:pPr>
      <w:r>
        <w:rPr>
          <w:rFonts w:hint="eastAsia" w:ascii="宋体" w:hAnsi="宋体"/>
          <w:b/>
          <w:bCs/>
          <w:color w:val="auto"/>
        </w:rPr>
        <w:t xml:space="preserve"> </w:t>
      </w:r>
    </w:p>
    <w:p w14:paraId="6737A012">
      <w:pPr>
        <w:spacing w:line="360" w:lineRule="auto"/>
        <w:outlineLvl w:val="9"/>
        <w:rPr>
          <w:rFonts w:ascii="宋体" w:hAnsi="宋体"/>
          <w:color w:val="auto"/>
          <w:sz w:val="24"/>
          <w:szCs w:val="24"/>
        </w:rPr>
      </w:pPr>
      <w:r>
        <w:rPr>
          <w:rFonts w:hint="eastAsia" w:ascii="宋体" w:hAnsi="宋体"/>
          <w:color w:val="auto"/>
          <w:szCs w:val="21"/>
        </w:rPr>
        <w:br w:type="page"/>
      </w:r>
      <w:r>
        <w:rPr>
          <w:rFonts w:hint="eastAsia" w:ascii="宋体" w:hAnsi="宋体"/>
          <w:color w:val="auto"/>
          <w:sz w:val="24"/>
          <w:szCs w:val="24"/>
        </w:rPr>
        <w:t>三、关于监狱企业（如有）</w:t>
      </w:r>
    </w:p>
    <w:p w14:paraId="70610D38">
      <w:pPr>
        <w:spacing w:line="360" w:lineRule="auto"/>
        <w:outlineLvl w:val="9"/>
        <w:rPr>
          <w:rFonts w:ascii="宋体" w:hAnsi="宋体"/>
          <w:b/>
          <w:bCs/>
          <w:color w:val="auto"/>
          <w:sz w:val="24"/>
        </w:rPr>
      </w:pPr>
      <w:r>
        <w:rPr>
          <w:rFonts w:hint="eastAsia" w:ascii="宋体" w:hAnsi="宋体"/>
          <w:b/>
          <w:bCs/>
          <w:color w:val="auto"/>
          <w:sz w:val="24"/>
        </w:rPr>
        <w:t>1、政府采购政策</w:t>
      </w:r>
    </w:p>
    <w:p w14:paraId="7BF157F7">
      <w:pPr>
        <w:spacing w:line="360" w:lineRule="auto"/>
        <w:ind w:firstLine="480" w:firstLineChars="200"/>
        <w:outlineLvl w:val="9"/>
        <w:rPr>
          <w:rFonts w:ascii="宋体" w:hAnsi="宋体"/>
          <w:color w:val="auto"/>
          <w:kern w:val="0"/>
          <w:sz w:val="24"/>
        </w:rPr>
      </w:pPr>
      <w:r>
        <w:rPr>
          <w:rFonts w:hint="eastAsia" w:ascii="宋体" w:hAnsi="宋体"/>
          <w:color w:val="auto"/>
          <w:kern w:val="0"/>
          <w:sz w:val="24"/>
        </w:rPr>
        <w:t>财政部、司法部关于政府采购支持监狱企业发展有关问题的通知（财库【2014】68号）</w:t>
      </w:r>
    </w:p>
    <w:p w14:paraId="4EEAC649">
      <w:pPr>
        <w:spacing w:line="360" w:lineRule="auto"/>
        <w:outlineLvl w:val="9"/>
        <w:rPr>
          <w:rFonts w:ascii="宋体" w:hAnsi="宋体"/>
          <w:color w:val="auto"/>
          <w:kern w:val="0"/>
          <w:sz w:val="24"/>
        </w:rPr>
      </w:pPr>
      <w:r>
        <w:rPr>
          <w:rFonts w:hint="eastAsia" w:ascii="宋体" w:hAnsi="宋体"/>
          <w:color w:val="auto"/>
          <w:kern w:val="0"/>
          <w:sz w:val="24"/>
        </w:rPr>
        <w:t xml:space="preserve"> </w:t>
      </w:r>
    </w:p>
    <w:p w14:paraId="2642BA4E">
      <w:pPr>
        <w:spacing w:line="360" w:lineRule="auto"/>
        <w:outlineLvl w:val="9"/>
        <w:rPr>
          <w:rFonts w:ascii="宋体" w:hAnsi="宋体"/>
          <w:b/>
          <w:bCs/>
          <w:color w:val="auto"/>
          <w:sz w:val="24"/>
        </w:rPr>
      </w:pPr>
      <w:r>
        <w:rPr>
          <w:rFonts w:hint="eastAsia" w:ascii="宋体" w:hAnsi="宋体"/>
          <w:b/>
          <w:bCs/>
          <w:color w:val="auto"/>
          <w:sz w:val="24"/>
        </w:rPr>
        <w:t>2、附证明材料</w:t>
      </w:r>
    </w:p>
    <w:p w14:paraId="0A8A0740">
      <w:pPr>
        <w:spacing w:line="360" w:lineRule="auto"/>
        <w:ind w:firstLine="480" w:firstLineChars="200"/>
        <w:outlineLvl w:val="9"/>
        <w:rPr>
          <w:rFonts w:ascii="宋体" w:hAnsi="宋体"/>
          <w:color w:val="auto"/>
          <w:sz w:val="24"/>
        </w:rPr>
      </w:pPr>
      <w:r>
        <w:rPr>
          <w:rFonts w:hint="eastAsia" w:ascii="宋体" w:hAnsi="宋体"/>
          <w:color w:val="auto"/>
          <w:sz w:val="24"/>
        </w:rPr>
        <w:t>提供由省级以上监狱管理局、戒毒管理局（含新疆生产建设兵团）出具的属于监狱企业的证明文件，否则投标报价评审时不予价格扣除优惠。</w:t>
      </w:r>
    </w:p>
    <w:p w14:paraId="02088AD5">
      <w:pPr>
        <w:spacing w:line="360" w:lineRule="auto"/>
        <w:outlineLvl w:val="9"/>
        <w:rPr>
          <w:rFonts w:ascii="宋体" w:hAnsi="宋体"/>
          <w:color w:val="auto"/>
          <w:sz w:val="24"/>
          <w:szCs w:val="24"/>
        </w:rPr>
      </w:pPr>
      <w:r>
        <w:rPr>
          <w:rFonts w:hint="eastAsia" w:ascii="宋体" w:hAnsi="宋体"/>
          <w:color w:val="auto"/>
          <w:sz w:val="24"/>
          <w:szCs w:val="24"/>
        </w:rPr>
        <w:br w:type="page"/>
      </w:r>
      <w:r>
        <w:rPr>
          <w:rFonts w:hint="eastAsia" w:ascii="宋体" w:hAnsi="宋体"/>
          <w:color w:val="auto"/>
          <w:sz w:val="24"/>
          <w:szCs w:val="24"/>
        </w:rPr>
        <w:t>四、关于促进残疾人就业的政府采购政策（如有）</w:t>
      </w:r>
    </w:p>
    <w:p w14:paraId="0474222F">
      <w:pPr>
        <w:spacing w:line="360" w:lineRule="auto"/>
        <w:outlineLvl w:val="9"/>
        <w:rPr>
          <w:rFonts w:ascii="宋体" w:hAnsi="宋体"/>
          <w:color w:val="auto"/>
          <w:sz w:val="24"/>
        </w:rPr>
      </w:pPr>
      <w:r>
        <w:rPr>
          <w:rFonts w:hint="eastAsia" w:ascii="宋体" w:hAnsi="宋体"/>
          <w:color w:val="auto"/>
          <w:sz w:val="24"/>
        </w:rPr>
        <w:t xml:space="preserve"> </w:t>
      </w:r>
    </w:p>
    <w:p w14:paraId="07DC2737">
      <w:pPr>
        <w:spacing w:line="360" w:lineRule="auto"/>
        <w:outlineLvl w:val="9"/>
        <w:rPr>
          <w:rFonts w:ascii="宋体" w:hAnsi="宋体"/>
          <w:b/>
          <w:bCs/>
          <w:color w:val="auto"/>
          <w:sz w:val="24"/>
        </w:rPr>
      </w:pPr>
      <w:r>
        <w:rPr>
          <w:rFonts w:hint="eastAsia" w:ascii="宋体" w:hAnsi="宋体"/>
          <w:b/>
          <w:bCs/>
          <w:color w:val="auto"/>
          <w:sz w:val="24"/>
        </w:rPr>
        <w:t>政府采购政策</w:t>
      </w:r>
    </w:p>
    <w:p w14:paraId="59431C5C">
      <w:pPr>
        <w:spacing w:line="360" w:lineRule="auto"/>
        <w:outlineLvl w:val="9"/>
        <w:rPr>
          <w:rFonts w:ascii="宋体" w:hAnsi="宋体"/>
          <w:color w:val="auto"/>
          <w:spacing w:val="6"/>
          <w:sz w:val="24"/>
        </w:rPr>
      </w:pPr>
      <w:r>
        <w:rPr>
          <w:rFonts w:hint="eastAsia" w:ascii="宋体" w:hAnsi="宋体"/>
          <w:color w:val="auto"/>
          <w:spacing w:val="6"/>
          <w:sz w:val="24"/>
        </w:rPr>
        <w:t>关于促进残疾人就业政府采购政策的通知（财库〔2017〕141号）</w:t>
      </w:r>
    </w:p>
    <w:p w14:paraId="74A32282">
      <w:pPr>
        <w:spacing w:line="360" w:lineRule="auto"/>
        <w:outlineLvl w:val="9"/>
        <w:rPr>
          <w:rFonts w:ascii="宋体" w:hAnsi="宋体"/>
          <w:color w:val="auto"/>
          <w:kern w:val="0"/>
          <w:sz w:val="24"/>
        </w:rPr>
      </w:pPr>
      <w:r>
        <w:rPr>
          <w:rFonts w:hint="eastAsia" w:ascii="宋体" w:hAnsi="宋体"/>
          <w:b/>
          <w:bCs/>
          <w:color w:val="auto"/>
          <w:kern w:val="0"/>
          <w:sz w:val="24"/>
        </w:rPr>
        <w:t xml:space="preserve"> </w:t>
      </w:r>
    </w:p>
    <w:p w14:paraId="54B50331">
      <w:pPr>
        <w:spacing w:line="360" w:lineRule="auto"/>
        <w:outlineLvl w:val="9"/>
        <w:rPr>
          <w:rFonts w:ascii="宋体" w:hAnsi="宋体"/>
          <w:b/>
          <w:bCs/>
          <w:color w:val="auto"/>
          <w:kern w:val="0"/>
          <w:sz w:val="24"/>
        </w:rPr>
      </w:pPr>
      <w:r>
        <w:rPr>
          <w:rFonts w:hint="eastAsia" w:ascii="宋体" w:hAnsi="宋体"/>
          <w:b/>
          <w:bCs/>
          <w:color w:val="auto"/>
          <w:kern w:val="0"/>
          <w:sz w:val="24"/>
        </w:rPr>
        <w:t>2、附声明函（</w:t>
      </w:r>
      <w:r>
        <w:rPr>
          <w:rFonts w:hint="eastAsia" w:ascii="宋体" w:hAnsi="宋体"/>
          <w:color w:val="auto"/>
          <w:sz w:val="24"/>
        </w:rPr>
        <w:t>无声明函投标报价评审时不予价格扣除优惠</w:t>
      </w:r>
      <w:r>
        <w:rPr>
          <w:rFonts w:hint="eastAsia" w:ascii="宋体" w:hAnsi="宋体"/>
          <w:b/>
          <w:bCs/>
          <w:color w:val="auto"/>
          <w:kern w:val="0"/>
          <w:sz w:val="24"/>
        </w:rPr>
        <w:t>）</w:t>
      </w:r>
    </w:p>
    <w:p w14:paraId="575698CB">
      <w:pPr>
        <w:spacing w:line="360" w:lineRule="auto"/>
        <w:outlineLvl w:val="9"/>
        <w:rPr>
          <w:rFonts w:ascii="宋体" w:hAnsi="宋体"/>
          <w:color w:val="auto"/>
          <w:kern w:val="0"/>
          <w:sz w:val="24"/>
        </w:rPr>
      </w:pPr>
      <w:r>
        <w:rPr>
          <w:rFonts w:hint="eastAsia" w:ascii="宋体" w:hAnsi="宋体"/>
          <w:color w:val="auto"/>
          <w:kern w:val="0"/>
          <w:sz w:val="24"/>
        </w:rPr>
        <w:t xml:space="preserve"> </w:t>
      </w:r>
    </w:p>
    <w:p w14:paraId="1FCC6EC7">
      <w:pPr>
        <w:spacing w:line="360" w:lineRule="auto"/>
        <w:outlineLvl w:val="9"/>
        <w:rPr>
          <w:rFonts w:ascii="宋体" w:hAnsi="宋体"/>
          <w:b/>
          <w:bCs/>
          <w:color w:val="auto"/>
          <w:spacing w:val="6"/>
          <w:sz w:val="24"/>
        </w:rPr>
      </w:pPr>
      <w:r>
        <w:rPr>
          <w:rFonts w:hint="eastAsia" w:ascii="宋体" w:hAnsi="宋体"/>
          <w:b/>
          <w:bCs/>
          <w:color w:val="auto"/>
          <w:spacing w:val="6"/>
          <w:sz w:val="24"/>
        </w:rPr>
        <w:t xml:space="preserve"> </w:t>
      </w:r>
    </w:p>
    <w:p w14:paraId="363171EA">
      <w:pPr>
        <w:spacing w:line="360" w:lineRule="auto"/>
        <w:jc w:val="center"/>
        <w:outlineLvl w:val="9"/>
        <w:rPr>
          <w:rFonts w:hint="eastAsia" w:ascii="宋体" w:hAnsi="宋体" w:eastAsia="宋体"/>
          <w:b/>
          <w:bCs/>
          <w:color w:val="auto"/>
          <w:spacing w:val="6"/>
          <w:sz w:val="24"/>
          <w:lang w:eastAsia="zh-CN"/>
        </w:rPr>
      </w:pPr>
      <w:r>
        <w:rPr>
          <w:rFonts w:hint="eastAsia" w:ascii="宋体" w:hAnsi="宋体"/>
          <w:b/>
          <w:bCs/>
          <w:color w:val="auto"/>
          <w:spacing w:val="6"/>
          <w:sz w:val="24"/>
        </w:rPr>
        <w:t>残疾人福利性单位声明函</w:t>
      </w:r>
      <w:r>
        <w:rPr>
          <w:rFonts w:hint="eastAsia" w:ascii="宋体" w:hAnsi="宋体"/>
          <w:b/>
          <w:bCs/>
          <w:color w:val="auto"/>
          <w:spacing w:val="6"/>
          <w:sz w:val="24"/>
          <w:lang w:eastAsia="zh-CN"/>
        </w:rPr>
        <w:t>（如有）</w:t>
      </w:r>
    </w:p>
    <w:p w14:paraId="0B3A5686">
      <w:pPr>
        <w:spacing w:line="360" w:lineRule="auto"/>
        <w:outlineLvl w:val="9"/>
        <w:rPr>
          <w:color w:val="auto"/>
          <w:sz w:val="24"/>
        </w:rPr>
      </w:pPr>
    </w:p>
    <w:p w14:paraId="2E0A1DB0">
      <w:pPr>
        <w:spacing w:line="360" w:lineRule="auto"/>
        <w:outlineLvl w:val="9"/>
        <w:rPr>
          <w:rFonts w:ascii="宋体" w:hAnsi="宋体"/>
          <w:b/>
          <w:bCs/>
          <w:color w:val="auto"/>
          <w:spacing w:val="6"/>
          <w:sz w:val="24"/>
        </w:rPr>
      </w:pPr>
      <w:r>
        <w:rPr>
          <w:rFonts w:hint="eastAsia" w:ascii="宋体" w:hAnsi="宋体"/>
          <w:b/>
          <w:bCs/>
          <w:color w:val="auto"/>
          <w:spacing w:val="6"/>
          <w:sz w:val="24"/>
        </w:rPr>
        <w:t xml:space="preserve"> </w:t>
      </w:r>
    </w:p>
    <w:p w14:paraId="704F73B5">
      <w:pPr>
        <w:spacing w:line="360" w:lineRule="auto"/>
        <w:ind w:firstLine="504" w:firstLineChars="200"/>
        <w:outlineLvl w:val="9"/>
        <w:rPr>
          <w:rFonts w:ascii="宋体" w:hAnsi="宋体"/>
          <w:color w:val="auto"/>
          <w:spacing w:val="6"/>
          <w:sz w:val="24"/>
        </w:rPr>
      </w:pPr>
      <w:r>
        <w:rPr>
          <w:rFonts w:hint="eastAsia" w:ascii="宋体" w:hAnsi="宋体"/>
          <w:color w:val="auto"/>
          <w:spacing w:val="6"/>
          <w:sz w:val="24"/>
        </w:rPr>
        <w:t>本单位郑重声明，根据《财政部 民政部 中国残疾人联合会关于促进残疾人就业政府采购政策的通知》（财库</w:t>
      </w:r>
      <w:r>
        <w:rPr>
          <w:rFonts w:hint="eastAsia" w:ascii="宋体" w:hAnsi="宋体"/>
          <w:color w:val="auto"/>
          <w:sz w:val="24"/>
        </w:rPr>
        <w:t>〔2017〕141</w:t>
      </w:r>
      <w:r>
        <w:rPr>
          <w:rFonts w:hint="eastAsia" w:ascii="宋体" w:hAnsi="宋体"/>
          <w:color w:val="auto"/>
          <w:spacing w:val="6"/>
          <w:sz w:val="24"/>
        </w:rPr>
        <w:t>号）的规定，本单位为符合条件的残疾人福利性单位，且本单位参加__________________单位的______________________项目采购活动提供本单位制造的货物（由本单位承担工程/提供服务），或者提供其他残疾人福利性单位制造的货物（不包括使用非残疾人福利性单位注册商标的货物）。</w:t>
      </w:r>
    </w:p>
    <w:p w14:paraId="62B8436F">
      <w:pPr>
        <w:spacing w:line="360" w:lineRule="auto"/>
        <w:outlineLvl w:val="9"/>
        <w:rPr>
          <w:rFonts w:ascii="宋体" w:hAnsi="宋体"/>
          <w:color w:val="auto"/>
          <w:spacing w:val="6"/>
          <w:sz w:val="24"/>
        </w:rPr>
      </w:pPr>
      <w:r>
        <w:rPr>
          <w:rFonts w:hint="eastAsia" w:ascii="宋体" w:hAnsi="宋体"/>
          <w:color w:val="auto"/>
          <w:spacing w:val="6"/>
          <w:sz w:val="24"/>
        </w:rPr>
        <w:t>本单位对上述声明的真实性负责。如有虚假，将依法承担相应责任。</w:t>
      </w:r>
    </w:p>
    <w:p w14:paraId="741F2948">
      <w:pPr>
        <w:spacing w:line="360" w:lineRule="auto"/>
        <w:outlineLvl w:val="9"/>
        <w:rPr>
          <w:rFonts w:ascii="宋体" w:hAnsi="宋体"/>
          <w:color w:val="auto"/>
          <w:spacing w:val="6"/>
          <w:sz w:val="24"/>
        </w:rPr>
      </w:pPr>
      <w:r>
        <w:rPr>
          <w:rFonts w:hint="eastAsia" w:ascii="宋体" w:hAnsi="宋体"/>
          <w:color w:val="auto"/>
          <w:spacing w:val="6"/>
          <w:sz w:val="24"/>
        </w:rPr>
        <w:t xml:space="preserve"> </w:t>
      </w:r>
    </w:p>
    <w:p w14:paraId="4D9E0252">
      <w:pPr>
        <w:spacing w:line="360" w:lineRule="auto"/>
        <w:outlineLvl w:val="9"/>
        <w:rPr>
          <w:rFonts w:ascii="宋体" w:hAnsi="宋体"/>
          <w:color w:val="auto"/>
          <w:kern w:val="0"/>
          <w:position w:val="-2"/>
          <w:sz w:val="24"/>
        </w:rPr>
      </w:pPr>
      <w:r>
        <w:rPr>
          <w:rFonts w:hint="eastAsia" w:ascii="宋体" w:hAnsi="宋体"/>
          <w:color w:val="auto"/>
          <w:kern w:val="0"/>
          <w:position w:val="-2"/>
          <w:sz w:val="24"/>
        </w:rPr>
        <w:t xml:space="preserve"> </w:t>
      </w:r>
    </w:p>
    <w:p w14:paraId="3B65A4B3">
      <w:pPr>
        <w:spacing w:line="360" w:lineRule="auto"/>
        <w:outlineLvl w:val="9"/>
        <w:rPr>
          <w:rFonts w:ascii="宋体" w:hAnsi="宋体"/>
          <w:color w:val="auto"/>
          <w:kern w:val="0"/>
          <w:position w:val="-2"/>
          <w:sz w:val="24"/>
        </w:rPr>
      </w:pPr>
      <w:r>
        <w:rPr>
          <w:rFonts w:hint="eastAsia" w:ascii="宋体" w:hAnsi="宋体"/>
          <w:color w:val="auto"/>
          <w:kern w:val="0"/>
          <w:position w:val="-2"/>
          <w:sz w:val="24"/>
        </w:rPr>
        <w:t xml:space="preserve"> </w:t>
      </w:r>
    </w:p>
    <w:p w14:paraId="254EA17F">
      <w:pPr>
        <w:spacing w:line="360" w:lineRule="auto"/>
        <w:outlineLvl w:val="9"/>
        <w:rPr>
          <w:rFonts w:ascii="宋体" w:hAnsi="宋体"/>
          <w:color w:val="auto"/>
          <w:kern w:val="0"/>
          <w:sz w:val="24"/>
        </w:rPr>
      </w:pPr>
      <w:r>
        <w:rPr>
          <w:rFonts w:hint="eastAsia" w:ascii="宋体" w:hAnsi="宋体"/>
          <w:color w:val="auto"/>
          <w:kern w:val="0"/>
          <w:position w:val="-2"/>
          <w:sz w:val="24"/>
        </w:rPr>
        <w:t>供应商</w:t>
      </w:r>
      <w:r>
        <w:rPr>
          <w:rFonts w:hint="eastAsia" w:ascii="宋体" w:hAnsi="宋体"/>
          <w:color w:val="auto"/>
          <w:spacing w:val="-2"/>
          <w:kern w:val="0"/>
          <w:position w:val="-2"/>
          <w:sz w:val="24"/>
        </w:rPr>
        <w:t>：</w:t>
      </w:r>
      <w:r>
        <w:rPr>
          <w:rFonts w:hint="eastAsia" w:ascii="宋体" w:hAnsi="宋体"/>
          <w:color w:val="auto"/>
          <w:spacing w:val="43"/>
          <w:kern w:val="0"/>
          <w:position w:val="-2"/>
          <w:sz w:val="24"/>
          <w:u w:val="single"/>
        </w:rPr>
        <w:t xml:space="preserve">         </w:t>
      </w:r>
      <w:r>
        <w:rPr>
          <w:rFonts w:hint="eastAsia" w:ascii="宋体" w:hAnsi="宋体"/>
          <w:color w:val="auto"/>
          <w:sz w:val="24"/>
        </w:rPr>
        <w:t>（盖电子签章）</w:t>
      </w:r>
    </w:p>
    <w:p w14:paraId="1ACD7B8D">
      <w:pPr>
        <w:spacing w:line="360" w:lineRule="auto"/>
        <w:outlineLvl w:val="9"/>
        <w:rPr>
          <w:rFonts w:ascii="宋体" w:hAnsi="宋体"/>
          <w:color w:val="auto"/>
          <w:kern w:val="0"/>
          <w:sz w:val="24"/>
        </w:rPr>
      </w:pPr>
      <w:r>
        <w:rPr>
          <w:rFonts w:hint="eastAsia" w:ascii="宋体" w:hAnsi="宋体"/>
          <w:color w:val="auto"/>
          <w:kern w:val="0"/>
          <w:sz w:val="24"/>
        </w:rPr>
        <w:t xml:space="preserve"> </w:t>
      </w:r>
    </w:p>
    <w:p w14:paraId="10780904">
      <w:pPr>
        <w:spacing w:line="360" w:lineRule="auto"/>
        <w:outlineLvl w:val="9"/>
        <w:rPr>
          <w:rFonts w:ascii="宋体" w:hAnsi="宋体"/>
          <w:color w:val="auto"/>
          <w:kern w:val="0"/>
          <w:position w:val="-2"/>
          <w:sz w:val="24"/>
        </w:rPr>
      </w:pPr>
      <w:r>
        <w:rPr>
          <w:rFonts w:hint="eastAsia" w:ascii="宋体" w:hAnsi="宋体"/>
          <w:color w:val="auto"/>
          <w:kern w:val="0"/>
          <w:position w:val="-2"/>
          <w:sz w:val="24"/>
          <w:u w:val="single"/>
        </w:rPr>
        <w:t xml:space="preserve">      </w:t>
      </w:r>
      <w:r>
        <w:rPr>
          <w:rFonts w:hint="eastAsia" w:ascii="宋体" w:hAnsi="宋体"/>
          <w:color w:val="auto"/>
          <w:kern w:val="0"/>
          <w:position w:val="-2"/>
          <w:sz w:val="24"/>
        </w:rPr>
        <w:t>年</w:t>
      </w:r>
      <w:r>
        <w:rPr>
          <w:rFonts w:hint="eastAsia" w:ascii="宋体" w:hAnsi="宋体"/>
          <w:color w:val="auto"/>
          <w:kern w:val="0"/>
          <w:position w:val="-2"/>
          <w:sz w:val="24"/>
          <w:u w:val="single"/>
        </w:rPr>
        <w:t xml:space="preserve">     </w:t>
      </w:r>
      <w:r>
        <w:rPr>
          <w:rFonts w:hint="eastAsia" w:ascii="宋体" w:hAnsi="宋体"/>
          <w:color w:val="auto"/>
          <w:kern w:val="0"/>
          <w:position w:val="-2"/>
          <w:sz w:val="24"/>
        </w:rPr>
        <w:t>月</w:t>
      </w:r>
      <w:r>
        <w:rPr>
          <w:rFonts w:hint="eastAsia" w:ascii="宋体" w:hAnsi="宋体"/>
          <w:color w:val="auto"/>
          <w:kern w:val="0"/>
          <w:position w:val="-2"/>
          <w:sz w:val="24"/>
          <w:u w:val="single"/>
        </w:rPr>
        <w:t xml:space="preserve">    </w:t>
      </w:r>
      <w:r>
        <w:rPr>
          <w:rFonts w:hint="eastAsia" w:ascii="宋体" w:hAnsi="宋体"/>
          <w:color w:val="auto"/>
          <w:kern w:val="0"/>
          <w:position w:val="-2"/>
          <w:sz w:val="24"/>
        </w:rPr>
        <w:t>日</w:t>
      </w:r>
    </w:p>
    <w:p w14:paraId="0D80E6D7">
      <w:pPr>
        <w:spacing w:line="360" w:lineRule="auto"/>
        <w:outlineLvl w:val="9"/>
        <w:rPr>
          <w:rFonts w:ascii="宋体" w:hAnsi="宋体"/>
          <w:color w:val="auto"/>
          <w:sz w:val="24"/>
        </w:rPr>
      </w:pPr>
      <w:r>
        <w:rPr>
          <w:rFonts w:hint="eastAsia" w:ascii="宋体" w:hAnsi="宋体"/>
          <w:color w:val="auto"/>
          <w:sz w:val="24"/>
        </w:rPr>
        <w:t xml:space="preserve"> </w:t>
      </w:r>
    </w:p>
    <w:p w14:paraId="36D8638D">
      <w:pPr>
        <w:spacing w:line="360" w:lineRule="auto"/>
        <w:outlineLvl w:val="9"/>
        <w:rPr>
          <w:rFonts w:ascii="宋体" w:hAnsi="宋体"/>
          <w:color w:val="auto"/>
          <w:sz w:val="24"/>
        </w:rPr>
      </w:pPr>
      <w:r>
        <w:rPr>
          <w:rFonts w:hint="eastAsia" w:ascii="宋体" w:hAnsi="宋体"/>
          <w:color w:val="auto"/>
          <w:sz w:val="24"/>
        </w:rPr>
        <w:t xml:space="preserve"> </w:t>
      </w:r>
    </w:p>
    <w:p w14:paraId="41253ABA">
      <w:pPr>
        <w:spacing w:line="360" w:lineRule="auto"/>
        <w:outlineLvl w:val="9"/>
        <w:rPr>
          <w:rFonts w:ascii="宋体" w:hAnsi="宋体"/>
          <w:color w:val="auto"/>
          <w:sz w:val="24"/>
          <w:szCs w:val="24"/>
        </w:rPr>
      </w:pPr>
      <w:r>
        <w:rPr>
          <w:rFonts w:hint="eastAsia" w:ascii="宋体" w:hAnsi="宋体"/>
          <w:color w:val="auto"/>
          <w:szCs w:val="21"/>
        </w:rPr>
        <w:br w:type="page"/>
      </w:r>
      <w:r>
        <w:rPr>
          <w:rFonts w:hint="eastAsia" w:ascii="宋体" w:hAnsi="宋体"/>
          <w:color w:val="auto"/>
          <w:sz w:val="24"/>
          <w:szCs w:val="24"/>
        </w:rPr>
        <w:t>五、其他政府采购政策及证明材料（如有）</w:t>
      </w:r>
    </w:p>
    <w:p w14:paraId="6B7D632F">
      <w:pPr>
        <w:spacing w:line="360" w:lineRule="auto"/>
        <w:outlineLvl w:val="9"/>
        <w:rPr>
          <w:rFonts w:ascii="宋体" w:hAnsi="宋体"/>
          <w:color w:val="auto"/>
        </w:rPr>
      </w:pPr>
      <w:r>
        <w:rPr>
          <w:rFonts w:hint="eastAsia" w:ascii="宋体" w:hAnsi="宋体"/>
          <w:color w:val="auto"/>
        </w:rPr>
        <w:t xml:space="preserve"> </w:t>
      </w:r>
    </w:p>
    <w:p w14:paraId="38807A3C">
      <w:pPr>
        <w:spacing w:line="360" w:lineRule="auto"/>
        <w:outlineLvl w:val="9"/>
        <w:rPr>
          <w:rFonts w:ascii="宋体" w:hAnsi="宋体"/>
          <w:color w:val="auto"/>
        </w:rPr>
      </w:pPr>
      <w:r>
        <w:rPr>
          <w:rFonts w:hint="eastAsia" w:ascii="宋体" w:hAnsi="宋体"/>
          <w:color w:val="auto"/>
        </w:rPr>
        <w:t xml:space="preserve"> </w:t>
      </w:r>
    </w:p>
    <w:p w14:paraId="307000A8">
      <w:pPr>
        <w:spacing w:line="360" w:lineRule="auto"/>
        <w:outlineLvl w:val="9"/>
        <w:rPr>
          <w:rFonts w:ascii="宋体" w:hAnsi="宋体"/>
          <w:color w:val="auto"/>
        </w:rPr>
      </w:pPr>
      <w:r>
        <w:rPr>
          <w:rFonts w:hint="eastAsia" w:ascii="宋体" w:hAnsi="宋体"/>
          <w:color w:val="auto"/>
        </w:rPr>
        <w:t xml:space="preserve"> </w:t>
      </w:r>
    </w:p>
    <w:p w14:paraId="4E6BF8C0">
      <w:pPr>
        <w:spacing w:line="360" w:lineRule="auto"/>
        <w:outlineLvl w:val="9"/>
        <w:rPr>
          <w:rFonts w:ascii="宋体" w:hAnsi="宋体"/>
          <w:color w:val="auto"/>
        </w:rPr>
      </w:pPr>
      <w:r>
        <w:rPr>
          <w:rFonts w:hint="eastAsia" w:ascii="宋体" w:hAnsi="宋体"/>
          <w:color w:val="auto"/>
        </w:rPr>
        <w:t xml:space="preserve"> </w:t>
      </w:r>
    </w:p>
    <w:p w14:paraId="62320CD9">
      <w:pPr>
        <w:spacing w:line="360" w:lineRule="auto"/>
        <w:outlineLvl w:val="9"/>
        <w:rPr>
          <w:rFonts w:ascii="宋体" w:hAnsi="宋体"/>
          <w:color w:val="auto"/>
        </w:rPr>
      </w:pPr>
      <w:r>
        <w:rPr>
          <w:rFonts w:hint="eastAsia" w:ascii="宋体" w:hAnsi="宋体"/>
          <w:color w:val="auto"/>
        </w:rPr>
        <w:t xml:space="preserve"> </w:t>
      </w:r>
    </w:p>
    <w:p w14:paraId="3E77EFB2">
      <w:pPr>
        <w:spacing w:line="360" w:lineRule="auto"/>
        <w:outlineLvl w:val="9"/>
        <w:rPr>
          <w:rFonts w:ascii="宋体" w:hAnsi="宋体"/>
          <w:color w:val="auto"/>
        </w:rPr>
      </w:pPr>
      <w:r>
        <w:rPr>
          <w:rFonts w:hint="eastAsia" w:ascii="宋体" w:hAnsi="宋体"/>
          <w:color w:val="auto"/>
        </w:rPr>
        <w:t xml:space="preserve"> </w:t>
      </w:r>
    </w:p>
    <w:p w14:paraId="6BD821A2">
      <w:pPr>
        <w:spacing w:line="360" w:lineRule="auto"/>
        <w:outlineLvl w:val="9"/>
        <w:rPr>
          <w:rFonts w:ascii="宋体" w:hAnsi="宋体"/>
          <w:color w:val="auto"/>
        </w:rPr>
      </w:pPr>
      <w:r>
        <w:rPr>
          <w:rFonts w:hint="eastAsia" w:ascii="宋体" w:hAnsi="宋体"/>
          <w:color w:val="auto"/>
        </w:rPr>
        <w:t xml:space="preserve"> </w:t>
      </w:r>
    </w:p>
    <w:p w14:paraId="49AEED60">
      <w:pPr>
        <w:spacing w:line="360" w:lineRule="auto"/>
        <w:outlineLvl w:val="9"/>
        <w:rPr>
          <w:rFonts w:ascii="宋体" w:hAnsi="宋体"/>
          <w:color w:val="auto"/>
        </w:rPr>
      </w:pPr>
      <w:r>
        <w:rPr>
          <w:rFonts w:hint="eastAsia" w:ascii="宋体" w:hAnsi="宋体"/>
          <w:color w:val="auto"/>
        </w:rPr>
        <w:t xml:space="preserve"> </w:t>
      </w:r>
    </w:p>
    <w:p w14:paraId="2D5C5BA7">
      <w:pPr>
        <w:spacing w:line="360" w:lineRule="auto"/>
        <w:outlineLvl w:val="9"/>
        <w:rPr>
          <w:rFonts w:ascii="宋体" w:hAnsi="宋体"/>
          <w:b/>
          <w:bCs/>
          <w:color w:val="auto"/>
        </w:rPr>
      </w:pPr>
      <w:r>
        <w:rPr>
          <w:rFonts w:hint="eastAsia" w:ascii="宋体" w:hAnsi="宋体"/>
          <w:b/>
          <w:bCs/>
          <w:color w:val="auto"/>
        </w:rPr>
        <w:t xml:space="preserve"> </w:t>
      </w:r>
    </w:p>
    <w:p w14:paraId="605B4D95">
      <w:pPr>
        <w:spacing w:line="360" w:lineRule="auto"/>
        <w:outlineLvl w:val="9"/>
        <w:rPr>
          <w:rFonts w:ascii="宋体" w:hAnsi="宋体"/>
          <w:color w:val="auto"/>
          <w:sz w:val="24"/>
          <w:szCs w:val="24"/>
        </w:rPr>
      </w:pPr>
      <w:r>
        <w:rPr>
          <w:rFonts w:hint="eastAsia" w:ascii="宋体" w:hAnsi="宋体"/>
          <w:color w:val="auto"/>
          <w:szCs w:val="21"/>
        </w:rPr>
        <w:br w:type="page"/>
      </w:r>
      <w:bookmarkEnd w:id="118"/>
      <w:r>
        <w:rPr>
          <w:rFonts w:hint="eastAsia" w:ascii="宋体" w:hAnsi="宋体"/>
          <w:color w:val="auto"/>
          <w:sz w:val="24"/>
          <w:szCs w:val="24"/>
        </w:rPr>
        <w:t xml:space="preserve">六、河南省政府采购合同融资政策告知函（投标文件无需附此项内容） </w:t>
      </w:r>
    </w:p>
    <w:p w14:paraId="2132C73D">
      <w:pPr>
        <w:spacing w:line="360" w:lineRule="auto"/>
        <w:outlineLvl w:val="9"/>
        <w:rPr>
          <w:color w:val="auto"/>
        </w:rPr>
      </w:pPr>
    </w:p>
    <w:p w14:paraId="3C7F5524">
      <w:pPr>
        <w:spacing w:line="360" w:lineRule="auto"/>
        <w:outlineLvl w:val="9"/>
        <w:rPr>
          <w:color w:val="auto"/>
        </w:rPr>
      </w:pPr>
    </w:p>
    <w:p w14:paraId="2F0E701E">
      <w:pPr>
        <w:spacing w:line="360" w:lineRule="auto"/>
        <w:jc w:val="center"/>
        <w:outlineLvl w:val="9"/>
        <w:rPr>
          <w:rFonts w:ascii="宋体" w:hAnsi="宋体"/>
          <w:b/>
          <w:bCs/>
          <w:color w:val="auto"/>
          <w:spacing w:val="6"/>
          <w:sz w:val="24"/>
        </w:rPr>
      </w:pPr>
      <w:r>
        <w:rPr>
          <w:rFonts w:hint="eastAsia" w:ascii="宋体" w:hAnsi="宋体"/>
          <w:b/>
          <w:bCs/>
          <w:color w:val="auto"/>
          <w:spacing w:val="6"/>
          <w:sz w:val="24"/>
        </w:rPr>
        <w:t>银政易贷</w:t>
      </w:r>
    </w:p>
    <w:p w14:paraId="6A7746FF">
      <w:pPr>
        <w:spacing w:line="360" w:lineRule="auto"/>
        <w:outlineLvl w:val="9"/>
        <w:rPr>
          <w:rFonts w:ascii="宋体" w:hAnsi="宋体"/>
          <w:color w:val="auto"/>
          <w:spacing w:val="6"/>
        </w:rPr>
      </w:pPr>
      <w:r>
        <w:rPr>
          <w:rFonts w:hint="eastAsia" w:ascii="宋体" w:hAnsi="宋体"/>
          <w:color w:val="auto"/>
          <w:spacing w:val="6"/>
        </w:rPr>
        <w:t xml:space="preserve"> </w:t>
      </w:r>
    </w:p>
    <w:p w14:paraId="61F9BC9A">
      <w:pPr>
        <w:kinsoku w:val="0"/>
        <w:overflowPunct w:val="0"/>
        <w:autoSpaceDE w:val="0"/>
        <w:autoSpaceDN w:val="0"/>
        <w:adjustRightInd w:val="0"/>
        <w:snapToGrid w:val="0"/>
        <w:spacing w:line="360" w:lineRule="auto"/>
        <w:ind w:firstLine="444" w:firstLineChars="200"/>
        <w:outlineLvl w:val="9"/>
        <w:rPr>
          <w:rFonts w:hint="eastAsia" w:ascii="宋体" w:hAnsi="宋体"/>
          <w:color w:val="auto"/>
          <w:spacing w:val="6"/>
        </w:rPr>
      </w:pPr>
      <w:r>
        <w:rPr>
          <w:rFonts w:hint="eastAsia" w:ascii="宋体" w:hAnsi="宋体"/>
          <w:color w:val="auto"/>
          <w:spacing w:val="6"/>
        </w:rPr>
        <w:t xml:space="preserve"> </w:t>
      </w:r>
    </w:p>
    <w:p w14:paraId="446898CF">
      <w:pPr>
        <w:kinsoku w:val="0"/>
        <w:overflowPunct w:val="0"/>
        <w:autoSpaceDE w:val="0"/>
        <w:autoSpaceDN w:val="0"/>
        <w:adjustRightInd w:val="0"/>
        <w:snapToGrid w:val="0"/>
        <w:spacing w:line="360" w:lineRule="auto"/>
        <w:outlineLvl w:val="9"/>
        <w:rPr>
          <w:rFonts w:hint="eastAsia" w:ascii="宋体" w:hAnsi="宋体"/>
          <w:color w:val="auto"/>
          <w:spacing w:val="6"/>
        </w:rPr>
      </w:pPr>
      <w:r>
        <w:rPr>
          <w:rFonts w:hint="eastAsia" w:ascii="宋体" w:hAnsi="宋体"/>
          <w:color w:val="auto"/>
          <w:spacing w:val="6"/>
        </w:rPr>
        <w:t xml:space="preserve">尊敬的政府采购供应商： </w:t>
      </w:r>
    </w:p>
    <w:p w14:paraId="6778477D">
      <w:pPr>
        <w:kinsoku w:val="0"/>
        <w:overflowPunct w:val="0"/>
        <w:autoSpaceDE w:val="0"/>
        <w:autoSpaceDN w:val="0"/>
        <w:adjustRightInd w:val="0"/>
        <w:snapToGrid w:val="0"/>
        <w:spacing w:line="360" w:lineRule="auto"/>
        <w:ind w:firstLine="444" w:firstLineChars="200"/>
        <w:outlineLvl w:val="9"/>
        <w:rPr>
          <w:rFonts w:hint="eastAsia" w:ascii="宋体" w:hAnsi="宋体"/>
          <w:color w:val="auto"/>
          <w:spacing w:val="6"/>
        </w:rPr>
      </w:pPr>
      <w:r>
        <w:rPr>
          <w:rFonts w:hint="eastAsia" w:ascii="宋体" w:hAnsi="宋体"/>
          <w:color w:val="auto"/>
          <w:spacing w:val="6"/>
        </w:rPr>
        <w:t>您好！</w:t>
      </w:r>
    </w:p>
    <w:p w14:paraId="0F46B09C">
      <w:pPr>
        <w:kinsoku w:val="0"/>
        <w:overflowPunct w:val="0"/>
        <w:autoSpaceDE w:val="0"/>
        <w:autoSpaceDN w:val="0"/>
        <w:adjustRightInd w:val="0"/>
        <w:snapToGrid w:val="0"/>
        <w:spacing w:line="360" w:lineRule="auto"/>
        <w:ind w:firstLine="444" w:firstLineChars="200"/>
        <w:outlineLvl w:val="9"/>
        <w:rPr>
          <w:rFonts w:hint="eastAsia" w:ascii="宋体" w:hAnsi="宋体"/>
          <w:color w:val="auto"/>
          <w:spacing w:val="6"/>
        </w:rPr>
      </w:pPr>
      <w:r>
        <w:rPr>
          <w:rFonts w:hint="eastAsia" w:ascii="宋体" w:hAnsi="宋体"/>
          <w:color w:val="auto"/>
          <w:spacing w:val="6"/>
        </w:rPr>
        <w:t>欢迎您参与平顶山市政府采购业务！感谢您对我区经济社会发展做出的贡献！</w:t>
      </w:r>
    </w:p>
    <w:p w14:paraId="7ABE31BC">
      <w:pPr>
        <w:kinsoku w:val="0"/>
        <w:overflowPunct w:val="0"/>
        <w:autoSpaceDE w:val="0"/>
        <w:autoSpaceDN w:val="0"/>
        <w:adjustRightInd w:val="0"/>
        <w:snapToGrid w:val="0"/>
        <w:spacing w:line="360" w:lineRule="auto"/>
        <w:ind w:firstLine="444" w:firstLineChars="200"/>
        <w:outlineLvl w:val="9"/>
        <w:rPr>
          <w:rFonts w:hint="eastAsia" w:ascii="宋体" w:hAnsi="宋体"/>
          <w:color w:val="auto"/>
          <w:spacing w:val="6"/>
        </w:rPr>
      </w:pPr>
      <w:r>
        <w:rPr>
          <w:rFonts w:hint="eastAsia" w:ascii="宋体" w:hAnsi="宋体"/>
          <w:color w:val="auto"/>
          <w:spacing w:val="6"/>
        </w:rPr>
        <w:t>为进一步优化平顶山市营商环境，切实缓解中小微企业融资难、融资贵的问题，2018年平顶山市财政局与平顶山银行签署战略合作协议，帮助在政府采购项目中中标的供应商解决融资问题，平顶山银行推出了用于借款人履行政府采购合同的 “银政易贷”贷款业务，开通了政府采购合同融资绿色通道，配备专业人员定向服务，提高融资服务效率。同时，依靠政府采购合同资金支付的保障，提供免评估、免抵押、免担保、低利率、授信额度在3000元-500万元的贷款业务，在融资审查、审批流程、利率优惠等方面切实给予中小微企业快捷高效融资支持。</w:t>
      </w:r>
    </w:p>
    <w:p w14:paraId="674BE481">
      <w:pPr>
        <w:kinsoku w:val="0"/>
        <w:overflowPunct w:val="0"/>
        <w:autoSpaceDE w:val="0"/>
        <w:autoSpaceDN w:val="0"/>
        <w:adjustRightInd w:val="0"/>
        <w:snapToGrid w:val="0"/>
        <w:spacing w:line="360" w:lineRule="auto"/>
        <w:ind w:firstLine="444" w:firstLineChars="200"/>
        <w:outlineLvl w:val="9"/>
        <w:rPr>
          <w:rFonts w:hint="eastAsia" w:ascii="宋体" w:hAnsi="宋体"/>
          <w:color w:val="auto"/>
          <w:spacing w:val="6"/>
        </w:rPr>
      </w:pPr>
      <w:r>
        <w:rPr>
          <w:rFonts w:hint="eastAsia" w:ascii="宋体" w:hAnsi="宋体"/>
          <w:color w:val="auto"/>
          <w:spacing w:val="6"/>
        </w:rPr>
        <w:t>目前，平顶山银行和市政府采购合同融资工作已全面开始，如有意向享受我市政府采购合同融资政策，请登录平顶山市政府采购网（http：//pingdingshan.hngp.gov.cn）或拨打平顶山银行联系电话0375-2980538自主选择融资服务机构，按程序进行融资。</w:t>
      </w:r>
    </w:p>
    <w:p w14:paraId="15E0C0DF">
      <w:pPr>
        <w:kinsoku w:val="0"/>
        <w:overflowPunct w:val="0"/>
        <w:autoSpaceDE w:val="0"/>
        <w:autoSpaceDN w:val="0"/>
        <w:adjustRightInd w:val="0"/>
        <w:snapToGrid w:val="0"/>
        <w:spacing w:line="360" w:lineRule="auto"/>
        <w:ind w:firstLine="444" w:firstLineChars="200"/>
        <w:outlineLvl w:val="9"/>
        <w:rPr>
          <w:rFonts w:hint="eastAsia" w:ascii="宋体" w:hAnsi="宋体"/>
          <w:color w:val="auto"/>
          <w:spacing w:val="6"/>
        </w:rPr>
      </w:pPr>
      <w:r>
        <w:rPr>
          <w:rFonts w:hint="eastAsia" w:ascii="宋体" w:hAnsi="宋体"/>
          <w:color w:val="auto"/>
          <w:spacing w:val="6"/>
        </w:rPr>
        <w:t>期待您一如既往支持平顶山市政府采购工作！</w:t>
      </w:r>
    </w:p>
    <w:p w14:paraId="2E594D3A">
      <w:pPr>
        <w:spacing w:line="360" w:lineRule="auto"/>
        <w:outlineLvl w:val="9"/>
        <w:rPr>
          <w:color w:val="auto"/>
        </w:rPr>
      </w:pPr>
    </w:p>
    <w:p w14:paraId="335530F8">
      <w:pPr>
        <w:pStyle w:val="18"/>
        <w:outlineLvl w:val="9"/>
        <w:rPr>
          <w:color w:val="auto"/>
        </w:rPr>
      </w:pPr>
    </w:p>
    <w:p w14:paraId="022B70C7">
      <w:pPr>
        <w:pStyle w:val="19"/>
        <w:outlineLvl w:val="9"/>
        <w:rPr>
          <w:color w:val="auto"/>
        </w:rPr>
      </w:pPr>
    </w:p>
    <w:p w14:paraId="5BC8947E">
      <w:pPr>
        <w:pStyle w:val="5"/>
        <w:outlineLvl w:val="9"/>
        <w:rPr>
          <w:color w:val="auto"/>
        </w:rPr>
      </w:pPr>
    </w:p>
    <w:p w14:paraId="25671E60">
      <w:pPr>
        <w:pStyle w:val="6"/>
        <w:outlineLvl w:val="9"/>
        <w:rPr>
          <w:color w:val="auto"/>
        </w:rPr>
      </w:pPr>
    </w:p>
    <w:p w14:paraId="1F2F2C08">
      <w:pPr>
        <w:pStyle w:val="7"/>
        <w:outlineLvl w:val="9"/>
        <w:rPr>
          <w:color w:val="auto"/>
        </w:rPr>
      </w:pPr>
    </w:p>
    <w:p w14:paraId="777F9F6F">
      <w:pPr>
        <w:pStyle w:val="6"/>
        <w:outlineLvl w:val="9"/>
        <w:rPr>
          <w:color w:val="auto"/>
        </w:rPr>
      </w:pPr>
    </w:p>
    <w:p w14:paraId="0E57F2DC">
      <w:pPr>
        <w:pStyle w:val="7"/>
        <w:outlineLvl w:val="9"/>
        <w:rPr>
          <w:color w:val="auto"/>
        </w:rPr>
      </w:pPr>
    </w:p>
    <w:p w14:paraId="751324D6">
      <w:pPr>
        <w:pStyle w:val="6"/>
        <w:outlineLvl w:val="9"/>
        <w:rPr>
          <w:color w:val="auto"/>
        </w:rPr>
      </w:pPr>
    </w:p>
    <w:p w14:paraId="43281818">
      <w:pPr>
        <w:pStyle w:val="7"/>
        <w:outlineLvl w:val="9"/>
        <w:rPr>
          <w:color w:val="auto"/>
        </w:rPr>
      </w:pPr>
    </w:p>
    <w:p w14:paraId="0F60812C">
      <w:pPr>
        <w:pStyle w:val="6"/>
        <w:outlineLvl w:val="9"/>
        <w:rPr>
          <w:color w:val="auto"/>
        </w:rPr>
      </w:pPr>
    </w:p>
    <w:p w14:paraId="0A30EB55">
      <w:pPr>
        <w:pStyle w:val="7"/>
        <w:outlineLvl w:val="9"/>
        <w:rPr>
          <w:color w:val="auto"/>
        </w:rPr>
      </w:pPr>
    </w:p>
    <w:p w14:paraId="387D0558">
      <w:pPr>
        <w:spacing w:line="360" w:lineRule="auto"/>
        <w:jc w:val="center"/>
        <w:outlineLvl w:val="9"/>
        <w:rPr>
          <w:rFonts w:ascii="宋体" w:hAnsi="宋体"/>
          <w:b/>
          <w:bCs/>
          <w:color w:val="auto"/>
          <w:sz w:val="24"/>
        </w:rPr>
      </w:pPr>
      <w:r>
        <w:rPr>
          <w:rFonts w:hint="eastAsia" w:ascii="宋体" w:hAnsi="宋体"/>
          <w:b/>
          <w:bCs/>
          <w:color w:val="auto"/>
          <w:sz w:val="24"/>
        </w:rPr>
        <w:t>河南省政府采购合同融资政策告知函</w:t>
      </w:r>
    </w:p>
    <w:p w14:paraId="5144E883">
      <w:pPr>
        <w:spacing w:line="360" w:lineRule="auto"/>
        <w:outlineLvl w:val="9"/>
        <w:rPr>
          <w:rFonts w:ascii="宋体" w:hAnsi="宋体"/>
          <w:color w:val="auto"/>
        </w:rPr>
      </w:pPr>
      <w:r>
        <w:rPr>
          <w:rFonts w:hint="eastAsia" w:ascii="宋体" w:hAnsi="宋体"/>
          <w:color w:val="auto"/>
        </w:rPr>
        <w:t>各供应商：</w:t>
      </w:r>
    </w:p>
    <w:p w14:paraId="420409A0">
      <w:pPr>
        <w:spacing w:line="360" w:lineRule="auto"/>
        <w:outlineLvl w:val="9"/>
        <w:rPr>
          <w:rFonts w:ascii="宋体" w:hAnsi="宋体"/>
          <w:color w:val="auto"/>
        </w:rPr>
      </w:pPr>
      <w:r>
        <w:rPr>
          <w:rFonts w:hint="eastAsia" w:ascii="宋体" w:hAnsi="宋体"/>
          <w:color w:val="auto"/>
        </w:rPr>
        <w:t>欢迎贵公司参与河南省政府采购活动！</w:t>
      </w:r>
    </w:p>
    <w:p w14:paraId="59E8CB6C">
      <w:pPr>
        <w:spacing w:line="360" w:lineRule="auto"/>
        <w:outlineLvl w:val="9"/>
        <w:rPr>
          <w:rFonts w:ascii="宋体" w:hAnsi="宋体"/>
          <w:color w:val="auto"/>
        </w:rPr>
      </w:pPr>
      <w:r>
        <w:rPr>
          <w:rFonts w:hint="eastAsia" w:ascii="宋体" w:hAnsi="宋体"/>
          <w:color w:val="auto"/>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30F28B5C">
      <w:pPr>
        <w:spacing w:line="360" w:lineRule="auto"/>
        <w:outlineLvl w:val="9"/>
        <w:rPr>
          <w:rFonts w:ascii="宋体" w:hAnsi="宋体"/>
          <w:color w:val="auto"/>
        </w:rPr>
      </w:pPr>
      <w:r>
        <w:rPr>
          <w:rFonts w:hint="eastAsia" w:ascii="宋体" w:hAnsi="宋体"/>
          <w:color w:val="auto"/>
        </w:rPr>
        <w:t>贷款渠道和提供贷款的金融机构，可在河南省政府采购网“河南省政府采购合同融资平台”查询联系。</w:t>
      </w:r>
    </w:p>
    <w:p w14:paraId="4D4BDD87">
      <w:pPr>
        <w:spacing w:line="360" w:lineRule="auto"/>
        <w:outlineLvl w:val="9"/>
        <w:rPr>
          <w:rFonts w:ascii="宋体" w:hAnsi="宋体" w:eastAsia="宋体"/>
          <w:color w:val="auto"/>
        </w:rPr>
      </w:pPr>
      <w:r>
        <w:rPr>
          <w:rFonts w:hint="eastAsia" w:ascii="宋体" w:hAnsi="宋体"/>
          <w:color w:val="auto"/>
        </w:rPr>
        <w:t xml:space="preserve"> </w:t>
      </w:r>
    </w:p>
    <w:p w14:paraId="1F341642">
      <w:pPr>
        <w:spacing w:line="360" w:lineRule="auto"/>
        <w:outlineLvl w:val="9"/>
        <w:rPr>
          <w:rFonts w:ascii="宋体" w:hAnsi="宋体"/>
          <w:b/>
          <w:bCs/>
          <w:color w:val="auto"/>
          <w:sz w:val="30"/>
          <w:szCs w:val="30"/>
        </w:rPr>
      </w:pPr>
      <w:r>
        <w:rPr>
          <w:rFonts w:ascii="宋体" w:hAnsi="宋体"/>
          <w:b/>
          <w:bCs/>
          <w:color w:val="auto"/>
          <w:sz w:val="30"/>
          <w:szCs w:val="30"/>
        </w:rPr>
        <w:br w:type="page"/>
      </w:r>
    </w:p>
    <w:p w14:paraId="2021F083">
      <w:pPr>
        <w:spacing w:line="360" w:lineRule="auto"/>
        <w:jc w:val="center"/>
        <w:outlineLvl w:val="9"/>
        <w:rPr>
          <w:rFonts w:ascii="宋体" w:hAnsi="宋体"/>
          <w:b/>
          <w:bCs/>
          <w:color w:val="auto"/>
          <w:sz w:val="30"/>
          <w:szCs w:val="30"/>
        </w:rPr>
      </w:pPr>
      <w:r>
        <w:rPr>
          <w:rFonts w:hint="eastAsia" w:ascii="宋体" w:hAnsi="宋体"/>
          <w:b/>
          <w:bCs/>
          <w:color w:val="auto"/>
          <w:sz w:val="30"/>
          <w:szCs w:val="30"/>
        </w:rPr>
        <w:t>供应商成交公告主要内容汇总</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14:paraId="67398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2" w:hRule="atLeast"/>
        </w:trPr>
        <w:tc>
          <w:tcPr>
            <w:tcW w:w="9962" w:type="dxa"/>
            <w:tcBorders>
              <w:top w:val="single" w:color="auto" w:sz="4" w:space="0"/>
              <w:left w:val="single" w:color="auto" w:sz="4" w:space="0"/>
              <w:bottom w:val="single" w:color="auto" w:sz="4" w:space="0"/>
              <w:right w:val="single" w:color="auto" w:sz="4" w:space="0"/>
            </w:tcBorders>
            <w:noWrap w:val="0"/>
            <w:vAlign w:val="center"/>
          </w:tcPr>
          <w:p w14:paraId="7F13D861">
            <w:pPr>
              <w:spacing w:line="360" w:lineRule="auto"/>
              <w:outlineLvl w:val="9"/>
              <w:rPr>
                <w:rFonts w:ascii="宋体" w:hAnsi="宋体"/>
                <w:b/>
                <w:bCs/>
                <w:color w:val="auto"/>
                <w:sz w:val="22"/>
              </w:rPr>
            </w:pPr>
            <w:r>
              <w:rPr>
                <w:rFonts w:hint="eastAsia" w:ascii="宋体" w:hAnsi="宋体"/>
                <w:b/>
                <w:bCs/>
                <w:color w:val="auto"/>
                <w:kern w:val="0"/>
                <w:sz w:val="22"/>
              </w:rPr>
              <w:t>供应商：</w:t>
            </w:r>
          </w:p>
          <w:p w14:paraId="246E09E2">
            <w:pPr>
              <w:spacing w:line="360" w:lineRule="auto"/>
              <w:outlineLvl w:val="9"/>
              <w:rPr>
                <w:rFonts w:ascii="宋体" w:hAnsi="宋体"/>
                <w:b/>
                <w:bCs/>
                <w:color w:val="auto"/>
                <w:kern w:val="0"/>
                <w:sz w:val="22"/>
              </w:rPr>
            </w:pPr>
            <w:r>
              <w:rPr>
                <w:rFonts w:hint="eastAsia" w:ascii="宋体" w:hAnsi="宋体"/>
                <w:b/>
                <w:bCs/>
                <w:color w:val="auto"/>
                <w:kern w:val="0"/>
                <w:sz w:val="22"/>
              </w:rPr>
              <w:t>统一社会信用代码：</w:t>
            </w:r>
          </w:p>
          <w:p w14:paraId="356B4966">
            <w:pPr>
              <w:spacing w:line="360" w:lineRule="auto"/>
              <w:outlineLvl w:val="9"/>
              <w:rPr>
                <w:rFonts w:ascii="宋体" w:hAnsi="宋体"/>
                <w:b/>
                <w:bCs/>
                <w:color w:val="auto"/>
                <w:kern w:val="0"/>
                <w:sz w:val="22"/>
              </w:rPr>
            </w:pPr>
            <w:r>
              <w:rPr>
                <w:rFonts w:hint="eastAsia" w:ascii="宋体" w:hAnsi="宋体"/>
                <w:b/>
                <w:bCs/>
                <w:color w:val="auto"/>
                <w:kern w:val="0"/>
                <w:sz w:val="22"/>
              </w:rPr>
              <w:t>投标报价：</w:t>
            </w:r>
          </w:p>
          <w:p w14:paraId="776CA9E5">
            <w:pPr>
              <w:spacing w:line="360" w:lineRule="auto"/>
              <w:outlineLvl w:val="9"/>
              <w:rPr>
                <w:rFonts w:ascii="宋体" w:hAnsi="宋体"/>
                <w:b/>
                <w:bCs/>
                <w:color w:val="auto"/>
                <w:kern w:val="0"/>
                <w:sz w:val="22"/>
              </w:rPr>
            </w:pPr>
            <w:r>
              <w:rPr>
                <w:rFonts w:hint="eastAsia" w:ascii="宋体" w:hAnsi="宋体"/>
                <w:b/>
                <w:bCs/>
                <w:color w:val="auto"/>
                <w:kern w:val="0"/>
                <w:sz w:val="22"/>
              </w:rPr>
              <w:t>投标范围：</w:t>
            </w:r>
            <w:r>
              <w:rPr>
                <w:rFonts w:ascii="宋体" w:hAnsi="宋体"/>
                <w:b/>
                <w:bCs/>
                <w:color w:val="auto"/>
                <w:kern w:val="0"/>
                <w:sz w:val="22"/>
              </w:rPr>
              <w:t xml:space="preserve"> </w:t>
            </w:r>
          </w:p>
          <w:p w14:paraId="09AEF50F">
            <w:pPr>
              <w:spacing w:line="360" w:lineRule="auto"/>
              <w:outlineLvl w:val="9"/>
              <w:rPr>
                <w:rFonts w:hint="eastAsia" w:ascii="宋体" w:hAnsi="宋体"/>
                <w:b/>
                <w:bCs/>
                <w:color w:val="auto"/>
                <w:kern w:val="0"/>
                <w:sz w:val="22"/>
              </w:rPr>
            </w:pPr>
            <w:r>
              <w:rPr>
                <w:rFonts w:hint="eastAsia" w:ascii="宋体" w:hAnsi="宋体"/>
                <w:b/>
                <w:bCs/>
                <w:color w:val="auto"/>
                <w:kern w:val="0"/>
                <w:sz w:val="22"/>
              </w:rPr>
              <w:t>服务期限：</w:t>
            </w:r>
          </w:p>
          <w:p w14:paraId="421B0A22">
            <w:pPr>
              <w:spacing w:line="360" w:lineRule="auto"/>
              <w:outlineLvl w:val="9"/>
              <w:rPr>
                <w:rFonts w:hint="eastAsia" w:eastAsia="宋体"/>
                <w:color w:val="auto"/>
                <w:lang w:eastAsia="zh-CN"/>
              </w:rPr>
            </w:pPr>
            <w:r>
              <w:rPr>
                <w:rFonts w:hint="eastAsia" w:ascii="宋体" w:hAnsi="宋体"/>
                <w:b/>
                <w:bCs/>
                <w:color w:val="auto"/>
                <w:kern w:val="0"/>
                <w:sz w:val="22"/>
                <w:lang w:eastAsia="zh-CN"/>
              </w:rPr>
              <w:t>质量：</w:t>
            </w:r>
          </w:p>
          <w:p w14:paraId="59D34546">
            <w:pPr>
              <w:spacing w:line="360" w:lineRule="auto"/>
              <w:outlineLvl w:val="9"/>
              <w:rPr>
                <w:rFonts w:ascii="宋体" w:hAnsi="宋体"/>
                <w:b/>
                <w:bCs/>
                <w:color w:val="auto"/>
                <w:kern w:val="0"/>
                <w:sz w:val="22"/>
              </w:rPr>
            </w:pPr>
            <w:r>
              <w:rPr>
                <w:rFonts w:hint="eastAsia" w:ascii="宋体" w:hAnsi="宋体"/>
                <w:b/>
                <w:bCs/>
                <w:color w:val="auto"/>
                <w:kern w:val="0"/>
                <w:sz w:val="22"/>
              </w:rPr>
              <w:t>投报业绩：</w:t>
            </w:r>
          </w:p>
          <w:p w14:paraId="02249494">
            <w:pPr>
              <w:spacing w:line="360" w:lineRule="auto"/>
              <w:outlineLvl w:val="9"/>
              <w:rPr>
                <w:rFonts w:ascii="宋体" w:hAnsi="宋体"/>
                <w:color w:val="auto"/>
                <w:sz w:val="22"/>
              </w:rPr>
            </w:pPr>
            <w:r>
              <w:rPr>
                <w:rFonts w:hint="eastAsia" w:ascii="宋体" w:hAnsi="宋体"/>
                <w:color w:val="auto"/>
                <w:sz w:val="22"/>
              </w:rPr>
              <w:t>业绩一：</w:t>
            </w:r>
          </w:p>
          <w:p w14:paraId="350B8660">
            <w:pPr>
              <w:spacing w:line="360" w:lineRule="auto"/>
              <w:outlineLvl w:val="9"/>
              <w:rPr>
                <w:rFonts w:ascii="宋体" w:hAnsi="宋体"/>
                <w:color w:val="auto"/>
                <w:sz w:val="22"/>
              </w:rPr>
            </w:pPr>
            <w:r>
              <w:rPr>
                <w:rFonts w:hint="eastAsia" w:ascii="宋体" w:hAnsi="宋体"/>
                <w:color w:val="auto"/>
                <w:sz w:val="22"/>
              </w:rPr>
              <w:t>项目名称：</w:t>
            </w:r>
            <w:r>
              <w:rPr>
                <w:rFonts w:ascii="宋体" w:hAnsi="宋体"/>
                <w:color w:val="auto"/>
                <w:sz w:val="22"/>
              </w:rPr>
              <w:t xml:space="preserve"> </w:t>
            </w:r>
          </w:p>
          <w:p w14:paraId="613EE149">
            <w:pPr>
              <w:spacing w:line="360" w:lineRule="auto"/>
              <w:outlineLvl w:val="9"/>
              <w:rPr>
                <w:rFonts w:ascii="宋体" w:hAnsi="宋体"/>
                <w:color w:val="auto"/>
                <w:sz w:val="22"/>
              </w:rPr>
            </w:pPr>
            <w:r>
              <w:rPr>
                <w:rFonts w:hint="eastAsia" w:ascii="宋体" w:hAnsi="宋体"/>
                <w:color w:val="auto"/>
                <w:sz w:val="22"/>
              </w:rPr>
              <w:t>项目负责人：</w:t>
            </w:r>
            <w:r>
              <w:rPr>
                <w:rFonts w:ascii="宋体" w:hAnsi="宋体"/>
                <w:color w:val="auto"/>
                <w:sz w:val="22"/>
              </w:rPr>
              <w:t xml:space="preserve"> </w:t>
            </w:r>
          </w:p>
          <w:p w14:paraId="4E74EF35">
            <w:pPr>
              <w:spacing w:line="360" w:lineRule="auto"/>
              <w:outlineLvl w:val="9"/>
              <w:rPr>
                <w:rFonts w:ascii="宋体" w:hAnsi="宋体"/>
                <w:color w:val="auto"/>
                <w:sz w:val="22"/>
              </w:rPr>
            </w:pPr>
            <w:r>
              <w:rPr>
                <w:rFonts w:hint="eastAsia" w:ascii="宋体" w:hAnsi="宋体"/>
                <w:color w:val="auto"/>
                <w:sz w:val="22"/>
              </w:rPr>
              <w:t>中标公示查询媒体：</w:t>
            </w:r>
            <w:r>
              <w:rPr>
                <w:rFonts w:ascii="宋体" w:hAnsi="宋体"/>
                <w:color w:val="auto"/>
                <w:sz w:val="22"/>
              </w:rPr>
              <w:t xml:space="preserve"> </w:t>
            </w:r>
          </w:p>
          <w:p w14:paraId="449CE9D4">
            <w:pPr>
              <w:spacing w:line="360" w:lineRule="auto"/>
              <w:outlineLvl w:val="9"/>
              <w:rPr>
                <w:rFonts w:ascii="宋体" w:hAnsi="宋体"/>
                <w:color w:val="auto"/>
                <w:sz w:val="22"/>
              </w:rPr>
            </w:pPr>
            <w:r>
              <w:rPr>
                <w:rFonts w:hint="eastAsia" w:ascii="宋体" w:hAnsi="宋体"/>
                <w:color w:val="auto"/>
                <w:sz w:val="22"/>
              </w:rPr>
              <w:t>合同金额：元</w:t>
            </w:r>
          </w:p>
          <w:p w14:paraId="2868CDD4">
            <w:pPr>
              <w:spacing w:line="360" w:lineRule="auto"/>
              <w:outlineLvl w:val="9"/>
              <w:rPr>
                <w:rFonts w:ascii="宋体" w:hAnsi="宋体"/>
                <w:color w:val="auto"/>
                <w:sz w:val="22"/>
              </w:rPr>
            </w:pPr>
            <w:r>
              <w:rPr>
                <w:rFonts w:hint="eastAsia" w:ascii="宋体" w:hAnsi="宋体"/>
                <w:color w:val="auto"/>
                <w:sz w:val="22"/>
              </w:rPr>
              <w:t>合同签订日期： 年 月 日</w:t>
            </w:r>
          </w:p>
          <w:p w14:paraId="77EA7B84">
            <w:pPr>
              <w:spacing w:line="360" w:lineRule="auto"/>
              <w:outlineLvl w:val="9"/>
              <w:rPr>
                <w:rFonts w:ascii="宋体" w:hAnsi="宋体"/>
                <w:color w:val="auto"/>
                <w:sz w:val="22"/>
              </w:rPr>
            </w:pPr>
            <w:r>
              <w:rPr>
                <w:rFonts w:hint="eastAsia" w:ascii="宋体" w:hAnsi="宋体"/>
                <w:color w:val="auto"/>
                <w:sz w:val="22"/>
              </w:rPr>
              <w:t xml:space="preserve">验收日期： </w:t>
            </w:r>
          </w:p>
          <w:p w14:paraId="20302A67">
            <w:pPr>
              <w:spacing w:line="360" w:lineRule="auto"/>
              <w:outlineLvl w:val="9"/>
              <w:rPr>
                <w:rFonts w:ascii="宋体" w:hAnsi="宋体"/>
                <w:color w:val="auto"/>
              </w:rPr>
            </w:pPr>
            <w:r>
              <w:rPr>
                <w:rFonts w:ascii="宋体" w:hAnsi="宋体"/>
                <w:color w:val="auto"/>
                <w:sz w:val="22"/>
              </w:rPr>
              <w:t>……</w:t>
            </w:r>
          </w:p>
        </w:tc>
      </w:tr>
    </w:tbl>
    <w:p w14:paraId="5660B243">
      <w:pPr>
        <w:spacing w:line="360" w:lineRule="auto"/>
        <w:outlineLvl w:val="9"/>
        <w:rPr>
          <w:rFonts w:ascii="宋体" w:hAnsi="宋体"/>
          <w:b/>
          <w:color w:val="auto"/>
          <w:sz w:val="24"/>
        </w:rPr>
      </w:pPr>
    </w:p>
    <w:p w14:paraId="13F67EC0">
      <w:pPr>
        <w:spacing w:line="360" w:lineRule="auto"/>
        <w:outlineLvl w:val="9"/>
        <w:rPr>
          <w:rFonts w:ascii="宋体" w:hAnsi="宋体" w:eastAsia="宋体"/>
          <w:color w:val="auto"/>
        </w:rPr>
      </w:pPr>
      <w:r>
        <w:rPr>
          <w:rFonts w:hint="eastAsia" w:ascii="宋体" w:hAnsi="宋体"/>
          <w:b/>
          <w:color w:val="auto"/>
          <w:sz w:val="24"/>
          <w:szCs w:val="24"/>
        </w:rPr>
        <w:t>注：供应商根据自身情况进行调整。</w:t>
      </w:r>
    </w:p>
    <w:p w14:paraId="7B4B7CDE">
      <w:pPr>
        <w:spacing w:line="360" w:lineRule="auto"/>
        <w:outlineLvl w:val="9"/>
        <w:rPr>
          <w:rFonts w:ascii="宋体" w:hAnsi="宋体" w:eastAsia="宋体" w:cs="宋体"/>
          <w:color w:val="auto"/>
        </w:rPr>
      </w:pPr>
    </w:p>
    <w:p w14:paraId="0D1CB669">
      <w:pPr>
        <w:spacing w:line="360" w:lineRule="auto"/>
        <w:outlineLvl w:val="9"/>
        <w:rPr>
          <w:rFonts w:ascii="宋体" w:hAnsi="宋体" w:eastAsia="宋体" w:cs="宋体"/>
          <w:color w:val="auto"/>
        </w:rPr>
      </w:pPr>
    </w:p>
    <w:p w14:paraId="4928BA08">
      <w:pPr>
        <w:outlineLvl w:val="9"/>
        <w:rPr>
          <w:color w:val="auto"/>
        </w:rPr>
      </w:pPr>
    </w:p>
    <w:p w14:paraId="7A36A3E3">
      <w:pPr>
        <w:outlineLvl w:val="9"/>
        <w:rPr>
          <w:color w:val="auto"/>
        </w:rPr>
      </w:pPr>
    </w:p>
    <w:p w14:paraId="55F50E19">
      <w:pPr>
        <w:outlineLvl w:val="9"/>
        <w:rPr>
          <w:color w:val="auto"/>
        </w:rPr>
      </w:pPr>
    </w:p>
    <w:sectPr>
      <w:footerReference r:id="rId8" w:type="first"/>
      <w:pgSz w:w="11911" w:h="16838"/>
      <w:pgMar w:top="1440" w:right="1080" w:bottom="1440" w:left="1080" w:header="890" w:footer="975"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D84FC">
    <w:pPr>
      <w:pStyle w:val="12"/>
    </w:pPr>
    <w:r>
      <w:rPr>
        <w:rFonts w:hint="eastAsia" w:ascii="宋体" w:hAnsi="宋体" w:eastAsia="宋体" w:cs="宋体"/>
        <w:color w:val="000000"/>
        <w:kern w:val="0"/>
        <w:sz w:val="20"/>
        <w:szCs w:val="20"/>
        <w:u w:val="single"/>
      </w:rPr>
      <w:t>河南</w:t>
    </w:r>
    <w:r>
      <w:rPr>
        <w:rFonts w:hint="eastAsia" w:ascii="宋体" w:hAnsi="宋体" w:eastAsia="宋体" w:cs="宋体"/>
        <w:color w:val="000000"/>
        <w:kern w:val="0"/>
        <w:sz w:val="20"/>
        <w:szCs w:val="20"/>
        <w:u w:val="single"/>
        <w:lang w:val="en-US" w:eastAsia="zh-CN"/>
      </w:rPr>
      <w:t>加盈工程管理有限公司</w:t>
    </w:r>
    <w:r>
      <w:rPr>
        <w:rFonts w:hint="eastAsia" w:ascii="宋体" w:hAnsi="宋体" w:eastAsia="宋体" w:cs="宋体"/>
        <w:color w:val="000000"/>
        <w:kern w:val="0"/>
        <w:sz w:val="20"/>
        <w:szCs w:val="20"/>
        <w:u w:val="single"/>
      </w:rPr>
      <w:t xml:space="preserve"> </w:t>
    </w:r>
    <w:r>
      <w:rPr>
        <w:rFonts w:hint="eastAsia" w:ascii="宋体" w:hAnsi="宋体" w:cs="宋体"/>
        <w:color w:val="000000"/>
        <w:kern w:val="0"/>
        <w:sz w:val="20"/>
        <w:szCs w:val="20"/>
        <w:u w:val="single"/>
      </w:rPr>
      <w:t xml:space="preserve">  </w:t>
    </w:r>
    <w:r>
      <w:rPr>
        <w:rFonts w:hint="eastAsia" w:ascii="宋体" w:hAnsi="宋体" w:cs="宋体"/>
        <w:color w:val="000000"/>
        <w:kern w:val="0"/>
        <w:u w:val="single"/>
      </w:rPr>
      <w:t xml:space="preserve">    </w:t>
    </w:r>
    <w:r>
      <w:rPr>
        <w:rFonts w:hint="eastAsia" w:ascii="宋体" w:hAnsi="宋体" w:cs="宋体"/>
        <w:color w:val="000000"/>
        <w:kern w:val="0"/>
        <w:u w:val="single"/>
        <w:lang w:val="en-US" w:eastAsia="zh-CN"/>
      </w:rPr>
      <w:t xml:space="preserve">                                                                       </w:t>
    </w:r>
    <w:r>
      <w:rPr>
        <w:rFonts w:hint="eastAsia" w:ascii="宋体" w:hAnsi="宋体" w:cs="宋体"/>
        <w:color w:val="000000"/>
        <w:kern w:val="0"/>
        <w:u w:val="single"/>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4BC66">
    <w:pPr>
      <w:pStyle w:val="12"/>
    </w:pPr>
    <w:r>
      <w:rPr>
        <w:sz w:val="20"/>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3A7FB3">
                          <w:pPr>
                            <w:pStyle w:val="1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73A7FB3">
                    <w:pPr>
                      <w:pStyle w:val="12"/>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ascii="宋体" w:hAnsi="宋体" w:eastAsia="宋体" w:cs="宋体"/>
        <w:color w:val="000000"/>
        <w:kern w:val="0"/>
        <w:sz w:val="20"/>
        <w:szCs w:val="20"/>
        <w:u w:val="single"/>
      </w:rPr>
      <w:t>河南</w:t>
    </w:r>
    <w:r>
      <w:rPr>
        <w:rFonts w:hint="eastAsia" w:ascii="宋体" w:hAnsi="宋体" w:eastAsia="宋体" w:cs="宋体"/>
        <w:color w:val="000000"/>
        <w:kern w:val="0"/>
        <w:sz w:val="20"/>
        <w:szCs w:val="20"/>
        <w:u w:val="single"/>
        <w:lang w:val="en-US" w:eastAsia="zh-CN"/>
      </w:rPr>
      <w:t>加盈工程管理有限公司</w:t>
    </w:r>
    <w:r>
      <w:rPr>
        <w:rFonts w:hint="eastAsia" w:ascii="宋体" w:hAnsi="宋体" w:eastAsia="宋体" w:cs="宋体"/>
        <w:color w:val="000000"/>
        <w:kern w:val="0"/>
        <w:sz w:val="20"/>
        <w:szCs w:val="20"/>
        <w:u w:val="single"/>
      </w:rPr>
      <w:t xml:space="preserve"> </w:t>
    </w:r>
    <w:r>
      <w:rPr>
        <w:rFonts w:hint="eastAsia" w:ascii="宋体" w:hAnsi="宋体" w:cs="宋体"/>
        <w:color w:val="000000"/>
        <w:kern w:val="0"/>
        <w:sz w:val="20"/>
        <w:szCs w:val="20"/>
        <w:u w:val="single"/>
      </w:rPr>
      <w:t xml:space="preserve">  </w:t>
    </w:r>
    <w:r>
      <w:rPr>
        <w:rFonts w:hint="eastAsia" w:ascii="宋体" w:hAnsi="宋体" w:cs="宋体"/>
        <w:color w:val="000000"/>
        <w:kern w:val="0"/>
        <w:u w:val="single"/>
      </w:rPr>
      <w:t xml:space="preserve">    </w:t>
    </w:r>
    <w:r>
      <w:rPr>
        <w:rFonts w:hint="eastAsia" w:ascii="宋体" w:hAnsi="宋体" w:cs="宋体"/>
        <w:color w:val="000000"/>
        <w:kern w:val="0"/>
        <w:u w:val="single"/>
        <w:lang w:val="en-US" w:eastAsia="zh-CN"/>
      </w:rPr>
      <w:t xml:space="preserve">                                                                       </w:t>
    </w:r>
    <w:r>
      <w:rPr>
        <w:rFonts w:hint="eastAsia" w:ascii="宋体" w:hAnsi="宋体" w:cs="宋体"/>
        <w:color w:val="000000"/>
        <w:kern w:val="0"/>
        <w:u w:val="single"/>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BA61D">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069E2E">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8069E2E">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19707">
    <w:pPr>
      <w:pStyle w:val="12"/>
    </w:pPr>
    <w:r>
      <w:rPr>
        <w:sz w:val="20"/>
      </w:rPr>
      <mc:AlternateContent>
        <mc:Choice Requires="wps">
          <w:drawing>
            <wp:anchor distT="0" distB="0" distL="114300" distR="114300" simplePos="0" relativeHeight="251663360" behindDoc="0" locked="0" layoutInCell="1" allowOverlap="1">
              <wp:simplePos x="0" y="0"/>
              <wp:positionH relativeFrom="margin">
                <wp:posOffset>6266180</wp:posOffset>
              </wp:positionH>
              <wp:positionV relativeFrom="paragraph">
                <wp:posOffset>0</wp:posOffset>
              </wp:positionV>
              <wp:extent cx="127000" cy="174625"/>
              <wp:effectExtent l="0" t="0" r="0" b="0"/>
              <wp:wrapNone/>
              <wp:docPr id="8" name="文本框 8"/>
              <wp:cNvGraphicFramePr/>
              <a:graphic xmlns:a="http://schemas.openxmlformats.org/drawingml/2006/main">
                <a:graphicData uri="http://schemas.microsoft.com/office/word/2010/wordprocessingShape">
                  <wps:wsp>
                    <wps:cNvSpPr txBox="1"/>
                    <wps:spPr>
                      <a:xfrm>
                        <a:off x="0" y="0"/>
                        <a:ext cx="127000" cy="1746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F8E416">
                          <w:pPr>
                            <w:pStyle w:val="12"/>
                          </w:pPr>
                          <w:r>
                            <w:rPr>
                              <w:sz w:val="21"/>
                              <w:szCs w:val="21"/>
                            </w:rPr>
                            <w:fldChar w:fldCharType="begin"/>
                          </w:r>
                          <w:r>
                            <w:rPr>
                              <w:sz w:val="21"/>
                              <w:szCs w:val="21"/>
                            </w:rPr>
                            <w:instrText xml:space="preserve"> PAGE  \* MERGEFORMAT </w:instrText>
                          </w:r>
                          <w:r>
                            <w:rPr>
                              <w:sz w:val="21"/>
                              <w:szCs w:val="21"/>
                            </w:rPr>
                            <w:fldChar w:fldCharType="separate"/>
                          </w:r>
                          <w:r>
                            <w:rPr>
                              <w:sz w:val="21"/>
                              <w:szCs w:val="21"/>
                            </w:rPr>
                            <w:t>3</w:t>
                          </w:r>
                          <w:r>
                            <w:rPr>
                              <w:sz w:val="21"/>
                              <w:szCs w:val="21"/>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493.4pt;margin-top:0pt;height:13.75pt;width:10pt;mso-position-horizontal-relative:margin;z-index:251663360;mso-width-relative:page;mso-height-relative:page;" filled="f" stroked="f" coordsize="21600,21600" o:gfxdata="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7ng1udUAAAAIAQAADwAAAAAAAAABACAAAAAiAAAAZHJzL2Rvd25yZXYu&#10;eG1sUEsBAhQAFAAAAAgAh07iQJTixjo3AgAAYQQAAA4AAAAAAAAAAQAgAAAAJAEAAGRycy9lMm9E&#10;b2MueG1sUEsFBgAAAAAGAAYAWQEAAM0FAAAAAA==&#10;">
              <v:fill on="f" focussize="0,0"/>
              <v:stroke on="f" weight="0.5pt"/>
              <v:imagedata o:title=""/>
              <o:lock v:ext="edit" aspectratio="f"/>
              <v:textbox inset="0mm,0mm,0mm,0mm">
                <w:txbxContent>
                  <w:p w14:paraId="78F8E416">
                    <w:pPr>
                      <w:pStyle w:val="12"/>
                    </w:pPr>
                    <w:r>
                      <w:rPr>
                        <w:sz w:val="21"/>
                        <w:szCs w:val="21"/>
                      </w:rPr>
                      <w:fldChar w:fldCharType="begin"/>
                    </w:r>
                    <w:r>
                      <w:rPr>
                        <w:sz w:val="21"/>
                        <w:szCs w:val="21"/>
                      </w:rPr>
                      <w:instrText xml:space="preserve"> PAGE  \* MERGEFORMAT </w:instrText>
                    </w:r>
                    <w:r>
                      <w:rPr>
                        <w:sz w:val="21"/>
                        <w:szCs w:val="21"/>
                      </w:rPr>
                      <w:fldChar w:fldCharType="separate"/>
                    </w:r>
                    <w:r>
                      <w:rPr>
                        <w:sz w:val="21"/>
                        <w:szCs w:val="21"/>
                      </w:rPr>
                      <w:t>3</w:t>
                    </w:r>
                    <w:r>
                      <w:rPr>
                        <w:sz w:val="21"/>
                        <w:szCs w:val="21"/>
                      </w:rPr>
                      <w:fldChar w:fldCharType="end"/>
                    </w:r>
                  </w:p>
                </w:txbxContent>
              </v:textbox>
            </v:shape>
          </w:pict>
        </mc:Fallback>
      </mc:AlternateContent>
    </w:r>
    <w:r>
      <w:rPr>
        <w:rFonts w:hint="eastAsia" w:ascii="宋体" w:hAnsi="宋体" w:eastAsia="宋体" w:cs="宋体"/>
        <w:color w:val="000000"/>
        <w:kern w:val="0"/>
        <w:sz w:val="20"/>
        <w:szCs w:val="20"/>
        <w:u w:val="single"/>
      </w:rPr>
      <w:t>河南</w:t>
    </w:r>
    <w:r>
      <w:rPr>
        <w:rFonts w:hint="eastAsia" w:ascii="宋体" w:hAnsi="宋体" w:eastAsia="宋体" w:cs="宋体"/>
        <w:color w:val="000000"/>
        <w:kern w:val="0"/>
        <w:sz w:val="20"/>
        <w:szCs w:val="20"/>
        <w:u w:val="single"/>
        <w:lang w:val="en-US" w:eastAsia="zh-CN"/>
      </w:rPr>
      <w:t>加盈工程管理有限公司</w:t>
    </w:r>
    <w:r>
      <w:rPr>
        <w:rFonts w:hint="eastAsia" w:ascii="宋体" w:hAnsi="宋体" w:eastAsia="宋体" w:cs="宋体"/>
        <w:color w:val="000000"/>
        <w:kern w:val="0"/>
        <w:sz w:val="20"/>
        <w:szCs w:val="20"/>
        <w:u w:val="single"/>
      </w:rPr>
      <w:t xml:space="preserve"> </w:t>
    </w:r>
    <w:r>
      <w:rPr>
        <w:rFonts w:hint="eastAsia" w:ascii="宋体" w:hAnsi="宋体" w:cs="宋体"/>
        <w:color w:val="000000"/>
        <w:kern w:val="0"/>
        <w:sz w:val="20"/>
        <w:szCs w:val="20"/>
        <w:u w:val="single"/>
      </w:rPr>
      <w:t xml:space="preserve">  </w:t>
    </w:r>
    <w:r>
      <w:rPr>
        <w:rFonts w:hint="eastAsia" w:ascii="宋体" w:hAnsi="宋体" w:cs="宋体"/>
        <w:color w:val="000000"/>
        <w:kern w:val="0"/>
        <w:u w:val="single"/>
      </w:rPr>
      <w:t xml:space="preserve">    </w:t>
    </w:r>
    <w:r>
      <w:rPr>
        <w:rFonts w:hint="eastAsia" w:ascii="宋体" w:hAnsi="宋体" w:cs="宋体"/>
        <w:color w:val="000000"/>
        <w:kern w:val="0"/>
        <w:u w:val="single"/>
        <w:lang w:val="en-US" w:eastAsia="zh-CN"/>
      </w:rPr>
      <w:t xml:space="preserve">                                                                       </w:t>
    </w:r>
    <w:r>
      <w:rPr>
        <w:rFonts w:hint="eastAsia" w:ascii="宋体" w:hAnsi="宋体" w:cs="宋体"/>
        <w:color w:val="000000"/>
        <w:kern w:val="0"/>
        <w:u w:val="single"/>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31629">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17CDE222">
                          <w:pPr>
                            <w:pStyle w:val="1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s84UPXAQAAsQ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V5RYZnDg518/z7//&#10;nv/8IKskT++hxqx7j3lx+OgGXJr5HvAysR5kMOmLfAjGUdzTRVwxRMLTo2pZVSWGOMZmB/GLx+c+&#10;QLwTzpBkNDTg9LKo7PgZ4pg6p6Rq1t0qrfMEtSU9oq6q96v84hJCdG1TssjLMOEkTmPvyYrDbpiI&#10;7lx7Qp49LkRDLe4/JfqTRb3T7sxGmI3dbBx8UPsuL1eqBf7DIWJzuedUYYRFrsnBSWbW09alVXnq&#10;56zHP23z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AbPOFD1wEAALEDAAAOAAAAAAAAAAEA&#10;IAAAACIBAABkcnMvZTJvRG9jLnhtbFBLBQYAAAAABgAGAFkBAABrBQAAAAA=&#10;">
              <v:fill on="f" focussize="0,0"/>
              <v:stroke on="f" weight="1.25pt"/>
              <v:imagedata o:title=""/>
              <o:lock v:ext="edit" aspectratio="f"/>
              <v:textbox inset="0mm,0mm,0mm,0mm" style="mso-fit-shape-to-text:t;">
                <w:txbxContent>
                  <w:p w14:paraId="17CDE222">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D910F">
    <w:pPr>
      <w:pStyle w:val="14"/>
      <w:jc w:val="left"/>
    </w:pPr>
    <w:r>
      <w:rPr>
        <w:rFonts w:hint="eastAsia" w:ascii="宋体" w:hAnsi="宋体" w:eastAsia="宋体" w:cs="宋体"/>
        <w:sz w:val="20"/>
        <w:szCs w:val="20"/>
        <w:u w:val="single"/>
        <w:lang w:val="en-US" w:eastAsia="zh-CN"/>
      </w:rPr>
      <w:t xml:space="preserve">平顶山市第一高级中学2026-2027年度安全管理服务项目 </w:t>
    </w:r>
    <w:r>
      <w:rPr>
        <w:rFonts w:hint="eastAsia" w:ascii="宋体" w:hAnsi="宋体" w:cs="宋体"/>
        <w:sz w:val="20"/>
        <w:szCs w:val="20"/>
        <w:u w:val="single"/>
        <w:lang w:val="en-US" w:eastAsia="zh-CN"/>
      </w:rPr>
      <w:t xml:space="preserve">                              </w:t>
    </w:r>
    <w:r>
      <w:rPr>
        <w:rFonts w:hint="eastAsia" w:ascii="宋体" w:hAnsi="宋体" w:eastAsia="宋体" w:cs="宋体"/>
        <w:sz w:val="20"/>
        <w:szCs w:val="20"/>
        <w:u w:val="single"/>
        <w:lang w:val="en-US" w:eastAsia="zh-CN"/>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ACA302"/>
    <w:multiLevelType w:val="singleLevel"/>
    <w:tmpl w:val="C1ACA302"/>
    <w:lvl w:ilvl="0" w:tentative="0">
      <w:start w:val="1"/>
      <w:numFmt w:val="chineseCounting"/>
      <w:suff w:val="space"/>
      <w:lvlText w:val="第%1条"/>
      <w:lvlJc w:val="left"/>
      <w:rPr>
        <w:rFonts w:hint="eastAsia"/>
      </w:rPr>
    </w:lvl>
  </w:abstractNum>
  <w:abstractNum w:abstractNumId="1">
    <w:nsid w:val="00000009"/>
    <w:multiLevelType w:val="singleLevel"/>
    <w:tmpl w:val="00000009"/>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4781B"/>
    <w:rsid w:val="009D76C4"/>
    <w:rsid w:val="05024C34"/>
    <w:rsid w:val="065374FA"/>
    <w:rsid w:val="06F31098"/>
    <w:rsid w:val="09860E8F"/>
    <w:rsid w:val="09886B94"/>
    <w:rsid w:val="0BCD3768"/>
    <w:rsid w:val="0D142E6F"/>
    <w:rsid w:val="0EF40828"/>
    <w:rsid w:val="0F130CAE"/>
    <w:rsid w:val="0FEA5429"/>
    <w:rsid w:val="1006318D"/>
    <w:rsid w:val="105C0FAD"/>
    <w:rsid w:val="11B322D4"/>
    <w:rsid w:val="13473661"/>
    <w:rsid w:val="16505110"/>
    <w:rsid w:val="186D28F1"/>
    <w:rsid w:val="195D4A20"/>
    <w:rsid w:val="1DCD471E"/>
    <w:rsid w:val="23B35D7D"/>
    <w:rsid w:val="25A641D2"/>
    <w:rsid w:val="284E28FF"/>
    <w:rsid w:val="29F63301"/>
    <w:rsid w:val="2C874F6F"/>
    <w:rsid w:val="34884EAC"/>
    <w:rsid w:val="37FF6F02"/>
    <w:rsid w:val="38DE1A7D"/>
    <w:rsid w:val="39195E55"/>
    <w:rsid w:val="3A6A181A"/>
    <w:rsid w:val="3C2435E3"/>
    <w:rsid w:val="3C3E46FD"/>
    <w:rsid w:val="414048E7"/>
    <w:rsid w:val="41B226BD"/>
    <w:rsid w:val="41BD1EF3"/>
    <w:rsid w:val="42FA63BA"/>
    <w:rsid w:val="43256C34"/>
    <w:rsid w:val="44132447"/>
    <w:rsid w:val="4617195A"/>
    <w:rsid w:val="498126DD"/>
    <w:rsid w:val="50D21F9A"/>
    <w:rsid w:val="51B83CC3"/>
    <w:rsid w:val="523873D2"/>
    <w:rsid w:val="54A77AC8"/>
    <w:rsid w:val="54C558E0"/>
    <w:rsid w:val="57F219F1"/>
    <w:rsid w:val="589C176E"/>
    <w:rsid w:val="59710ACB"/>
    <w:rsid w:val="5C7A783B"/>
    <w:rsid w:val="5EDC5BB7"/>
    <w:rsid w:val="5F8B6D2D"/>
    <w:rsid w:val="664E0145"/>
    <w:rsid w:val="6784541A"/>
    <w:rsid w:val="681A5D7E"/>
    <w:rsid w:val="68C466AD"/>
    <w:rsid w:val="68DD1751"/>
    <w:rsid w:val="6BEA462E"/>
    <w:rsid w:val="6CB00F70"/>
    <w:rsid w:val="734235B6"/>
    <w:rsid w:val="74602D6B"/>
    <w:rsid w:val="74D83161"/>
    <w:rsid w:val="75FE2747"/>
    <w:rsid w:val="770A5210"/>
    <w:rsid w:val="78003EBC"/>
    <w:rsid w:val="79E000CD"/>
    <w:rsid w:val="7B993838"/>
    <w:rsid w:val="7D5F05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仿宋" w:cstheme="minorBidi"/>
      <w:b/>
      <w:sz w:val="32"/>
    </w:rPr>
  </w:style>
  <w:style w:type="paragraph" w:styleId="4">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21">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5">
    <w:name w:val="Normal Indent"/>
    <w:basedOn w:val="1"/>
    <w:next w:val="6"/>
    <w:qFormat/>
    <w:uiPriority w:val="0"/>
    <w:pPr>
      <w:ind w:firstLine="420"/>
    </w:pPr>
    <w:rPr>
      <w:szCs w:val="20"/>
    </w:rPr>
  </w:style>
  <w:style w:type="paragraph" w:styleId="6">
    <w:name w:val="Body Text 2"/>
    <w:basedOn w:val="1"/>
    <w:qFormat/>
    <w:uiPriority w:val="0"/>
    <w:pPr>
      <w:spacing w:after="120" w:afterLines="0" w:line="480" w:lineRule="auto"/>
    </w:pPr>
  </w:style>
  <w:style w:type="paragraph" w:styleId="7">
    <w:name w:val="Body Text"/>
    <w:basedOn w:val="1"/>
    <w:next w:val="6"/>
    <w:qFormat/>
    <w:uiPriority w:val="0"/>
    <w:pPr>
      <w:spacing w:before="100" w:beforeLines="0" w:beforeAutospacing="1" w:after="120" w:afterLines="0"/>
    </w:pPr>
  </w:style>
  <w:style w:type="paragraph" w:styleId="8">
    <w:name w:val="Body Text Indent"/>
    <w:basedOn w:val="1"/>
    <w:qFormat/>
    <w:uiPriority w:val="0"/>
    <w:pPr>
      <w:spacing w:before="100" w:beforeLines="0" w:beforeAutospacing="1" w:after="120" w:afterLines="0"/>
      <w:ind w:left="420" w:leftChars="200"/>
    </w:pPr>
  </w:style>
  <w:style w:type="paragraph" w:styleId="9">
    <w:name w:val="List 2"/>
    <w:basedOn w:val="1"/>
    <w:qFormat/>
    <w:uiPriority w:val="0"/>
    <w:pPr>
      <w:spacing w:before="100" w:beforeLines="0" w:beforeAutospacing="1" w:after="100" w:afterLines="0" w:afterAutospacing="1"/>
      <w:ind w:left="100" w:leftChars="200" w:hanging="200" w:hangingChars="200"/>
      <w:contextualSpacing/>
    </w:pPr>
  </w:style>
  <w:style w:type="paragraph" w:styleId="10">
    <w:name w:val="Plain Text"/>
    <w:basedOn w:val="1"/>
    <w:qFormat/>
    <w:uiPriority w:val="0"/>
    <w:pPr>
      <w:widowControl/>
      <w:spacing w:before="100" w:beforeLines="0" w:beforeAutospacing="1" w:after="100" w:afterLines="0" w:afterAutospacing="1"/>
      <w:jc w:val="left"/>
    </w:pPr>
    <w:rPr>
      <w:rFonts w:ascii="宋体" w:hAnsi="宋体" w:eastAsia="Times New Roman"/>
      <w:kern w:val="0"/>
      <w:sz w:val="24"/>
    </w:rPr>
  </w:style>
  <w:style w:type="paragraph" w:styleId="11">
    <w:name w:val="Date"/>
    <w:basedOn w:val="1"/>
    <w:next w:val="1"/>
    <w:qFormat/>
    <w:uiPriority w:val="0"/>
    <w:pPr>
      <w:ind w:left="100" w:leftChars="2500"/>
    </w:pPr>
  </w:style>
  <w:style w:type="paragraph" w:styleId="12">
    <w:name w:val="footer"/>
    <w:basedOn w:val="1"/>
    <w:qFormat/>
    <w:uiPriority w:val="0"/>
    <w:pPr>
      <w:widowControl/>
      <w:tabs>
        <w:tab w:val="center" w:pos="4153"/>
        <w:tab w:val="right" w:pos="8306"/>
      </w:tabs>
      <w:snapToGrid w:val="0"/>
      <w:jc w:val="left"/>
    </w:pPr>
    <w:rPr>
      <w:rFonts w:ascii="仿宋" w:hAnsi="仿宋" w:eastAsia="仿宋" w:cs="Times New Roman"/>
      <w:sz w:val="18"/>
      <w:szCs w:val="18"/>
    </w:rPr>
  </w:style>
  <w:style w:type="paragraph" w:styleId="13">
    <w:name w:val="envelope return"/>
    <w:basedOn w:val="1"/>
    <w:qFormat/>
    <w:uiPriority w:val="0"/>
    <w:pPr>
      <w:snapToGrid w:val="0"/>
    </w:pPr>
    <w:rPr>
      <w:rFonts w:ascii="Arial" w:hAnsi="Arial"/>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qFormat/>
    <w:uiPriority w:val="0"/>
  </w:style>
  <w:style w:type="paragraph" w:styleId="16">
    <w:name w:val="toc 2"/>
    <w:basedOn w:val="1"/>
    <w:next w:val="1"/>
    <w:qFormat/>
    <w:uiPriority w:val="0"/>
    <w:pPr>
      <w:ind w:left="420" w:leftChars="200"/>
    </w:pPr>
  </w:style>
  <w:style w:type="paragraph" w:styleId="17">
    <w:name w:val="Normal (Web)"/>
    <w:basedOn w:val="1"/>
    <w:qFormat/>
    <w:uiPriority w:val="0"/>
    <w:pPr>
      <w:widowControl/>
      <w:spacing w:before="100" w:beforeLines="0" w:beforeAutospacing="1" w:after="100" w:afterLines="0" w:afterAutospacing="1"/>
      <w:jc w:val="left"/>
    </w:pPr>
    <w:rPr>
      <w:rFonts w:ascii="宋体" w:hAnsi="宋体"/>
      <w:kern w:val="0"/>
      <w:sz w:val="24"/>
      <w:szCs w:val="20"/>
    </w:rPr>
  </w:style>
  <w:style w:type="paragraph" w:styleId="18">
    <w:name w:val="Body Text First Indent"/>
    <w:basedOn w:val="7"/>
    <w:next w:val="19"/>
    <w:qFormat/>
    <w:uiPriority w:val="0"/>
    <w:pPr>
      <w:spacing w:after="0" w:afterLines="0"/>
      <w:ind w:firstLine="420" w:firstLineChars="100"/>
    </w:pPr>
    <w:rPr>
      <w:rFonts w:ascii="宋体" w:hAnsi="宋体"/>
    </w:rPr>
  </w:style>
  <w:style w:type="paragraph" w:styleId="19">
    <w:name w:val="Body Text First Indent 2"/>
    <w:basedOn w:val="8"/>
    <w:next w:val="11"/>
    <w:qFormat/>
    <w:uiPriority w:val="0"/>
    <w:pPr>
      <w:spacing w:after="0" w:afterLines="0"/>
      <w:ind w:left="0" w:leftChars="0" w:firstLine="420" w:firstLineChars="200"/>
    </w:pPr>
    <w:rPr>
      <w:rFonts w:ascii="Times New Roman" w:hAnsi="Times New Roman" w:cs="Times New Roman"/>
    </w:rPr>
  </w:style>
  <w:style w:type="character" w:styleId="22">
    <w:name w:val="Hyperlink"/>
    <w:basedOn w:val="21"/>
    <w:qFormat/>
    <w:uiPriority w:val="0"/>
    <w:rPr>
      <w:color w:val="444444"/>
      <w:sz w:val="21"/>
      <w:szCs w:val="21"/>
      <w:u w:val="none"/>
    </w:rPr>
  </w:style>
  <w:style w:type="paragraph" w:customStyle="1" w:styleId="23">
    <w:name w:val="Default"/>
    <w:basedOn w:val="1"/>
    <w:qFormat/>
    <w:uiPriority w:val="0"/>
    <w:pPr>
      <w:widowControl/>
    </w:pPr>
    <w:rPr>
      <w:color w:val="000000"/>
      <w:kern w:val="0"/>
      <w:sz w:val="24"/>
      <w:szCs w:val="24"/>
    </w:rPr>
  </w:style>
  <w:style w:type="paragraph" w:customStyle="1" w:styleId="24">
    <w:name w:val="Table Paragraph"/>
    <w:basedOn w:val="1"/>
    <w:qFormat/>
    <w:uiPriority w:val="1"/>
    <w:rPr>
      <w:rFonts w:ascii="宋体" w:hAnsi="宋体" w:eastAsia="宋体" w:cs="宋体"/>
      <w:lang w:val="en-US" w:eastAsia="zh-CN" w:bidi="ar-SA"/>
    </w:rPr>
  </w:style>
  <w:style w:type="paragraph" w:styleId="25">
    <w:name w:val="List Paragraph"/>
    <w:basedOn w:val="1"/>
    <w:qFormat/>
    <w:uiPriority w:val="1"/>
    <w:pPr>
      <w:spacing w:before="195"/>
      <w:ind w:left="423" w:firstLine="420"/>
    </w:pPr>
    <w:rPr>
      <w:rFonts w:ascii="宋体" w:hAnsi="宋体" w:eastAsia="宋体" w:cs="宋体"/>
      <w:lang w:val="en-US" w:eastAsia="zh-CN" w:bidi="ar-SA"/>
    </w:rPr>
  </w:style>
  <w:style w:type="paragraph" w:customStyle="1" w:styleId="26">
    <w:name w:val="p0"/>
    <w:basedOn w:val="1"/>
    <w:autoRedefine/>
    <w:qFormat/>
    <w:uiPriority w:val="0"/>
    <w:pPr>
      <w:widowControl/>
    </w:pPr>
    <w:rPr>
      <w:rFonts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18713</Words>
  <Characters>19539</Characters>
  <Lines>0</Lines>
  <Paragraphs>0</Paragraphs>
  <TotalTime>12</TotalTime>
  <ScaleCrop>false</ScaleCrop>
  <LinksUpToDate>false</LinksUpToDate>
  <CharactersWithSpaces>19855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2025-06-12T06:55:00Z</dcterms:created>
  <dc:creator>张士奇</dc:creator>
  <cp:lastModifiedBy>杨阳</cp:lastModifiedBy>
  <cp:lastPrinted>2025-07-09T04:42:00Z</cp:lastPrinted>
  <dcterms:modified xsi:type="dcterms:W3CDTF">2025-12-29T12:19:30Z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eyJoZGlkIjoiMzliN2NjMTVlN2IxMzY2ZWJhYTBlOTM4MmVhZWQ4MzciLCJ1c2VySWQiOiI0NDE0MDg3MTQifQ==</vt:lpwstr>
  </property>
  <property fmtid="{D5CDD505-2E9C-101B-9397-08002B2CF9AE}" pid="4" name="ICV">
    <vt:lpwstr>B7FA090AEB424AC69EB88E50DB019EA6_13</vt:lpwstr>
  </property>
</Properties>
</file>